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STROBE Statement — Checklist of items to be included in reports of observational studies</w:t>
      </w:r>
    </w:p>
    <w:p>
      <w:pPr>
        <w:spacing w:after="20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Manuscript: “DXA-derived visceral fat-to-muscle ratio is associated with CKM risk and mortality beyond BMI in young and middle-aged US adults” — combined cross-sectional and cohort (mortality) design</w:t>
      </w:r>
    </w:p>
    <w:tbl>
      <w:tblPr>
        <w:tblW w:type="dxa" w:w="10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300"/>
        <w:gridCol w:w="6200"/>
        <w:gridCol w:w="2300"/>
      </w:tblGrid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Section</w:t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Recommendation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Reported in manuscript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Title and abstract</w:t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1(a)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Indicate the study’s design with a commonly used term in the title or the abstract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Abstract identifies the study as a cross-sectional and longitudinal (mortality) analysis of NHANES data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1(b)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Provide an informative and balanced summary of what was done and what was found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Structured Abstract (Background/Methods/Results/Conclusions)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Introduction</w:t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Explain the scientific background and rationale for the investigation being reported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Background, paragraphs 1–2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State specific objectives, including any prespecified hypotheses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Background, final paragraph (three stated objectives)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</w:t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Present key elements of study design early in the paper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 – Study Design and Population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Describe the setting, locations, and relevant dates, including periods of recruitment, exposure, follow-up, and data collection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 – Study Design and Population (NHANES 2011–2018; mortality follow-up through 31 Dec 2019)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6(a)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Give the eligibility criteria, and the sources and methods of selection of participants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 – Study Design and Population; Figure 1 (flow diagram)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6(b)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Cohort – for matched studies, give matching criteria and number of exposed/unexposed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Not applicable (unmatched cohort)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Clearly define all outcomes, exposures, predictors, potential confounders, and effect modifiers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 – Definition of VSR; Outcomes; Covariates and Mediator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For each variable of interest, give sources of data and details of methods of assessment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 – Definition of VSR (DXA); Outcomes (ICD-10 linkage to NDI); Covariates and Mediator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Describe any efforts to address potential sources of bias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 – exclusion of hypertension/diabetes from adjustment to avoid overadjustment/circularity; bootstrap-validated cutpoint anchored to CKM stage rather than mortality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Explain how the study size was arrived at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 – Study Design and Population (sample derivation, Figure 1)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Explain how quantitative variables were handled; describe grouping and why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 – Definition of VSR (z-score standardization; bootstrap cutpoint); CKM staging categories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12(a)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Describe all statistical methods, including those used to control for confounding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 – Statistical Analysis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12(b)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Describe any methods used to examine subgroups and interactions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 – Subgroup and Sensitivity Analyses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12(c)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Explain how missing data were addressed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 – Study Design and Population (complete-case exclusions detailed in Figure 1)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12(d)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Cohort – if applicable, explain how loss to follow-up was addressed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Not applicable – vital status ascertained via NDI probabilistic linkage for the full analytic cohort (no active follow-up loss)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12(e)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Describe any sensitivity analyses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Methods/Results – Subgroup and Sensitivity Analyses (normal-BMI subgroup sensitivity analysis)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Results</w:t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13(a)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Report the numbers of individuals at each stage of the study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Results – Baseline Characteristics; Figure 1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13(b)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Give reasons for non-participation at each stage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Figure 1 flow diagram (exclusion reasons enumerated)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13(c)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Consider use of a flow diagram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Figure 1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14(a)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Give characteristics of study participants and information on exposures and potential confounders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Results – Baseline Characteristics; Table 1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14(b)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Indicate the number of participants with missing data for each variable of interest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Figure 1 (exclusions for missing DXA/covariates/mortality linkage quantified)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14(c)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Cohort – summarize follow-up time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Results – VSR and Mortality (median follow-up 5.25 years, IQR 3.42–7.00)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Report numbers of outcome events or summary measures over time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Results – VSR and Mortality; Table 4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16(a)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Give unadjusted and adjusted estimates and their precision; state confounders adjusted for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Results – VSR and CKM Stage; VSR and Mortality; Tables 2–4 (three nested adjustment models)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16(b)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Report category boundaries when continuous variables were categorized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Methods – Definition of VSR (bootstrap cutpoint = z-score 0.150); Methods – Outcomes (CKM stage categories)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16(c)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Translate relative risk into absolute risk where relevant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Not directly reported – noted as a limitation for future work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Report other analyses done – subgroups, interactions, sensitivity analyses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Results – Subgroup and Sensitivity Analyses; Exploratory Mediation by Systemic Inflammation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Discussion</w:t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Summarize key results with reference to study objectives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Discussion, opening paragraph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Discuss limitations, sources of potential bias/imprecision, and direction/magnitude of bias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Discussion – explicit discussion of cross-sectional/causal limitations, mediation caveats, shared-definition caveat with CKM staging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Give a cautious overall interpretation considering objectives, limitations, multiplicity, and other evidence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Discussion – Context Within the Existing Literature; The “Normal-Weight Obesity” Phenotype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Discuss the generalisability of the study results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Discussion – noted as US adults aged 20–59; DXA-specific measure limiting generalizability to other imaging modalities (recommend adding explicit sentence if not already present)</w:t>
            </w:r>
          </w:p>
        </w:tc>
      </w:tr>
      <w:tr>
        <w:tc>
          <w:tcPr>
            <w:tcW w:type="dxa" w:w="9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Other information</w:t>
            </w:r>
          </w:p>
        </w:tc>
        <w:tc>
          <w:tcPr>
            <w:tcW w:type="dxa" w:w="1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62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Give the source of funding and the role of funders for the present study</w:t>
            </w:r>
          </w:p>
        </w:tc>
        <w:tc>
          <w:tcPr>
            <w:tcW w:type="dxa" w:w="23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Declarations – Funding [to be completed by authors]</w:t>
            </w:r>
          </w:p>
        </w:tc>
      </w:tr>
    </w:tbl>
    <w:p>
      <w:pPr>
        <w:spacing w:before="200"/>
      </w:pPr>
    </w:p>
    <w:p>
      <w:r>
        <w:rPr>
          <w:rFonts w:ascii="Calibri" w:cs="Calibri" w:eastAsia="Calibri" w:hAnsi="Calibri"/>
          <w:i/>
          <w:iCs/>
          <w:sz w:val="18"/>
          <w:szCs w:val="18"/>
        </w:rPr>
        <w:t xml:space="preserve">Note: This checklist was completed by the authors based on the STROBE Statement (von Elm E, et al. Lancet 2007;370:1453-7; www.strobe-statement.org) and is intended for submission as a supplementary/additional file.</w:t>
      </w:r>
    </w:p>
    <w:sectPr>
      <w:pgSz w:w="12240" w:h="15840" w:orient="landscape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2026-07-23T11:01:56.133Z</dcterms:created>
  <dcterms:modified xsi:type="dcterms:W3CDTF">2026-07-23T11:01:56.133Z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