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0BD30" w14:textId="77777777" w:rsidR="00C31B4F" w:rsidRPr="00350E2B" w:rsidRDefault="00C31B4F" w:rsidP="00C31B4F">
      <w:pPr>
        <w:pStyle w:val="BodyText"/>
        <w:spacing w:line="360" w:lineRule="auto"/>
        <w:jc w:val="both"/>
        <w:rPr>
          <w:b/>
          <w:color w:val="000000" w:themeColor="text1"/>
          <w:sz w:val="28"/>
        </w:rPr>
      </w:pPr>
      <w:r w:rsidRPr="00350E2B">
        <w:rPr>
          <w:b/>
          <w:color w:val="000000" w:themeColor="text1"/>
          <w:sz w:val="28"/>
        </w:rPr>
        <w:t>Appendix A</w:t>
      </w:r>
    </w:p>
    <w:p w14:paraId="33A6B52D" w14:textId="77777777" w:rsidR="00C31B4F" w:rsidRPr="00350E2B" w:rsidRDefault="00C31B4F" w:rsidP="00C31B4F">
      <w:pPr>
        <w:pStyle w:val="BodyText"/>
        <w:spacing w:line="360" w:lineRule="auto"/>
        <w:jc w:val="both"/>
        <w:rPr>
          <w:b/>
          <w:color w:val="000000" w:themeColor="text1"/>
        </w:rPr>
      </w:pPr>
      <w:r w:rsidRPr="00350E2B">
        <w:rPr>
          <w:b/>
          <w:color w:val="000000" w:themeColor="text1"/>
        </w:rPr>
        <w:t>A.1 Outcome variables</w:t>
      </w:r>
    </w:p>
    <w:p w14:paraId="1D8157EA" w14:textId="77777777" w:rsidR="00C31B4F" w:rsidRPr="00350E2B" w:rsidRDefault="00C31B4F" w:rsidP="00C31B4F">
      <w:pPr>
        <w:pStyle w:val="BodyText"/>
        <w:spacing w:line="360" w:lineRule="auto"/>
        <w:jc w:val="both"/>
        <w:rPr>
          <w:color w:val="000000" w:themeColor="text1"/>
        </w:rPr>
      </w:pPr>
      <w:r w:rsidRPr="00350E2B">
        <w:rPr>
          <w:color w:val="000000" w:themeColor="text1"/>
        </w:rPr>
        <w:t>The outcome variables are derived from the Climate Change Laws of the World database, compiled by the Grantham Research Institute at the London School of Economics and the Sabin Center for Climate Change Law, and maintained with Climate Policy Radar (Grantham Research Institute and Sabin Center for Climate Change Law, 2024). The database records national climate and climate-related laws and executive policies, classified by theme. We retain only national entries and remove duplicate records arising from the propagation of European Union instruments to member states, ensuring that each law is counted once at the level at which it was enacted. Both legislative and executive acts are included.</w:t>
      </w:r>
    </w:p>
    <w:p w14:paraId="06167A50" w14:textId="77777777" w:rsidR="00C31B4F" w:rsidRPr="00350E2B" w:rsidRDefault="00C31B4F" w:rsidP="00C31B4F">
      <w:pPr>
        <w:pStyle w:val="BodyText"/>
        <w:spacing w:line="360" w:lineRule="auto"/>
        <w:jc w:val="both"/>
        <w:rPr>
          <w:color w:val="000000" w:themeColor="text1"/>
        </w:rPr>
      </w:pPr>
      <w:r w:rsidRPr="00350E2B">
        <w:rPr>
          <w:color w:val="000000" w:themeColor="text1"/>
        </w:rPr>
        <w:t>The study constructs two annual outcome variables, defined as the number of new laws adopted by a country in a given year. The adaptation measure counts climate laws after excluding those classified as not addressing adaptation, thereby isolating adaptation-specific legislation. The mitigation measure counts laws identified by the database's mitigation classifier. National climate lawmaking is used as an observable indicator of governments' legislative responses to climate change rather than as a direct measure of policy effectiveness. Across the estimation sample, adaptation laws are observed in about 16 percent of country-years, while mitigation laws are observed in about 39 percent (Table 1). The sparse count structure of these outcomes motivates the use of the count-data estimators described in Section 5. Detailed classifier logic and variable construction are provided in the Supplementary Material.</w:t>
      </w:r>
    </w:p>
    <w:p w14:paraId="275EFB6C" w14:textId="77777777" w:rsidR="00C31B4F" w:rsidRPr="00350E2B" w:rsidRDefault="00C31B4F" w:rsidP="00C31B4F">
      <w:pPr>
        <w:pStyle w:val="BodyText"/>
        <w:spacing w:line="360" w:lineRule="auto"/>
        <w:jc w:val="both"/>
        <w:rPr>
          <w:b/>
          <w:color w:val="000000" w:themeColor="text1"/>
        </w:rPr>
      </w:pPr>
      <w:r w:rsidRPr="00350E2B">
        <w:rPr>
          <w:b/>
          <w:color w:val="000000" w:themeColor="text1"/>
        </w:rPr>
        <w:t>A.2 Treatment variable</w:t>
      </w:r>
    </w:p>
    <w:p w14:paraId="01E02618" w14:textId="77777777" w:rsidR="00C31B4F" w:rsidRPr="00350E2B" w:rsidRDefault="00C31B4F" w:rsidP="00C31B4F">
      <w:pPr>
        <w:pStyle w:val="BodyText"/>
        <w:spacing w:line="360" w:lineRule="auto"/>
        <w:jc w:val="both"/>
        <w:rPr>
          <w:color w:val="000000" w:themeColor="text1"/>
        </w:rPr>
      </w:pPr>
      <w:r w:rsidRPr="00350E2B">
        <w:rPr>
          <w:color w:val="000000" w:themeColor="text1"/>
        </w:rPr>
        <w:t>The treatment variable is derived from the Emergency Events Database, maintained by the Centre for Research on the Epidemiology of Disasters at UCLouvain (EM-DAT, 2024). The data are restricted to climate-related disasters. These include hydrological, meteorological, and climatological events, namely floods, storms, droughts, heatwaves, and wildfires. The baseline treatment is a binary indicator equal to one if a country experiences at least one climate disaster in a given year. The study also constructs several alternative treatment measures. These include the annual disaster count, an indicator for severe disasters based on whether the number of people affected exceeds the sample median, the logarithm of the number of people affected, and separate counts for each hazard type. Climate disasters occur in about 60 percent of country-years. Floods and storms are the most common hazard types (Table 1).</w:t>
      </w:r>
    </w:p>
    <w:p w14:paraId="0F22219E" w14:textId="77777777" w:rsidR="00C31B4F" w:rsidRPr="00350E2B" w:rsidRDefault="00C31B4F" w:rsidP="00C31B4F">
      <w:pPr>
        <w:pStyle w:val="BodyText"/>
        <w:spacing w:line="360" w:lineRule="auto"/>
        <w:jc w:val="both"/>
        <w:rPr>
          <w:color w:val="000000" w:themeColor="text1"/>
        </w:rPr>
      </w:pPr>
      <w:r w:rsidRPr="00350E2B">
        <w:rPr>
          <w:color w:val="000000" w:themeColor="text1"/>
        </w:rPr>
        <w:lastRenderedPageBreak/>
        <w:t>Disaster occurrence is plausibly exogenous to contemporaneous climate lawmaking because the timing of floods, storms, and droughts is determined by weather rather than by policy. Disaster reporting, however, is less straightforward. EM-DAT is known to under-record events in some lower-income countries and regions, and reporting quality has improved over time (Jones et al., 2022; EM-DAT, 2024). The empirical strategy addresses these concerns in two ways. Year fixed effects absorb common improvements in reporting over time. In addition, the baseline binary treatment relies on disaster occurrence rather than reported magnitude, reducing sensitivity to reporting differences in disaster severity. The robustness analysis further restricts the sample to the post-2000 period, when EM-DAT coverage is considered more complete.</w:t>
      </w:r>
    </w:p>
    <w:p w14:paraId="2B705509" w14:textId="77777777" w:rsidR="00C31B4F" w:rsidRPr="00350E2B" w:rsidRDefault="00C31B4F" w:rsidP="00C31B4F">
      <w:pPr>
        <w:pStyle w:val="BodyText"/>
        <w:spacing w:line="360" w:lineRule="auto"/>
        <w:jc w:val="both"/>
        <w:rPr>
          <w:b/>
          <w:color w:val="000000" w:themeColor="text1"/>
        </w:rPr>
      </w:pPr>
      <w:r w:rsidRPr="00350E2B">
        <w:rPr>
          <w:b/>
          <w:color w:val="000000" w:themeColor="text1"/>
        </w:rPr>
        <w:t>A.3 Covariates and sample</w:t>
      </w:r>
    </w:p>
    <w:p w14:paraId="0F7B1250" w14:textId="77777777" w:rsidR="00C31B4F" w:rsidRPr="00350E2B" w:rsidRDefault="00C31B4F" w:rsidP="00C31B4F">
      <w:pPr>
        <w:pStyle w:val="BodyText"/>
        <w:spacing w:line="360" w:lineRule="auto"/>
        <w:jc w:val="both"/>
        <w:rPr>
          <w:color w:val="000000" w:themeColor="text1"/>
        </w:rPr>
      </w:pPr>
      <w:r w:rsidRPr="00350E2B">
        <w:rPr>
          <w:color w:val="000000" w:themeColor="text1"/>
        </w:rPr>
        <w:t>Adaptive capacity is examined using the ND-GAIN Country Index, produced by the Notre Dame Global Adaptation Initiative (Chen et al., 2015). The index summarizes a country's exposure and sensitivity to climate hazards together with its institutional, economic, and social capacity to respond. The analysis uses the overall index and its vulnerability and readiness sub-indices in secondary analyses to examine whether legislative responses vary with broader measures of adaptive capacity.</w:t>
      </w:r>
    </w:p>
    <w:p w14:paraId="7F7A4AF2" w14:textId="77777777" w:rsidR="00C31B4F" w:rsidRPr="00350E2B" w:rsidRDefault="00C31B4F" w:rsidP="00C31B4F">
      <w:pPr>
        <w:pStyle w:val="BodyText"/>
        <w:spacing w:line="360" w:lineRule="auto"/>
        <w:jc w:val="both"/>
        <w:rPr>
          <w:color w:val="000000" w:themeColor="text1"/>
        </w:rPr>
      </w:pPr>
      <w:r w:rsidRPr="00350E2B">
        <w:rPr>
          <w:color w:val="000000" w:themeColor="text1"/>
        </w:rPr>
        <w:t>The control variables capture the main factors that may confound the relationship between climate disasters and climate lawmaking. Development variables come from the World Bank's World Development Indicators and include GDP per capita, population, and the urban population share (World Bank, 2024). Emissions variables come from Our World in Data and include carbon dioxide emissions per capita (Our World in Data, 2024). The underlying emissions data are provided by the Global Carbon Project. Political variables come from Version 16 of the Varieties of Democracy dataset and include the Electoral Democracy Index and the regime-type classification . A political globalization index from the KOF Globalisation Index is included only in robustness analyses (Gygli et al., 2019).</w:t>
      </w:r>
    </w:p>
    <w:p w14:paraId="119A157C" w14:textId="77777777" w:rsidR="00C31B4F" w:rsidRPr="00350E2B" w:rsidRDefault="00C31B4F" w:rsidP="00C31B4F">
      <w:pPr>
        <w:pStyle w:val="BodyText"/>
        <w:spacing w:line="360" w:lineRule="auto"/>
        <w:jc w:val="both"/>
        <w:rPr>
          <w:color w:val="000000" w:themeColor="text1"/>
        </w:rPr>
      </w:pPr>
      <w:r w:rsidRPr="00350E2B">
        <w:rPr>
          <w:color w:val="000000" w:themeColor="text1"/>
        </w:rPr>
        <w:t>The sample includes country-years with complete information for the core variables. The main estimation sample covers up to 199 countries over the period from 1995 to 2023. Detailed information on data sources, variable construction, sample coverage, and data processing is provided in the Supplementary Material.</w:t>
      </w:r>
    </w:p>
    <w:p w14:paraId="5F36FB5B" w14:textId="77777777" w:rsidR="00C31B4F" w:rsidRPr="00350E2B" w:rsidRDefault="00C31B4F" w:rsidP="00C31B4F">
      <w:pPr>
        <w:pStyle w:val="BodyText"/>
        <w:spacing w:line="360" w:lineRule="auto"/>
        <w:jc w:val="both"/>
        <w:rPr>
          <w:b/>
          <w:color w:val="000000" w:themeColor="text1"/>
        </w:rPr>
      </w:pPr>
      <w:r w:rsidRPr="00350E2B">
        <w:rPr>
          <w:b/>
          <w:color w:val="000000" w:themeColor="text1"/>
        </w:rPr>
        <w:t>A.4 Measurement and validity</w:t>
      </w:r>
    </w:p>
    <w:p w14:paraId="5B55AC92" w14:textId="77777777" w:rsidR="00C31B4F" w:rsidRPr="00350E2B" w:rsidRDefault="00C31B4F" w:rsidP="00C31B4F">
      <w:pPr>
        <w:pStyle w:val="BodyText"/>
        <w:spacing w:line="360" w:lineRule="auto"/>
        <w:jc w:val="both"/>
        <w:rPr>
          <w:color w:val="000000" w:themeColor="text1"/>
        </w:rPr>
      </w:pPr>
      <w:r w:rsidRPr="00350E2B">
        <w:rPr>
          <w:color w:val="000000" w:themeColor="text1"/>
        </w:rPr>
        <w:lastRenderedPageBreak/>
        <w:t>The lawmaking variables are derived from the Climate Change Laws of the World database, which has been widely used in cross-national research on climate legislation (Fankhauser et al., 2015; Grantham Research Institute and Sabin Center for Climate Change Law, 2024). Two considerations support their use in this study. First, these laws are not merely symbolic. National climate laws of this kind have been shown to reduce emissions in practice, indicating that counts of new laws capture meaningful policy change (Eskander and Fankhauser, 2020). Second, the analysis relies on the database's own thematic classification to distinguish adaptation from mitigation, providing a transparent and replicable basis for constructing the outcome variables.</w:t>
      </w:r>
    </w:p>
    <w:p w14:paraId="00CA4711" w14:textId="77777777" w:rsidR="00C31B4F" w:rsidRPr="00350E2B" w:rsidRDefault="00C31B4F" w:rsidP="00C31B4F">
      <w:pPr>
        <w:pStyle w:val="BodyText"/>
        <w:spacing w:line="360" w:lineRule="auto"/>
        <w:jc w:val="both"/>
        <w:rPr>
          <w:color w:val="000000" w:themeColor="text1"/>
        </w:rPr>
      </w:pPr>
      <w:r w:rsidRPr="00350E2B">
        <w:rPr>
          <w:color w:val="000000" w:themeColor="text1"/>
        </w:rPr>
        <w:t>The database records enacted legal instruments, including both legislation and executive policies in force. Major amendments are included, whereas minor amendments are excluded. Laws containing both adaptation and mitigation provisions contribute to both outcome variables. Further details of the classification and coding procedures are provided in the Supplementary Material.</w:t>
      </w:r>
    </w:p>
    <w:p w14:paraId="6B150B79" w14:textId="77777777" w:rsidR="00C31B4F" w:rsidRPr="00350E2B" w:rsidRDefault="00C31B4F" w:rsidP="00C31B4F">
      <w:pPr>
        <w:pStyle w:val="BodyText"/>
        <w:spacing w:line="360" w:lineRule="auto"/>
        <w:jc w:val="both"/>
        <w:rPr>
          <w:color w:val="000000" w:themeColor="text1"/>
        </w:rPr>
      </w:pPr>
      <w:r w:rsidRPr="00350E2B">
        <w:rPr>
          <w:color w:val="000000" w:themeColor="text1"/>
        </w:rPr>
        <w:t>The law counts measure the timing and volume of legislative activity rather than the ambition or stringency of individual laws. This matches the objective of the study, which asks whether climate disasters are followed by new adaptation lawmaking rather than whether individual laws become more stringent. Accordingly, the measure is well suited to identifying changes in legislative activity over time. The measure nevertheless has limitations. It gives equal weight to comprehensive legislation and major amendments and does not account for policy ambition. This may increase measurement error but is unlikely to introduce systematic bias because the empirical design compares changes within countries over time.</w:t>
      </w:r>
    </w:p>
    <w:p w14:paraId="216618EC" w14:textId="77777777" w:rsidR="00C31B4F" w:rsidRPr="00350E2B" w:rsidRDefault="00C31B4F" w:rsidP="00C31B4F">
      <w:pPr>
        <w:pStyle w:val="BodyText"/>
        <w:spacing w:line="360" w:lineRule="auto"/>
        <w:jc w:val="both"/>
        <w:rPr>
          <w:color w:val="000000" w:themeColor="text1"/>
        </w:rPr>
      </w:pPr>
      <w:r w:rsidRPr="00350E2B">
        <w:rPr>
          <w:color w:val="000000" w:themeColor="text1"/>
        </w:rPr>
        <w:t>The treatment variable is based on disaster occurrence rather than disaster intensity. This reduces the influence of cross-country differences in disaster measurement and reporting. As an additional validity check, the study constructs a reporting-independent measure of tropical cyclone exposure using physical storm tracks from the International Best Track Archive for Climate Stewardship (Knapp et al., 2010; Gahtan et al., 2024). Each cyclone track point within 100 kilometres of land is assigned to the nearest coastal country. A country-year is then coded as exposed if a tropical cyclone passed nearby. Construction details are provided in the Supplementary Material.</w:t>
      </w:r>
    </w:p>
    <w:p w14:paraId="2261FA3A" w14:textId="77777777" w:rsidR="00E023F9" w:rsidRDefault="00E023F9"/>
    <w:sectPr w:rsidR="00E023F9" w:rsidSect="00C31B4F">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26A73" w14:textId="77777777" w:rsidR="00C31B4F" w:rsidRDefault="00C31B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972C" w14:textId="77777777" w:rsidR="00C31B4F" w:rsidRDefault="00C31B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8C54" w14:textId="77777777" w:rsidR="00C31B4F" w:rsidRDefault="00C31B4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CD67" w14:textId="77777777" w:rsidR="00C31B4F" w:rsidRDefault="00C31B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69026" w14:textId="77777777" w:rsidR="00C31B4F" w:rsidRDefault="00C31B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2410" w14:textId="77777777" w:rsidR="00C31B4F" w:rsidRDefault="00C31B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4F"/>
    <w:rsid w:val="00066E55"/>
    <w:rsid w:val="000C4033"/>
    <w:rsid w:val="00173ED8"/>
    <w:rsid w:val="002F50B1"/>
    <w:rsid w:val="004B42CB"/>
    <w:rsid w:val="005F2B46"/>
    <w:rsid w:val="006E1731"/>
    <w:rsid w:val="00866D74"/>
    <w:rsid w:val="00882A73"/>
    <w:rsid w:val="00906905"/>
    <w:rsid w:val="0095305D"/>
    <w:rsid w:val="00B10170"/>
    <w:rsid w:val="00B260B7"/>
    <w:rsid w:val="00B85331"/>
    <w:rsid w:val="00C31B4F"/>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A9C05"/>
  <w15:chartTrackingRefBased/>
  <w15:docId w15:val="{7F40DD10-EB26-40A7-A83B-FDD45A2A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B4F"/>
    <w:pPr>
      <w:spacing w:after="20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C31B4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C31B4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C31B4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C31B4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C31B4F"/>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C31B4F"/>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C31B4F"/>
    <w:pPr>
      <w:keepNext/>
      <w:keepLines/>
      <w:spacing w:before="40" w:after="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C31B4F"/>
    <w:pPr>
      <w:keepNext/>
      <w:keepLines/>
      <w:spacing w:after="0"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C31B4F"/>
    <w:pPr>
      <w:keepNext/>
      <w:keepLines/>
      <w:spacing w:after="0"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B4F"/>
    <w:rPr>
      <w:rFonts w:eastAsiaTheme="majorEastAsia" w:cstheme="majorBidi"/>
      <w:color w:val="272727" w:themeColor="text1" w:themeTint="D8"/>
    </w:rPr>
  </w:style>
  <w:style w:type="paragraph" w:styleId="Title">
    <w:name w:val="Title"/>
    <w:basedOn w:val="Normal"/>
    <w:next w:val="Normal"/>
    <w:link w:val="TitleChar"/>
    <w:uiPriority w:val="10"/>
    <w:qFormat/>
    <w:rsid w:val="00C31B4F"/>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C31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B4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C31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B4F"/>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C31B4F"/>
    <w:rPr>
      <w:i/>
      <w:iCs/>
      <w:color w:val="404040" w:themeColor="text1" w:themeTint="BF"/>
    </w:rPr>
  </w:style>
  <w:style w:type="paragraph" w:styleId="ListParagraph">
    <w:name w:val="List Paragraph"/>
    <w:basedOn w:val="Normal"/>
    <w:uiPriority w:val="34"/>
    <w:qFormat/>
    <w:rsid w:val="00C31B4F"/>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C31B4F"/>
    <w:rPr>
      <w:i/>
      <w:iCs/>
      <w:color w:val="0F4761" w:themeColor="accent1" w:themeShade="BF"/>
    </w:rPr>
  </w:style>
  <w:style w:type="paragraph" w:styleId="IntenseQuote">
    <w:name w:val="Intense Quote"/>
    <w:basedOn w:val="Normal"/>
    <w:next w:val="Normal"/>
    <w:link w:val="IntenseQuoteChar"/>
    <w:uiPriority w:val="30"/>
    <w:qFormat/>
    <w:rsid w:val="00C31B4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C31B4F"/>
    <w:rPr>
      <w:i/>
      <w:iCs/>
      <w:color w:val="0F4761" w:themeColor="accent1" w:themeShade="BF"/>
    </w:rPr>
  </w:style>
  <w:style w:type="character" w:styleId="IntenseReference">
    <w:name w:val="Intense Reference"/>
    <w:basedOn w:val="DefaultParagraphFont"/>
    <w:uiPriority w:val="32"/>
    <w:qFormat/>
    <w:rsid w:val="00C31B4F"/>
    <w:rPr>
      <w:b/>
      <w:bCs/>
      <w:smallCaps/>
      <w:color w:val="0F4761" w:themeColor="accent1" w:themeShade="BF"/>
      <w:spacing w:val="5"/>
    </w:rPr>
  </w:style>
  <w:style w:type="paragraph" w:styleId="BodyText">
    <w:name w:val="Body Text"/>
    <w:basedOn w:val="Normal"/>
    <w:link w:val="BodyTextChar"/>
    <w:qFormat/>
    <w:rsid w:val="00C31B4F"/>
    <w:pPr>
      <w:spacing w:before="180" w:after="180"/>
    </w:pPr>
  </w:style>
  <w:style w:type="character" w:customStyle="1" w:styleId="BodyTextChar">
    <w:name w:val="Body Text Char"/>
    <w:basedOn w:val="DefaultParagraphFont"/>
    <w:link w:val="BodyText"/>
    <w:rsid w:val="00C31B4F"/>
    <w:rPr>
      <w:rFonts w:ascii="Times New Roman" w:eastAsia="Times New Roman" w:hAnsi="Times New Roman" w:cs="Times New Roman"/>
      <w:kern w:val="0"/>
      <w:lang w:val="en-US"/>
      <w14:ligatures w14:val="none"/>
    </w:rPr>
  </w:style>
  <w:style w:type="paragraph" w:styleId="Header">
    <w:name w:val="header"/>
    <w:basedOn w:val="Normal"/>
    <w:link w:val="HeaderChar"/>
    <w:unhideWhenUsed/>
    <w:rsid w:val="00C31B4F"/>
    <w:pPr>
      <w:tabs>
        <w:tab w:val="center" w:pos="4513"/>
        <w:tab w:val="right" w:pos="9026"/>
      </w:tabs>
      <w:spacing w:after="0"/>
    </w:pPr>
  </w:style>
  <w:style w:type="character" w:customStyle="1" w:styleId="HeaderChar">
    <w:name w:val="Header Char"/>
    <w:basedOn w:val="DefaultParagraphFont"/>
    <w:link w:val="Header"/>
    <w:rsid w:val="00C31B4F"/>
    <w:rPr>
      <w:rFonts w:ascii="Times New Roman" w:eastAsia="Times New Roman" w:hAnsi="Times New Roman" w:cs="Times New Roman"/>
      <w:kern w:val="0"/>
      <w:lang w:val="en-US"/>
      <w14:ligatures w14:val="none"/>
    </w:rPr>
  </w:style>
  <w:style w:type="paragraph" w:styleId="Footer">
    <w:name w:val="footer"/>
    <w:basedOn w:val="Normal"/>
    <w:link w:val="FooterChar"/>
    <w:unhideWhenUsed/>
    <w:rsid w:val="00C31B4F"/>
    <w:pPr>
      <w:tabs>
        <w:tab w:val="center" w:pos="4513"/>
        <w:tab w:val="right" w:pos="9026"/>
      </w:tabs>
      <w:spacing w:after="0"/>
    </w:pPr>
  </w:style>
  <w:style w:type="character" w:customStyle="1" w:styleId="FooterChar">
    <w:name w:val="Footer Char"/>
    <w:basedOn w:val="DefaultParagraphFont"/>
    <w:link w:val="Footer"/>
    <w:rsid w:val="00C31B4F"/>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1130</Words>
  <Characters>6441</Characters>
  <Application>Microsoft Office Word</Application>
  <DocSecurity>0</DocSecurity>
  <Lines>53</Lines>
  <Paragraphs>15</Paragraphs>
  <ScaleCrop>false</ScaleCrop>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2026-09-17T04:57:00Z</dcterms:created>
  <dcterms:modified xsi:type="dcterms:W3CDTF">2026-09-17T04:57:00Z</dcterms:modified>
</cp:coreProperties>
</file>