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9A74" w14:textId="77777777" w:rsidR="00374AF0" w:rsidRPr="00E122B6" w:rsidRDefault="002A7B2C" w:rsidP="00676399">
      <w:pPr>
        <w:jc w:val="center"/>
        <w:rPr>
          <w:b/>
          <w:sz w:val="28"/>
          <w:szCs w:val="28"/>
        </w:rPr>
      </w:pPr>
      <w:bookmarkStart w:id="0" w:name="supplementary-material"/>
      <w:r w:rsidRPr="00E122B6">
        <w:rPr>
          <w:b/>
          <w:sz w:val="28"/>
          <w:szCs w:val="28"/>
        </w:rPr>
        <w:t>Supplementary material</w:t>
      </w:r>
    </w:p>
    <w:p w14:paraId="02F9CB77" w14:textId="77777777" w:rsidR="001F1992" w:rsidRPr="00E122B6" w:rsidRDefault="001F1992" w:rsidP="001F1992">
      <w:pPr>
        <w:spacing w:line="360" w:lineRule="auto"/>
        <w:jc w:val="center"/>
        <w:rPr>
          <w:b/>
          <w:color w:val="000000" w:themeColor="text1"/>
          <w:sz w:val="28"/>
          <w:szCs w:val="28"/>
        </w:rPr>
      </w:pPr>
      <w:r w:rsidRPr="00E122B6">
        <w:rPr>
          <w:b/>
          <w:color w:val="000000" w:themeColor="text1"/>
          <w:sz w:val="28"/>
          <w:szCs w:val="28"/>
        </w:rPr>
        <w:t xml:space="preserve">Who gets to adapt? Climate disasters, state capacity, and unequal adaptive governance </w:t>
      </w:r>
    </w:p>
    <w:p w14:paraId="669591FF" w14:textId="77777777" w:rsidR="00374AF0" w:rsidRDefault="002A7B2C">
      <w:pPr>
        <w:pStyle w:val="BodyText"/>
      </w:pPr>
      <w:r>
        <w:t xml:space="preserve">This supplement holds the construction </w:t>
      </w:r>
      <w:proofErr w:type="gramStart"/>
      <w:r>
        <w:t>detail</w:t>
      </w:r>
      <w:proofErr w:type="gramEnd"/>
      <w:r>
        <w:t xml:space="preserve">, the estimator notes, and the full tables that the main text references. </w:t>
      </w:r>
    </w:p>
    <w:p w14:paraId="130EDD79" w14:textId="77777777" w:rsidR="00374AF0" w:rsidRPr="00610E5A" w:rsidRDefault="002A7B2C" w:rsidP="00676399">
      <w:pPr>
        <w:rPr>
          <w:b/>
          <w:sz w:val="28"/>
        </w:rPr>
      </w:pPr>
      <w:bookmarkStart w:id="1" w:name="s1.-outcome-and-variable-construction"/>
      <w:r w:rsidRPr="00610E5A">
        <w:rPr>
          <w:b/>
          <w:sz w:val="28"/>
        </w:rPr>
        <w:t>S1. Outcome and variable construction</w:t>
      </w:r>
    </w:p>
    <w:p w14:paraId="3C532BC5" w14:textId="77777777" w:rsidR="00374AF0" w:rsidRDefault="002A7B2C">
      <w:pPr>
        <w:pStyle w:val="FirstParagraph"/>
      </w:pPr>
      <w:r>
        <w:t>The lawmaking outcomes come from the Climate Change Laws of the World database (Grantham Research Institute and Sabin Center for Climate Change Law, 2024). The raw records are national laws and executive policies, each classified by theme. Two steps produce the outcomes used in the paper. First, records that propagate from European Union instruments into member-state entries are removed, so that a single instrument is not counted once at the Union level and again for each member. Second, the remaining national records are collapsed to annual counts of new laws by country and year.</w:t>
      </w:r>
    </w:p>
    <w:p w14:paraId="5DC302F9" w14:textId="77777777" w:rsidR="00374AF0" w:rsidRDefault="002A7B2C">
      <w:pPr>
        <w:pStyle w:val="BodyText"/>
      </w:pPr>
      <w:r>
        <w:t xml:space="preserve">The adaptation count is the number of climate laws net of those classified as climate-excluding-adaptation, which isolates the adaptation-specific instruments. It is floored at zero. The mitigation count is the number of laws identified by the database mitigation classifier. Both are </w:t>
      </w:r>
      <w:proofErr w:type="gramStart"/>
      <w:r>
        <w:t>flows</w:t>
      </w:r>
      <w:proofErr w:type="gramEnd"/>
      <w:r>
        <w:t xml:space="preserve">, that is, new laws adopted </w:t>
      </w:r>
      <w:proofErr w:type="gramStart"/>
      <w:r>
        <w:t>in a given year</w:t>
      </w:r>
      <w:proofErr w:type="gramEnd"/>
      <w:r>
        <w:t>, not the running stock. The disaster treatment is built from EM-DAT (2024), restricted to the hydrological, meteorological, and climatological subgroups. The binary indicator equals one if a country records at least one such event in a year. The severe indicator equals one for events in which the number of people affected exceeds the sample median among disaster years. Type-specific indicators equal one if the country records at least one event of the given type.</w:t>
      </w:r>
    </w:p>
    <w:p w14:paraId="1D560591" w14:textId="77777777" w:rsidR="00374AF0" w:rsidRPr="00610E5A" w:rsidRDefault="002A7B2C" w:rsidP="00676399">
      <w:pPr>
        <w:rPr>
          <w:b/>
          <w:sz w:val="28"/>
        </w:rPr>
      </w:pPr>
      <w:bookmarkStart w:id="2" w:name="X5f3556777904ead0f0894505b110f62663065a6"/>
      <w:bookmarkEnd w:id="1"/>
      <w:r w:rsidRPr="00610E5A">
        <w:rPr>
          <w:b/>
          <w:sz w:val="28"/>
        </w:rPr>
        <w:t>S2. Estimator implementation and validation</w:t>
      </w:r>
    </w:p>
    <w:p w14:paraId="08204FDD" w14:textId="77777777" w:rsidR="00374AF0" w:rsidRDefault="002A7B2C">
      <w:pPr>
        <w:pStyle w:val="FirstParagraph"/>
      </w:pPr>
      <w:r>
        <w:t>The estimator is Poisson pseudo-maximum-likelihood with country and year fixed effects, fit by iteratively reweighted least squares. Standard errors use the country-clustered sandwich with the standard small-sample correction. The cumulative effect over the disaster year and three lags is the sum of the four coefficients, with a variance read from the clustered covariance matrix. Countries whose outcome is zero across the sample are dropped before estimation, since their fixed effect is not identified.</w:t>
      </w:r>
    </w:p>
    <w:p w14:paraId="5AA49000" w14:textId="77777777" w:rsidR="00374AF0" w:rsidRDefault="002A7B2C">
      <w:pPr>
        <w:pStyle w:val="BodyText"/>
      </w:pPr>
      <w:r>
        <w:t xml:space="preserve">The implementation was written from first principles and checked in two ways. Each fit verifies that the score, the first-order condition of the pseudo-likelihood, is satisfied at the </w:t>
      </w:r>
      <w:r>
        <w:lastRenderedPageBreak/>
        <w:t>reported solution. The coefficients were also reproduced to machine precision by an independent likelihood maximizer applied to the same design matrix. The adaptation-versus-mitigation difference is estimated by forming per-country influence functions for each model and clustering their difference on the shared country, which accounts for the correlation between the two outcomes within a country.</w:t>
      </w:r>
    </w:p>
    <w:p w14:paraId="76352B1C" w14:textId="77777777" w:rsidR="00374AF0" w:rsidRPr="00676399" w:rsidRDefault="002A7B2C" w:rsidP="00676399">
      <w:pPr>
        <w:rPr>
          <w:b/>
        </w:rPr>
      </w:pPr>
      <w:bookmarkStart w:id="3" w:name="X265e04185dc0005f2a7cfbb9ab21f0e6ffe3b0d"/>
      <w:r w:rsidRPr="00676399">
        <w:rPr>
          <w:b/>
        </w:rPr>
        <w:t>Identification, inference, and sample checks</w:t>
      </w:r>
    </w:p>
    <w:p w14:paraId="70C3CC93" w14:textId="77777777" w:rsidR="00374AF0" w:rsidRDefault="002A7B2C">
      <w:pPr>
        <w:pStyle w:val="FirstParagraph"/>
      </w:pPr>
      <w:r>
        <w:t xml:space="preserve">The treatment is a recurring on-and-off indicator rather than a one-time absorbing adoption, so the design is closer to a panel distributed-lag or local-projection model (Jordà, 2005) than to a staggered-adoption difference-in-differences. This limits the heterogeneity-induced bias that affects two-way fixed-effects estimators in absorbing-treatment settings (de </w:t>
      </w:r>
      <w:proofErr w:type="spellStart"/>
      <w:r>
        <w:t>Chaisemartin</w:t>
      </w:r>
      <w:proofErr w:type="spellEnd"/>
      <w:r>
        <w:t xml:space="preserve"> and </w:t>
      </w:r>
      <w:proofErr w:type="spellStart"/>
      <w:r>
        <w:t>D’Haultfœuille</w:t>
      </w:r>
      <w:proofErr w:type="spellEnd"/>
      <w:r>
        <w:t>, 2020; Sun and Abraham, 2021), and the pre-trend test in Section S3 is the central check on the parallel-paths assumption, whose sensitivity is now well characterized (Rambachan and Roth, 2023).</w:t>
      </w:r>
    </w:p>
    <w:p w14:paraId="228C29E7" w14:textId="77777777" w:rsidR="00374AF0" w:rsidRDefault="002A7B2C">
      <w:pPr>
        <w:pStyle w:val="BodyText"/>
      </w:pPr>
      <w:r>
        <w:t>The headline cumulative adaptation effect of 0.472 is robust to the inference method. The baseline country-clustered standard error is 0.208. Clustering on country and year together raises it only to 0.219, and a cluster bootstrap that resamples countries (299 replications) returns a 95 percent confidence interval of 0.07 to 0.89 and a p-value of 0.022 (Cameron and Miller, 2015). The separation rule does not select on capacity. Of the 15 countries excluded because they pass no adaptation law over the sample, six are high-income, mostly small or oil-rich states (Bahrain, Brunei, Hong Kong, Kuwait, Monaco, San Marino), with the remainder spread across income groups, so their exclusion cannot generate the concentration of the response in high-income countries.</w:t>
      </w:r>
    </w:p>
    <w:p w14:paraId="76303830" w14:textId="77777777" w:rsidR="00374AF0" w:rsidRDefault="002A7B2C">
      <w:pPr>
        <w:pStyle w:val="BodyText"/>
      </w:pPr>
      <w:r>
        <w:t xml:space="preserve">A heterogeneity-robust dynamic estimator provides a further check. Following the clean-control logic of de </w:t>
      </w:r>
      <w:proofErr w:type="spellStart"/>
      <w:r>
        <w:t>Chaisemartin</w:t>
      </w:r>
      <w:proofErr w:type="spellEnd"/>
      <w:r>
        <w:t xml:space="preserve"> and </w:t>
      </w:r>
      <w:proofErr w:type="spellStart"/>
      <w:r>
        <w:t>D’Haultfœuille</w:t>
      </w:r>
      <w:proofErr w:type="spellEnd"/>
      <w:r>
        <w:t xml:space="preserve"> (2020), each country newly affected by a disaster (treatment switching from zero to one) is compared only with countries that remain untreated through the same four-year window, which avoids the comparisons with already-treated units that bias two-way fixed-effects estimators under heterogeneous effects. Estimated on the count of new adaptation laws, the effect is +0.027 in the disaster year, +0.030 after one year, +0.085 after two years, and +0.037 after three, for a cumulative increase of about 0.18 laws over the window (country-bootstrap standard error 0.076, z = 2.35). The estimate is built from 748 clean entry events and 1,017 clean control windows. Both the sign and the two-year peak match the distributed-lag results in the main text.</w:t>
      </w:r>
    </w:p>
    <w:p w14:paraId="32E88F43" w14:textId="77777777" w:rsidR="00374AF0" w:rsidRPr="00610E5A" w:rsidRDefault="002A7B2C" w:rsidP="00676399">
      <w:pPr>
        <w:rPr>
          <w:b/>
          <w:sz w:val="28"/>
        </w:rPr>
      </w:pPr>
      <w:bookmarkStart w:id="4" w:name="s3.-full-event-study-coefficients"/>
      <w:bookmarkEnd w:id="2"/>
      <w:bookmarkEnd w:id="3"/>
      <w:r w:rsidRPr="00610E5A">
        <w:rPr>
          <w:b/>
          <w:sz w:val="28"/>
        </w:rPr>
        <w:lastRenderedPageBreak/>
        <w:t>S3. Full event-study coefficients</w:t>
      </w:r>
    </w:p>
    <w:p w14:paraId="1ECCC0B4" w14:textId="77777777" w:rsidR="00374AF0" w:rsidRDefault="002A7B2C">
      <w:pPr>
        <w:pStyle w:val="FirstParagraph"/>
      </w:pPr>
      <w:r>
        <w:t>The event study is estimated by ordinary least squares with country and year fixed effects. Leads are future disaster indicators (event time -3 to -1) and lags are the contemporaneous and past indicators (event time 0 to +4). The placebo test is a joint test that the three lead coefficients are zero: it is not rejected for adaptation (Wald = 3.58, p = 0.31) and is rejected for mitigation (Wald = 10.06, p = 0.02).</w:t>
      </w:r>
    </w:p>
    <w:p w14:paraId="3009782F" w14:textId="77777777" w:rsidR="00374AF0" w:rsidRDefault="002A7B2C">
      <w:pPr>
        <w:pStyle w:val="BodyText"/>
      </w:pPr>
      <w:r>
        <w:rPr>
          <w:b/>
          <w:bCs/>
        </w:rPr>
        <w:t>Table S1. Event-study coefficients (OLS, country and year fixed effects)</w:t>
      </w:r>
    </w:p>
    <w:tbl>
      <w:tblPr>
        <w:tblStyle w:val="Table"/>
        <w:tblW w:w="9242" w:type="dxa"/>
        <w:tblLook w:val="0020" w:firstRow="1" w:lastRow="0" w:firstColumn="0" w:lastColumn="0" w:noHBand="0" w:noVBand="0"/>
      </w:tblPr>
      <w:tblGrid>
        <w:gridCol w:w="3794"/>
        <w:gridCol w:w="1659"/>
        <w:gridCol w:w="1601"/>
        <w:gridCol w:w="2188"/>
      </w:tblGrid>
      <w:tr w:rsidR="00610E5A" w14:paraId="533E3D66" w14:textId="77777777" w:rsidTr="00610E5A">
        <w:trPr>
          <w:cnfStyle w:val="100000000000" w:firstRow="1" w:lastRow="0" w:firstColumn="0" w:lastColumn="0" w:oddVBand="0" w:evenVBand="0" w:oddHBand="0" w:evenHBand="0" w:firstRowFirstColumn="0" w:firstRowLastColumn="0" w:lastRowFirstColumn="0" w:lastRowLastColumn="0"/>
          <w:trHeight w:val="483"/>
          <w:tblHeader/>
        </w:trPr>
        <w:tc>
          <w:tcPr>
            <w:tcW w:w="3794" w:type="dxa"/>
            <w:tcBorders>
              <w:top w:val="single" w:sz="4" w:space="0" w:color="auto"/>
              <w:bottom w:val="single" w:sz="2" w:space="0" w:color="auto"/>
            </w:tcBorders>
          </w:tcPr>
          <w:p w14:paraId="76545ECA" w14:textId="77777777" w:rsidR="00610E5A" w:rsidRDefault="00610E5A" w:rsidP="00610E5A">
            <w:pPr>
              <w:pStyle w:val="Compact"/>
              <w:jc w:val="center"/>
            </w:pPr>
            <w:r>
              <w:t>Event time</w:t>
            </w:r>
          </w:p>
        </w:tc>
        <w:tc>
          <w:tcPr>
            <w:tcW w:w="1659" w:type="dxa"/>
            <w:tcBorders>
              <w:top w:val="single" w:sz="4" w:space="0" w:color="auto"/>
              <w:bottom w:val="single" w:sz="2" w:space="0" w:color="auto"/>
            </w:tcBorders>
          </w:tcPr>
          <w:p w14:paraId="1DC562AC" w14:textId="77777777" w:rsidR="00610E5A" w:rsidRDefault="00610E5A" w:rsidP="00610E5A">
            <w:pPr>
              <w:pStyle w:val="Compact"/>
              <w:jc w:val="center"/>
            </w:pPr>
            <w:r>
              <w:t>Adaptation</w:t>
            </w:r>
          </w:p>
        </w:tc>
        <w:tc>
          <w:tcPr>
            <w:tcW w:w="1601" w:type="dxa"/>
            <w:tcBorders>
              <w:top w:val="single" w:sz="4" w:space="0" w:color="auto"/>
              <w:bottom w:val="single" w:sz="2" w:space="0" w:color="auto"/>
            </w:tcBorders>
          </w:tcPr>
          <w:p w14:paraId="38671A8E" w14:textId="77777777" w:rsidR="00610E5A" w:rsidRDefault="00610E5A" w:rsidP="00610E5A">
            <w:pPr>
              <w:pStyle w:val="Compact"/>
              <w:jc w:val="center"/>
            </w:pPr>
          </w:p>
        </w:tc>
        <w:tc>
          <w:tcPr>
            <w:tcW w:w="2188" w:type="dxa"/>
            <w:tcBorders>
              <w:top w:val="single" w:sz="4" w:space="0" w:color="auto"/>
              <w:bottom w:val="single" w:sz="2" w:space="0" w:color="auto"/>
            </w:tcBorders>
          </w:tcPr>
          <w:p w14:paraId="66728AA8" w14:textId="77777777" w:rsidR="00610E5A" w:rsidRDefault="00610E5A" w:rsidP="00610E5A">
            <w:pPr>
              <w:pStyle w:val="Compact"/>
              <w:jc w:val="center"/>
            </w:pPr>
            <w:r>
              <w:t>Mitigation</w:t>
            </w:r>
          </w:p>
        </w:tc>
      </w:tr>
      <w:tr w:rsidR="00610E5A" w14:paraId="60860E1C" w14:textId="77777777" w:rsidTr="00610E5A">
        <w:trPr>
          <w:trHeight w:val="468"/>
        </w:trPr>
        <w:tc>
          <w:tcPr>
            <w:tcW w:w="3794" w:type="dxa"/>
            <w:tcBorders>
              <w:top w:val="single" w:sz="2" w:space="0" w:color="auto"/>
            </w:tcBorders>
          </w:tcPr>
          <w:p w14:paraId="15C66140" w14:textId="77777777" w:rsidR="00610E5A" w:rsidRDefault="00610E5A" w:rsidP="00610E5A">
            <w:pPr>
              <w:pStyle w:val="Compact"/>
              <w:jc w:val="center"/>
            </w:pPr>
            <w:r>
              <w:t>-3 (lead)</w:t>
            </w:r>
          </w:p>
        </w:tc>
        <w:tc>
          <w:tcPr>
            <w:tcW w:w="1659" w:type="dxa"/>
            <w:tcBorders>
              <w:top w:val="single" w:sz="2" w:space="0" w:color="auto"/>
            </w:tcBorders>
          </w:tcPr>
          <w:p w14:paraId="768D9D01" w14:textId="77777777" w:rsidR="00610E5A" w:rsidRDefault="00610E5A" w:rsidP="00610E5A">
            <w:pPr>
              <w:pStyle w:val="Compact"/>
              <w:jc w:val="center"/>
            </w:pPr>
            <w:r>
              <w:t>0.035*</w:t>
            </w:r>
          </w:p>
          <w:p w14:paraId="31CD1784" w14:textId="77777777" w:rsidR="00610E5A" w:rsidRDefault="00610E5A" w:rsidP="00610E5A">
            <w:pPr>
              <w:pStyle w:val="Compact"/>
              <w:jc w:val="center"/>
            </w:pPr>
            <w:r>
              <w:t>(0.020)</w:t>
            </w:r>
          </w:p>
        </w:tc>
        <w:tc>
          <w:tcPr>
            <w:tcW w:w="1601" w:type="dxa"/>
            <w:tcBorders>
              <w:top w:val="single" w:sz="2" w:space="0" w:color="auto"/>
            </w:tcBorders>
          </w:tcPr>
          <w:p w14:paraId="240BE903" w14:textId="77777777" w:rsidR="00610E5A" w:rsidRDefault="00610E5A" w:rsidP="00610E5A">
            <w:pPr>
              <w:pStyle w:val="Compact"/>
              <w:jc w:val="center"/>
            </w:pPr>
          </w:p>
        </w:tc>
        <w:tc>
          <w:tcPr>
            <w:tcW w:w="2188" w:type="dxa"/>
            <w:tcBorders>
              <w:top w:val="single" w:sz="2" w:space="0" w:color="auto"/>
            </w:tcBorders>
          </w:tcPr>
          <w:p w14:paraId="77F6EB8F" w14:textId="77777777" w:rsidR="00610E5A" w:rsidRDefault="00610E5A" w:rsidP="00610E5A">
            <w:pPr>
              <w:pStyle w:val="Compact"/>
              <w:jc w:val="center"/>
            </w:pPr>
            <w:r>
              <w:t>0.246**</w:t>
            </w:r>
          </w:p>
          <w:p w14:paraId="56B7B420" w14:textId="77777777" w:rsidR="00610E5A" w:rsidRDefault="00610E5A" w:rsidP="00610E5A">
            <w:pPr>
              <w:pStyle w:val="Compact"/>
              <w:jc w:val="center"/>
            </w:pPr>
            <w:r>
              <w:t>(0.102)</w:t>
            </w:r>
          </w:p>
        </w:tc>
      </w:tr>
      <w:tr w:rsidR="00610E5A" w14:paraId="1A268E67" w14:textId="77777777" w:rsidTr="00610E5A">
        <w:trPr>
          <w:trHeight w:val="483"/>
        </w:trPr>
        <w:tc>
          <w:tcPr>
            <w:tcW w:w="3794" w:type="dxa"/>
          </w:tcPr>
          <w:p w14:paraId="11D823E3" w14:textId="77777777" w:rsidR="00610E5A" w:rsidRDefault="00610E5A" w:rsidP="00610E5A">
            <w:pPr>
              <w:pStyle w:val="Compact"/>
              <w:jc w:val="center"/>
            </w:pPr>
            <w:r>
              <w:t>-2 (lead)</w:t>
            </w:r>
          </w:p>
        </w:tc>
        <w:tc>
          <w:tcPr>
            <w:tcW w:w="1659" w:type="dxa"/>
          </w:tcPr>
          <w:p w14:paraId="2BE57B88" w14:textId="77777777" w:rsidR="00610E5A" w:rsidRDefault="00610E5A" w:rsidP="00610E5A">
            <w:pPr>
              <w:pStyle w:val="Compact"/>
              <w:jc w:val="center"/>
            </w:pPr>
            <w:r>
              <w:t>0.002</w:t>
            </w:r>
          </w:p>
          <w:p w14:paraId="1DC0CF80" w14:textId="77777777" w:rsidR="00610E5A" w:rsidRDefault="00610E5A" w:rsidP="00610E5A">
            <w:pPr>
              <w:pStyle w:val="Compact"/>
              <w:jc w:val="center"/>
            </w:pPr>
            <w:r>
              <w:t>(0.020)</w:t>
            </w:r>
          </w:p>
        </w:tc>
        <w:tc>
          <w:tcPr>
            <w:tcW w:w="1601" w:type="dxa"/>
          </w:tcPr>
          <w:p w14:paraId="08E512BB" w14:textId="77777777" w:rsidR="00610E5A" w:rsidRDefault="00610E5A" w:rsidP="00610E5A">
            <w:pPr>
              <w:pStyle w:val="Compact"/>
              <w:jc w:val="center"/>
            </w:pPr>
          </w:p>
        </w:tc>
        <w:tc>
          <w:tcPr>
            <w:tcW w:w="2188" w:type="dxa"/>
          </w:tcPr>
          <w:p w14:paraId="570C505F" w14:textId="77777777" w:rsidR="00610E5A" w:rsidRDefault="00610E5A" w:rsidP="00610E5A">
            <w:pPr>
              <w:pStyle w:val="Compact"/>
              <w:jc w:val="center"/>
            </w:pPr>
            <w:r>
              <w:t>0.304***</w:t>
            </w:r>
          </w:p>
          <w:p w14:paraId="0E742E72" w14:textId="77777777" w:rsidR="00610E5A" w:rsidRDefault="00610E5A" w:rsidP="00610E5A">
            <w:pPr>
              <w:pStyle w:val="Compact"/>
              <w:jc w:val="center"/>
            </w:pPr>
            <w:r>
              <w:t>(0.101)</w:t>
            </w:r>
          </w:p>
        </w:tc>
      </w:tr>
      <w:tr w:rsidR="00610E5A" w14:paraId="07EDD0B1" w14:textId="77777777" w:rsidTr="00610E5A">
        <w:trPr>
          <w:trHeight w:val="483"/>
        </w:trPr>
        <w:tc>
          <w:tcPr>
            <w:tcW w:w="3794" w:type="dxa"/>
          </w:tcPr>
          <w:p w14:paraId="5431C7BB" w14:textId="77777777" w:rsidR="00610E5A" w:rsidRDefault="00610E5A" w:rsidP="00610E5A">
            <w:pPr>
              <w:pStyle w:val="Compact"/>
              <w:jc w:val="center"/>
            </w:pPr>
            <w:r>
              <w:t>-1 (lead)</w:t>
            </w:r>
          </w:p>
        </w:tc>
        <w:tc>
          <w:tcPr>
            <w:tcW w:w="1659" w:type="dxa"/>
          </w:tcPr>
          <w:p w14:paraId="14C82142" w14:textId="77777777" w:rsidR="00610E5A" w:rsidRDefault="00610E5A" w:rsidP="00610E5A">
            <w:pPr>
              <w:pStyle w:val="Compact"/>
              <w:jc w:val="center"/>
            </w:pPr>
            <w:r>
              <w:t>-0.001</w:t>
            </w:r>
          </w:p>
          <w:p w14:paraId="5CB0B006" w14:textId="77777777" w:rsidR="00610E5A" w:rsidRDefault="00610E5A" w:rsidP="00610E5A">
            <w:pPr>
              <w:pStyle w:val="Compact"/>
              <w:jc w:val="center"/>
            </w:pPr>
            <w:r>
              <w:t>(0.020)</w:t>
            </w:r>
          </w:p>
        </w:tc>
        <w:tc>
          <w:tcPr>
            <w:tcW w:w="1601" w:type="dxa"/>
          </w:tcPr>
          <w:p w14:paraId="015DC83A" w14:textId="77777777" w:rsidR="00610E5A" w:rsidRDefault="00610E5A" w:rsidP="00610E5A">
            <w:pPr>
              <w:pStyle w:val="Compact"/>
              <w:jc w:val="center"/>
            </w:pPr>
          </w:p>
        </w:tc>
        <w:tc>
          <w:tcPr>
            <w:tcW w:w="2188" w:type="dxa"/>
          </w:tcPr>
          <w:p w14:paraId="05D6F7B8" w14:textId="77777777" w:rsidR="00610E5A" w:rsidRDefault="00610E5A" w:rsidP="00610E5A">
            <w:pPr>
              <w:pStyle w:val="Compact"/>
              <w:jc w:val="center"/>
            </w:pPr>
            <w:r>
              <w:t>0.165*</w:t>
            </w:r>
          </w:p>
          <w:p w14:paraId="22EA0C7D" w14:textId="77777777" w:rsidR="00610E5A" w:rsidRDefault="00610E5A" w:rsidP="00610E5A">
            <w:pPr>
              <w:pStyle w:val="Compact"/>
              <w:jc w:val="center"/>
            </w:pPr>
            <w:r>
              <w:t>(0.094)</w:t>
            </w:r>
          </w:p>
        </w:tc>
      </w:tr>
      <w:tr w:rsidR="00610E5A" w14:paraId="7758456A" w14:textId="77777777" w:rsidTr="00610E5A">
        <w:trPr>
          <w:trHeight w:val="483"/>
        </w:trPr>
        <w:tc>
          <w:tcPr>
            <w:tcW w:w="3794" w:type="dxa"/>
          </w:tcPr>
          <w:p w14:paraId="496BD01C" w14:textId="77777777" w:rsidR="00610E5A" w:rsidRDefault="00610E5A" w:rsidP="00610E5A">
            <w:pPr>
              <w:pStyle w:val="Compact"/>
              <w:jc w:val="center"/>
            </w:pPr>
            <w:r>
              <w:t>0</w:t>
            </w:r>
          </w:p>
        </w:tc>
        <w:tc>
          <w:tcPr>
            <w:tcW w:w="1659" w:type="dxa"/>
          </w:tcPr>
          <w:p w14:paraId="481B8E09" w14:textId="77777777" w:rsidR="00610E5A" w:rsidRDefault="00610E5A" w:rsidP="00610E5A">
            <w:pPr>
              <w:pStyle w:val="Compact"/>
              <w:jc w:val="center"/>
            </w:pPr>
            <w:r>
              <w:t>0.013</w:t>
            </w:r>
          </w:p>
          <w:p w14:paraId="6424D8EB" w14:textId="77777777" w:rsidR="00610E5A" w:rsidRDefault="00610E5A" w:rsidP="00610E5A">
            <w:pPr>
              <w:pStyle w:val="Compact"/>
              <w:jc w:val="center"/>
            </w:pPr>
            <w:r>
              <w:t>(0.021)</w:t>
            </w:r>
          </w:p>
        </w:tc>
        <w:tc>
          <w:tcPr>
            <w:tcW w:w="1601" w:type="dxa"/>
          </w:tcPr>
          <w:p w14:paraId="74A28D8E" w14:textId="77777777" w:rsidR="00610E5A" w:rsidRDefault="00610E5A" w:rsidP="00610E5A">
            <w:pPr>
              <w:pStyle w:val="Compact"/>
              <w:jc w:val="center"/>
            </w:pPr>
          </w:p>
        </w:tc>
        <w:tc>
          <w:tcPr>
            <w:tcW w:w="2188" w:type="dxa"/>
          </w:tcPr>
          <w:p w14:paraId="1B1D66CA" w14:textId="77777777" w:rsidR="00610E5A" w:rsidRDefault="00610E5A" w:rsidP="00610E5A">
            <w:pPr>
              <w:pStyle w:val="Compact"/>
              <w:jc w:val="center"/>
            </w:pPr>
            <w:r>
              <w:t>0.066</w:t>
            </w:r>
          </w:p>
          <w:p w14:paraId="51FD23EE" w14:textId="77777777" w:rsidR="00610E5A" w:rsidRDefault="00610E5A" w:rsidP="00610E5A">
            <w:pPr>
              <w:pStyle w:val="Compact"/>
              <w:jc w:val="center"/>
            </w:pPr>
            <w:r>
              <w:t>(0.090)</w:t>
            </w:r>
          </w:p>
        </w:tc>
      </w:tr>
      <w:tr w:rsidR="00610E5A" w14:paraId="37A44140" w14:textId="77777777" w:rsidTr="00610E5A">
        <w:trPr>
          <w:trHeight w:val="468"/>
        </w:trPr>
        <w:tc>
          <w:tcPr>
            <w:tcW w:w="3794" w:type="dxa"/>
          </w:tcPr>
          <w:p w14:paraId="106BD930" w14:textId="77777777" w:rsidR="00610E5A" w:rsidRDefault="00610E5A" w:rsidP="00610E5A">
            <w:pPr>
              <w:pStyle w:val="Compact"/>
              <w:jc w:val="center"/>
            </w:pPr>
            <w:r>
              <w:t>+1</w:t>
            </w:r>
          </w:p>
        </w:tc>
        <w:tc>
          <w:tcPr>
            <w:tcW w:w="1659" w:type="dxa"/>
          </w:tcPr>
          <w:p w14:paraId="1477CCA6" w14:textId="77777777" w:rsidR="00610E5A" w:rsidRDefault="00610E5A" w:rsidP="00610E5A">
            <w:pPr>
              <w:pStyle w:val="Compact"/>
              <w:jc w:val="center"/>
            </w:pPr>
            <w:r>
              <w:t>0.024</w:t>
            </w:r>
          </w:p>
          <w:p w14:paraId="52F2B759" w14:textId="77777777" w:rsidR="00610E5A" w:rsidRDefault="00610E5A" w:rsidP="00610E5A">
            <w:pPr>
              <w:pStyle w:val="Compact"/>
              <w:jc w:val="center"/>
            </w:pPr>
            <w:r>
              <w:t>(0.017)</w:t>
            </w:r>
          </w:p>
        </w:tc>
        <w:tc>
          <w:tcPr>
            <w:tcW w:w="1601" w:type="dxa"/>
          </w:tcPr>
          <w:p w14:paraId="4470B044" w14:textId="77777777" w:rsidR="00610E5A" w:rsidRDefault="00610E5A" w:rsidP="00610E5A">
            <w:pPr>
              <w:pStyle w:val="Compact"/>
              <w:jc w:val="center"/>
            </w:pPr>
          </w:p>
        </w:tc>
        <w:tc>
          <w:tcPr>
            <w:tcW w:w="2188" w:type="dxa"/>
          </w:tcPr>
          <w:p w14:paraId="3226FFDD" w14:textId="77777777" w:rsidR="00610E5A" w:rsidRDefault="00610E5A" w:rsidP="00610E5A">
            <w:pPr>
              <w:pStyle w:val="Compact"/>
              <w:jc w:val="center"/>
            </w:pPr>
            <w:r>
              <w:t>0.041</w:t>
            </w:r>
          </w:p>
          <w:p w14:paraId="1D328EFD" w14:textId="77777777" w:rsidR="00610E5A" w:rsidRDefault="00610E5A" w:rsidP="00610E5A">
            <w:pPr>
              <w:pStyle w:val="Compact"/>
              <w:jc w:val="center"/>
            </w:pPr>
            <w:r>
              <w:t>(0.066)</w:t>
            </w:r>
          </w:p>
        </w:tc>
      </w:tr>
      <w:tr w:rsidR="00610E5A" w14:paraId="6117E84D" w14:textId="77777777" w:rsidTr="00610E5A">
        <w:trPr>
          <w:trHeight w:val="483"/>
        </w:trPr>
        <w:tc>
          <w:tcPr>
            <w:tcW w:w="3794" w:type="dxa"/>
          </w:tcPr>
          <w:p w14:paraId="3367F6B6" w14:textId="77777777" w:rsidR="00610E5A" w:rsidRDefault="00610E5A" w:rsidP="00610E5A">
            <w:pPr>
              <w:pStyle w:val="Compact"/>
              <w:jc w:val="center"/>
            </w:pPr>
            <w:r>
              <w:t>+2</w:t>
            </w:r>
          </w:p>
        </w:tc>
        <w:tc>
          <w:tcPr>
            <w:tcW w:w="1659" w:type="dxa"/>
          </w:tcPr>
          <w:p w14:paraId="36708261" w14:textId="77777777" w:rsidR="00610E5A" w:rsidRDefault="00610E5A" w:rsidP="00610E5A">
            <w:pPr>
              <w:pStyle w:val="Compact"/>
              <w:jc w:val="center"/>
            </w:pPr>
            <w:r>
              <w:t>0.032*</w:t>
            </w:r>
          </w:p>
          <w:p w14:paraId="15468A0C" w14:textId="77777777" w:rsidR="00610E5A" w:rsidRDefault="00610E5A" w:rsidP="00610E5A">
            <w:pPr>
              <w:pStyle w:val="Compact"/>
              <w:jc w:val="center"/>
            </w:pPr>
            <w:r>
              <w:t>(0.019)</w:t>
            </w:r>
          </w:p>
        </w:tc>
        <w:tc>
          <w:tcPr>
            <w:tcW w:w="1601" w:type="dxa"/>
          </w:tcPr>
          <w:p w14:paraId="4E2ABAC9" w14:textId="77777777" w:rsidR="00610E5A" w:rsidRDefault="00610E5A" w:rsidP="00610E5A">
            <w:pPr>
              <w:pStyle w:val="Compact"/>
              <w:jc w:val="center"/>
            </w:pPr>
          </w:p>
        </w:tc>
        <w:tc>
          <w:tcPr>
            <w:tcW w:w="2188" w:type="dxa"/>
          </w:tcPr>
          <w:p w14:paraId="584C9559" w14:textId="77777777" w:rsidR="00610E5A" w:rsidRDefault="00610E5A" w:rsidP="00610E5A">
            <w:pPr>
              <w:pStyle w:val="Compact"/>
              <w:jc w:val="center"/>
            </w:pPr>
            <w:r>
              <w:t>0.016</w:t>
            </w:r>
          </w:p>
          <w:p w14:paraId="0D0A597E" w14:textId="77777777" w:rsidR="00610E5A" w:rsidRDefault="00610E5A" w:rsidP="00610E5A">
            <w:pPr>
              <w:pStyle w:val="Compact"/>
              <w:jc w:val="center"/>
            </w:pPr>
            <w:r>
              <w:t>(0.064)</w:t>
            </w:r>
          </w:p>
        </w:tc>
      </w:tr>
      <w:tr w:rsidR="00610E5A" w14:paraId="79396C05" w14:textId="77777777" w:rsidTr="00610E5A">
        <w:trPr>
          <w:trHeight w:val="483"/>
        </w:trPr>
        <w:tc>
          <w:tcPr>
            <w:tcW w:w="3794" w:type="dxa"/>
          </w:tcPr>
          <w:p w14:paraId="6D37AE48" w14:textId="77777777" w:rsidR="00610E5A" w:rsidRDefault="00610E5A" w:rsidP="00610E5A">
            <w:pPr>
              <w:pStyle w:val="Compact"/>
              <w:jc w:val="center"/>
            </w:pPr>
            <w:r>
              <w:t>+3</w:t>
            </w:r>
          </w:p>
        </w:tc>
        <w:tc>
          <w:tcPr>
            <w:tcW w:w="1659" w:type="dxa"/>
          </w:tcPr>
          <w:p w14:paraId="0C25F7F8" w14:textId="77777777" w:rsidR="00610E5A" w:rsidRDefault="00610E5A" w:rsidP="00610E5A">
            <w:pPr>
              <w:pStyle w:val="Compact"/>
              <w:jc w:val="center"/>
            </w:pPr>
            <w:r>
              <w:t>-0.005</w:t>
            </w:r>
          </w:p>
          <w:p w14:paraId="27A6A9A8" w14:textId="77777777" w:rsidR="00610E5A" w:rsidRDefault="00610E5A" w:rsidP="00610E5A">
            <w:pPr>
              <w:pStyle w:val="Compact"/>
              <w:jc w:val="center"/>
            </w:pPr>
            <w:r>
              <w:t>(0.016)</w:t>
            </w:r>
          </w:p>
        </w:tc>
        <w:tc>
          <w:tcPr>
            <w:tcW w:w="1601" w:type="dxa"/>
          </w:tcPr>
          <w:p w14:paraId="3FC74D3A" w14:textId="77777777" w:rsidR="00610E5A" w:rsidRDefault="00610E5A" w:rsidP="00610E5A">
            <w:pPr>
              <w:pStyle w:val="Compact"/>
              <w:jc w:val="center"/>
            </w:pPr>
          </w:p>
        </w:tc>
        <w:tc>
          <w:tcPr>
            <w:tcW w:w="2188" w:type="dxa"/>
          </w:tcPr>
          <w:p w14:paraId="5BEA7094" w14:textId="77777777" w:rsidR="00610E5A" w:rsidRDefault="00610E5A" w:rsidP="00610E5A">
            <w:pPr>
              <w:pStyle w:val="Compact"/>
              <w:jc w:val="center"/>
            </w:pPr>
            <w:r>
              <w:t>-0.008</w:t>
            </w:r>
          </w:p>
          <w:p w14:paraId="4BEDB4AF" w14:textId="77777777" w:rsidR="00610E5A" w:rsidRDefault="00610E5A" w:rsidP="00610E5A">
            <w:pPr>
              <w:pStyle w:val="Compact"/>
              <w:jc w:val="center"/>
            </w:pPr>
            <w:r>
              <w:t>(0.065)</w:t>
            </w:r>
          </w:p>
        </w:tc>
      </w:tr>
      <w:tr w:rsidR="00610E5A" w14:paraId="2E7768DC" w14:textId="77777777" w:rsidTr="00610E5A">
        <w:trPr>
          <w:trHeight w:val="468"/>
        </w:trPr>
        <w:tc>
          <w:tcPr>
            <w:tcW w:w="3794" w:type="dxa"/>
            <w:tcBorders>
              <w:bottom w:val="single" w:sz="4" w:space="0" w:color="auto"/>
            </w:tcBorders>
          </w:tcPr>
          <w:p w14:paraId="2AF202D7" w14:textId="77777777" w:rsidR="00610E5A" w:rsidRDefault="00610E5A" w:rsidP="00610E5A">
            <w:pPr>
              <w:pStyle w:val="Compact"/>
              <w:jc w:val="center"/>
            </w:pPr>
            <w:r>
              <w:t>+4</w:t>
            </w:r>
          </w:p>
        </w:tc>
        <w:tc>
          <w:tcPr>
            <w:tcW w:w="1659" w:type="dxa"/>
            <w:tcBorders>
              <w:bottom w:val="single" w:sz="4" w:space="0" w:color="auto"/>
            </w:tcBorders>
          </w:tcPr>
          <w:p w14:paraId="2163B1DF" w14:textId="77777777" w:rsidR="00610E5A" w:rsidRDefault="00610E5A" w:rsidP="00610E5A">
            <w:pPr>
              <w:pStyle w:val="Compact"/>
              <w:jc w:val="center"/>
            </w:pPr>
            <w:r>
              <w:t>0.032** (0.016)</w:t>
            </w:r>
          </w:p>
        </w:tc>
        <w:tc>
          <w:tcPr>
            <w:tcW w:w="1601" w:type="dxa"/>
            <w:tcBorders>
              <w:bottom w:val="single" w:sz="4" w:space="0" w:color="auto"/>
            </w:tcBorders>
          </w:tcPr>
          <w:p w14:paraId="08AB8198" w14:textId="77777777" w:rsidR="00610E5A" w:rsidRDefault="00610E5A" w:rsidP="00610E5A">
            <w:pPr>
              <w:pStyle w:val="Compact"/>
              <w:jc w:val="center"/>
            </w:pPr>
          </w:p>
        </w:tc>
        <w:tc>
          <w:tcPr>
            <w:tcW w:w="2188" w:type="dxa"/>
            <w:tcBorders>
              <w:bottom w:val="single" w:sz="4" w:space="0" w:color="auto"/>
            </w:tcBorders>
          </w:tcPr>
          <w:p w14:paraId="369765EF" w14:textId="77777777" w:rsidR="00610E5A" w:rsidRDefault="00610E5A" w:rsidP="00610E5A">
            <w:pPr>
              <w:pStyle w:val="Compact"/>
              <w:jc w:val="center"/>
            </w:pPr>
            <w:r>
              <w:t>0.044</w:t>
            </w:r>
          </w:p>
          <w:p w14:paraId="692E40C3" w14:textId="77777777" w:rsidR="00610E5A" w:rsidRDefault="00610E5A" w:rsidP="00610E5A">
            <w:pPr>
              <w:pStyle w:val="Compact"/>
              <w:jc w:val="center"/>
            </w:pPr>
            <w:r>
              <w:t>(0.069)</w:t>
            </w:r>
          </w:p>
        </w:tc>
      </w:tr>
    </w:tbl>
    <w:p w14:paraId="35FE889A" w14:textId="77777777" w:rsidR="00374AF0" w:rsidRPr="00610E5A" w:rsidRDefault="002A7B2C">
      <w:pPr>
        <w:pStyle w:val="BodyText"/>
        <w:rPr>
          <w:sz w:val="20"/>
        </w:rPr>
      </w:pPr>
      <w:r w:rsidRPr="00610E5A">
        <w:rPr>
          <w:i/>
          <w:iCs/>
          <w:sz w:val="20"/>
        </w:rPr>
        <w:t>Notes.</w:t>
      </w:r>
      <w:r w:rsidRPr="00610E5A">
        <w:rPr>
          <w:sz w:val="20"/>
        </w:rPr>
        <w:t xml:space="preserve"> Country-clustered standard errors in parentheses. * p&lt;0.10, ** p&lt;0.05, *** p&lt;0.01. The mitigation leads are jointly significant, indicating a pre-trend; the adaptation leads are not.</w:t>
      </w:r>
    </w:p>
    <w:p w14:paraId="00CB5D22" w14:textId="77777777" w:rsidR="00374AF0" w:rsidRDefault="002A7B2C">
      <w:pPr>
        <w:pStyle w:val="BodyText"/>
      </w:pPr>
      <w:r>
        <w:t>The pre-trend test is repeated for alternative symmetric event windows. The joint test that all lead coefficients are zero is not rejected at any window from two to five years on each side, so the clean adaptation pre-trend is not specific to the three-year window.</w:t>
      </w:r>
    </w:p>
    <w:p w14:paraId="14C08505" w14:textId="77777777" w:rsidR="00374AF0" w:rsidRDefault="002A7B2C">
      <w:pPr>
        <w:pStyle w:val="BodyText"/>
      </w:pPr>
      <w:r>
        <w:rPr>
          <w:b/>
          <w:bCs/>
        </w:rPr>
        <w:t>Table S2. Alternative event windows (adaptation, joint lead test)</w:t>
      </w:r>
    </w:p>
    <w:tbl>
      <w:tblPr>
        <w:tblStyle w:val="Table"/>
        <w:tblW w:w="9201" w:type="dxa"/>
        <w:tblLook w:val="0020" w:firstRow="1" w:lastRow="0" w:firstColumn="0" w:lastColumn="0" w:noHBand="0" w:noVBand="0"/>
      </w:tblPr>
      <w:tblGrid>
        <w:gridCol w:w="4117"/>
        <w:gridCol w:w="1761"/>
        <w:gridCol w:w="2153"/>
        <w:gridCol w:w="1170"/>
      </w:tblGrid>
      <w:tr w:rsidR="00374AF0" w14:paraId="53DF2A31" w14:textId="77777777" w:rsidTr="00610E5A">
        <w:trPr>
          <w:cnfStyle w:val="100000000000" w:firstRow="1" w:lastRow="0" w:firstColumn="0" w:lastColumn="0" w:oddVBand="0" w:evenVBand="0" w:oddHBand="0" w:evenHBand="0" w:firstRowFirstColumn="0" w:firstRowLastColumn="0" w:lastRowFirstColumn="0" w:lastRowLastColumn="0"/>
          <w:trHeight w:val="491"/>
          <w:tblHeader/>
        </w:trPr>
        <w:tc>
          <w:tcPr>
            <w:tcW w:w="0" w:type="auto"/>
            <w:tcBorders>
              <w:top w:val="single" w:sz="4" w:space="0" w:color="auto"/>
              <w:bottom w:val="single" w:sz="2" w:space="0" w:color="auto"/>
            </w:tcBorders>
          </w:tcPr>
          <w:p w14:paraId="38BBD5FA" w14:textId="77777777" w:rsidR="00374AF0" w:rsidRDefault="002A7B2C" w:rsidP="00610E5A">
            <w:pPr>
              <w:pStyle w:val="Compact"/>
              <w:jc w:val="center"/>
            </w:pPr>
            <w:r>
              <w:lastRenderedPageBreak/>
              <w:t>Event window</w:t>
            </w:r>
          </w:p>
        </w:tc>
        <w:tc>
          <w:tcPr>
            <w:tcW w:w="0" w:type="auto"/>
            <w:tcBorders>
              <w:top w:val="single" w:sz="4" w:space="0" w:color="auto"/>
              <w:bottom w:val="single" w:sz="2" w:space="0" w:color="auto"/>
            </w:tcBorders>
          </w:tcPr>
          <w:p w14:paraId="190CAFE7" w14:textId="77777777" w:rsidR="00374AF0" w:rsidRDefault="002A7B2C" w:rsidP="00610E5A">
            <w:pPr>
              <w:pStyle w:val="Compact"/>
              <w:jc w:val="center"/>
            </w:pPr>
            <w:r>
              <w:t>Leads tested</w:t>
            </w:r>
          </w:p>
        </w:tc>
        <w:tc>
          <w:tcPr>
            <w:tcW w:w="0" w:type="auto"/>
            <w:tcBorders>
              <w:top w:val="single" w:sz="4" w:space="0" w:color="auto"/>
              <w:bottom w:val="single" w:sz="2" w:space="0" w:color="auto"/>
            </w:tcBorders>
          </w:tcPr>
          <w:p w14:paraId="16C4E512" w14:textId="77777777" w:rsidR="00374AF0" w:rsidRDefault="002A7B2C" w:rsidP="00610E5A">
            <w:pPr>
              <w:pStyle w:val="Compact"/>
              <w:jc w:val="center"/>
            </w:pPr>
            <w:r>
              <w:t>Joint lead Wald</w:t>
            </w:r>
          </w:p>
        </w:tc>
        <w:tc>
          <w:tcPr>
            <w:tcW w:w="0" w:type="auto"/>
            <w:tcBorders>
              <w:top w:val="single" w:sz="4" w:space="0" w:color="auto"/>
              <w:bottom w:val="single" w:sz="2" w:space="0" w:color="auto"/>
            </w:tcBorders>
          </w:tcPr>
          <w:p w14:paraId="1A94A734" w14:textId="77777777" w:rsidR="00374AF0" w:rsidRDefault="002A7B2C" w:rsidP="00610E5A">
            <w:pPr>
              <w:pStyle w:val="Compact"/>
              <w:jc w:val="center"/>
            </w:pPr>
            <w:r>
              <w:t>p-value</w:t>
            </w:r>
          </w:p>
        </w:tc>
      </w:tr>
      <w:tr w:rsidR="00374AF0" w14:paraId="7D9F2925" w14:textId="77777777" w:rsidTr="00610E5A">
        <w:trPr>
          <w:trHeight w:val="475"/>
        </w:trPr>
        <w:tc>
          <w:tcPr>
            <w:tcW w:w="0" w:type="auto"/>
            <w:tcBorders>
              <w:top w:val="single" w:sz="2" w:space="0" w:color="auto"/>
            </w:tcBorders>
          </w:tcPr>
          <w:p w14:paraId="33626B66" w14:textId="77777777" w:rsidR="00374AF0" w:rsidRDefault="002A7B2C" w:rsidP="00610E5A">
            <w:pPr>
              <w:pStyle w:val="Compact"/>
              <w:jc w:val="center"/>
            </w:pPr>
            <w:r>
              <w:t>Two years each side</w:t>
            </w:r>
          </w:p>
        </w:tc>
        <w:tc>
          <w:tcPr>
            <w:tcW w:w="0" w:type="auto"/>
            <w:tcBorders>
              <w:top w:val="single" w:sz="2" w:space="0" w:color="auto"/>
            </w:tcBorders>
          </w:tcPr>
          <w:p w14:paraId="61BEFA79" w14:textId="77777777" w:rsidR="00374AF0" w:rsidRDefault="002A7B2C" w:rsidP="00610E5A">
            <w:pPr>
              <w:pStyle w:val="Compact"/>
              <w:jc w:val="center"/>
            </w:pPr>
            <w:r>
              <w:t>2</w:t>
            </w:r>
          </w:p>
        </w:tc>
        <w:tc>
          <w:tcPr>
            <w:tcW w:w="0" w:type="auto"/>
            <w:tcBorders>
              <w:top w:val="single" w:sz="2" w:space="0" w:color="auto"/>
            </w:tcBorders>
          </w:tcPr>
          <w:p w14:paraId="769BECAA" w14:textId="77777777" w:rsidR="00374AF0" w:rsidRDefault="002A7B2C" w:rsidP="00610E5A">
            <w:pPr>
              <w:pStyle w:val="Compact"/>
              <w:jc w:val="center"/>
            </w:pPr>
            <w:r>
              <w:t>0.01</w:t>
            </w:r>
          </w:p>
        </w:tc>
        <w:tc>
          <w:tcPr>
            <w:tcW w:w="0" w:type="auto"/>
            <w:tcBorders>
              <w:top w:val="single" w:sz="2" w:space="0" w:color="auto"/>
            </w:tcBorders>
          </w:tcPr>
          <w:p w14:paraId="56D3277F" w14:textId="77777777" w:rsidR="00374AF0" w:rsidRDefault="002A7B2C" w:rsidP="00610E5A">
            <w:pPr>
              <w:pStyle w:val="Compact"/>
              <w:jc w:val="center"/>
            </w:pPr>
            <w:r>
              <w:t>0.993</w:t>
            </w:r>
          </w:p>
        </w:tc>
      </w:tr>
      <w:tr w:rsidR="00374AF0" w14:paraId="1FDF356C" w14:textId="77777777" w:rsidTr="00610E5A">
        <w:trPr>
          <w:trHeight w:val="491"/>
        </w:trPr>
        <w:tc>
          <w:tcPr>
            <w:tcW w:w="0" w:type="auto"/>
          </w:tcPr>
          <w:p w14:paraId="5DFA73DD" w14:textId="77777777" w:rsidR="00374AF0" w:rsidRDefault="002A7B2C" w:rsidP="00610E5A">
            <w:pPr>
              <w:pStyle w:val="Compact"/>
              <w:jc w:val="center"/>
            </w:pPr>
            <w:r>
              <w:t>Three years each side (baseline)</w:t>
            </w:r>
          </w:p>
        </w:tc>
        <w:tc>
          <w:tcPr>
            <w:tcW w:w="0" w:type="auto"/>
          </w:tcPr>
          <w:p w14:paraId="6C3BD633" w14:textId="77777777" w:rsidR="00374AF0" w:rsidRDefault="002A7B2C" w:rsidP="00610E5A">
            <w:pPr>
              <w:pStyle w:val="Compact"/>
              <w:jc w:val="center"/>
            </w:pPr>
            <w:r>
              <w:t>3</w:t>
            </w:r>
          </w:p>
        </w:tc>
        <w:tc>
          <w:tcPr>
            <w:tcW w:w="0" w:type="auto"/>
          </w:tcPr>
          <w:p w14:paraId="4E955877" w14:textId="77777777" w:rsidR="00374AF0" w:rsidRDefault="002A7B2C" w:rsidP="00610E5A">
            <w:pPr>
              <w:pStyle w:val="Compact"/>
              <w:jc w:val="center"/>
            </w:pPr>
            <w:r>
              <w:t>3.31</w:t>
            </w:r>
          </w:p>
        </w:tc>
        <w:tc>
          <w:tcPr>
            <w:tcW w:w="0" w:type="auto"/>
          </w:tcPr>
          <w:p w14:paraId="526FA379" w14:textId="77777777" w:rsidR="00374AF0" w:rsidRDefault="002A7B2C" w:rsidP="00610E5A">
            <w:pPr>
              <w:pStyle w:val="Compact"/>
              <w:jc w:val="center"/>
            </w:pPr>
            <w:r>
              <w:t>0.347</w:t>
            </w:r>
          </w:p>
        </w:tc>
      </w:tr>
      <w:tr w:rsidR="00374AF0" w14:paraId="00EEF198" w14:textId="77777777" w:rsidTr="00610E5A">
        <w:trPr>
          <w:trHeight w:val="491"/>
        </w:trPr>
        <w:tc>
          <w:tcPr>
            <w:tcW w:w="0" w:type="auto"/>
          </w:tcPr>
          <w:p w14:paraId="51112941" w14:textId="77777777" w:rsidR="00374AF0" w:rsidRDefault="002A7B2C" w:rsidP="00610E5A">
            <w:pPr>
              <w:pStyle w:val="Compact"/>
              <w:jc w:val="center"/>
            </w:pPr>
            <w:r>
              <w:t>Four years each side</w:t>
            </w:r>
          </w:p>
        </w:tc>
        <w:tc>
          <w:tcPr>
            <w:tcW w:w="0" w:type="auto"/>
          </w:tcPr>
          <w:p w14:paraId="1A688539" w14:textId="77777777" w:rsidR="00374AF0" w:rsidRDefault="002A7B2C" w:rsidP="00610E5A">
            <w:pPr>
              <w:pStyle w:val="Compact"/>
              <w:jc w:val="center"/>
            </w:pPr>
            <w:r>
              <w:t>4</w:t>
            </w:r>
          </w:p>
        </w:tc>
        <w:tc>
          <w:tcPr>
            <w:tcW w:w="0" w:type="auto"/>
          </w:tcPr>
          <w:p w14:paraId="36CB90AF" w14:textId="77777777" w:rsidR="00374AF0" w:rsidRDefault="002A7B2C" w:rsidP="00610E5A">
            <w:pPr>
              <w:pStyle w:val="Compact"/>
              <w:jc w:val="center"/>
            </w:pPr>
            <w:r>
              <w:t>5.59</w:t>
            </w:r>
          </w:p>
        </w:tc>
        <w:tc>
          <w:tcPr>
            <w:tcW w:w="0" w:type="auto"/>
          </w:tcPr>
          <w:p w14:paraId="3A7A4D29" w14:textId="77777777" w:rsidR="00374AF0" w:rsidRDefault="002A7B2C" w:rsidP="00610E5A">
            <w:pPr>
              <w:pStyle w:val="Compact"/>
              <w:jc w:val="center"/>
            </w:pPr>
            <w:r>
              <w:t>0.232</w:t>
            </w:r>
          </w:p>
        </w:tc>
      </w:tr>
      <w:tr w:rsidR="00374AF0" w14:paraId="0DA13926" w14:textId="77777777" w:rsidTr="00610E5A">
        <w:trPr>
          <w:trHeight w:val="491"/>
        </w:trPr>
        <w:tc>
          <w:tcPr>
            <w:tcW w:w="0" w:type="auto"/>
            <w:tcBorders>
              <w:bottom w:val="single" w:sz="4" w:space="0" w:color="auto"/>
            </w:tcBorders>
          </w:tcPr>
          <w:p w14:paraId="69B70392" w14:textId="77777777" w:rsidR="00374AF0" w:rsidRDefault="002A7B2C" w:rsidP="00610E5A">
            <w:pPr>
              <w:pStyle w:val="Compact"/>
              <w:jc w:val="center"/>
            </w:pPr>
            <w:r>
              <w:t>Five years each side</w:t>
            </w:r>
          </w:p>
        </w:tc>
        <w:tc>
          <w:tcPr>
            <w:tcW w:w="0" w:type="auto"/>
            <w:tcBorders>
              <w:bottom w:val="single" w:sz="4" w:space="0" w:color="auto"/>
            </w:tcBorders>
          </w:tcPr>
          <w:p w14:paraId="2D10F074" w14:textId="77777777" w:rsidR="00374AF0" w:rsidRDefault="002A7B2C" w:rsidP="00610E5A">
            <w:pPr>
              <w:pStyle w:val="Compact"/>
              <w:jc w:val="center"/>
            </w:pPr>
            <w:r>
              <w:t>5</w:t>
            </w:r>
          </w:p>
        </w:tc>
        <w:tc>
          <w:tcPr>
            <w:tcW w:w="0" w:type="auto"/>
            <w:tcBorders>
              <w:bottom w:val="single" w:sz="4" w:space="0" w:color="auto"/>
            </w:tcBorders>
          </w:tcPr>
          <w:p w14:paraId="7DE54D1B" w14:textId="77777777" w:rsidR="00374AF0" w:rsidRDefault="002A7B2C" w:rsidP="00610E5A">
            <w:pPr>
              <w:pStyle w:val="Compact"/>
              <w:jc w:val="center"/>
            </w:pPr>
            <w:r>
              <w:t>7.73</w:t>
            </w:r>
          </w:p>
        </w:tc>
        <w:tc>
          <w:tcPr>
            <w:tcW w:w="0" w:type="auto"/>
            <w:tcBorders>
              <w:bottom w:val="single" w:sz="4" w:space="0" w:color="auto"/>
            </w:tcBorders>
          </w:tcPr>
          <w:p w14:paraId="60CC0323" w14:textId="77777777" w:rsidR="00374AF0" w:rsidRDefault="002A7B2C" w:rsidP="00610E5A">
            <w:pPr>
              <w:pStyle w:val="Compact"/>
              <w:jc w:val="center"/>
            </w:pPr>
            <w:r>
              <w:t>0.171</w:t>
            </w:r>
          </w:p>
        </w:tc>
      </w:tr>
    </w:tbl>
    <w:p w14:paraId="7D1A1BB3" w14:textId="77777777" w:rsidR="00374AF0" w:rsidRPr="00610E5A" w:rsidRDefault="002A7B2C">
      <w:pPr>
        <w:pStyle w:val="BodyText"/>
        <w:rPr>
          <w:sz w:val="20"/>
        </w:rPr>
      </w:pPr>
      <w:r w:rsidRPr="00610E5A">
        <w:rPr>
          <w:i/>
          <w:iCs/>
          <w:sz w:val="20"/>
        </w:rPr>
        <w:t>Notes.</w:t>
      </w:r>
      <w:r w:rsidRPr="00610E5A">
        <w:rPr>
          <w:sz w:val="20"/>
        </w:rPr>
        <w:t xml:space="preserve"> OLS event study with country and year fixed effects on adaptation laws. Each row adds symmetric leads and lags; the joint lead test is a cluster-robust Wald test </w:t>
      </w:r>
      <w:proofErr w:type="gramStart"/>
      <w:r w:rsidRPr="00610E5A">
        <w:rPr>
          <w:sz w:val="20"/>
        </w:rPr>
        <w:t>that</w:t>
      </w:r>
      <w:proofErr w:type="gramEnd"/>
      <w:r w:rsidRPr="00610E5A">
        <w:rPr>
          <w:sz w:val="20"/>
        </w:rPr>
        <w:t xml:space="preserve"> all lead coefficients are zero. No window shows a pre-trend.</w:t>
      </w:r>
    </w:p>
    <w:p w14:paraId="6DA5AB5E" w14:textId="77777777" w:rsidR="00374AF0" w:rsidRDefault="002A7B2C">
      <w:pPr>
        <w:pStyle w:val="BodyText"/>
      </w:pPr>
      <w:r>
        <w:t xml:space="preserve">As </w:t>
      </w:r>
      <w:proofErr w:type="gramStart"/>
      <w:r>
        <w:t>a further</w:t>
      </w:r>
      <w:proofErr w:type="gramEnd"/>
      <w:r>
        <w:t xml:space="preserve"> falsification, current adaptation lawmaking is regressed on disasters that occur four and five years in the future, alongside the baseline lags. If the estimates captured a continuing trend rather than a response, these future terms would load positively. The joint test does not reject the null.</w:t>
      </w:r>
    </w:p>
    <w:p w14:paraId="07AC3368" w14:textId="77777777" w:rsidR="00374AF0" w:rsidRDefault="002A7B2C">
      <w:pPr>
        <w:pStyle w:val="BodyText"/>
      </w:pPr>
      <w:r>
        <w:rPr>
          <w:b/>
          <w:bCs/>
        </w:rPr>
        <w:t>Table S3. Future-disaster falsification</w:t>
      </w:r>
    </w:p>
    <w:tbl>
      <w:tblPr>
        <w:tblStyle w:val="Table"/>
        <w:tblW w:w="9221" w:type="dxa"/>
        <w:tblLook w:val="0020" w:firstRow="1" w:lastRow="0" w:firstColumn="0" w:lastColumn="0" w:noHBand="0" w:noVBand="0"/>
      </w:tblPr>
      <w:tblGrid>
        <w:gridCol w:w="4323"/>
        <w:gridCol w:w="4898"/>
      </w:tblGrid>
      <w:tr w:rsidR="00374AF0" w14:paraId="4FECDAFA" w14:textId="77777777" w:rsidTr="00610E5A">
        <w:trPr>
          <w:cnfStyle w:val="100000000000" w:firstRow="1" w:lastRow="0" w:firstColumn="0" w:lastColumn="0" w:oddVBand="0" w:evenVBand="0" w:oddHBand="0" w:evenHBand="0" w:firstRowFirstColumn="0" w:firstRowLastColumn="0" w:lastRowFirstColumn="0" w:lastRowLastColumn="0"/>
          <w:trHeight w:val="474"/>
          <w:tblHeader/>
        </w:trPr>
        <w:tc>
          <w:tcPr>
            <w:tcW w:w="0" w:type="auto"/>
            <w:tcBorders>
              <w:top w:val="single" w:sz="4" w:space="0" w:color="auto"/>
              <w:bottom w:val="single" w:sz="2" w:space="0" w:color="auto"/>
            </w:tcBorders>
          </w:tcPr>
          <w:p w14:paraId="743CD2CD" w14:textId="77777777" w:rsidR="00374AF0" w:rsidRDefault="002A7B2C" w:rsidP="00610E5A">
            <w:pPr>
              <w:pStyle w:val="Compact"/>
              <w:jc w:val="center"/>
            </w:pPr>
            <w:r>
              <w:t>Term</w:t>
            </w:r>
          </w:p>
        </w:tc>
        <w:tc>
          <w:tcPr>
            <w:tcW w:w="0" w:type="auto"/>
            <w:tcBorders>
              <w:top w:val="single" w:sz="4" w:space="0" w:color="auto"/>
              <w:bottom w:val="single" w:sz="2" w:space="0" w:color="auto"/>
            </w:tcBorders>
          </w:tcPr>
          <w:p w14:paraId="5C700140" w14:textId="77777777" w:rsidR="00374AF0" w:rsidRDefault="002A7B2C" w:rsidP="00610E5A">
            <w:pPr>
              <w:pStyle w:val="Compact"/>
              <w:jc w:val="center"/>
            </w:pPr>
            <w:r>
              <w:t>Coefficient</w:t>
            </w:r>
          </w:p>
        </w:tc>
      </w:tr>
      <w:tr w:rsidR="00374AF0" w14:paraId="120483F2" w14:textId="77777777" w:rsidTr="00610E5A">
        <w:trPr>
          <w:trHeight w:val="459"/>
        </w:trPr>
        <w:tc>
          <w:tcPr>
            <w:tcW w:w="0" w:type="auto"/>
            <w:tcBorders>
              <w:top w:val="single" w:sz="2" w:space="0" w:color="auto"/>
            </w:tcBorders>
          </w:tcPr>
          <w:p w14:paraId="4C9983C8" w14:textId="77777777" w:rsidR="00374AF0" w:rsidRDefault="002A7B2C" w:rsidP="00610E5A">
            <w:pPr>
              <w:pStyle w:val="Compact"/>
              <w:jc w:val="center"/>
            </w:pPr>
            <w:r>
              <w:t>Disaster (t+4)</w:t>
            </w:r>
          </w:p>
        </w:tc>
        <w:tc>
          <w:tcPr>
            <w:tcW w:w="0" w:type="auto"/>
            <w:tcBorders>
              <w:top w:val="single" w:sz="2" w:space="0" w:color="auto"/>
            </w:tcBorders>
          </w:tcPr>
          <w:p w14:paraId="38617D21" w14:textId="77777777" w:rsidR="00610E5A" w:rsidRDefault="002A7B2C" w:rsidP="00610E5A">
            <w:pPr>
              <w:pStyle w:val="Compact"/>
              <w:jc w:val="center"/>
            </w:pPr>
            <w:r>
              <w:t xml:space="preserve">-0.001 </w:t>
            </w:r>
          </w:p>
          <w:p w14:paraId="0F0A1CEE" w14:textId="77777777" w:rsidR="00374AF0" w:rsidRDefault="002A7B2C" w:rsidP="00610E5A">
            <w:pPr>
              <w:pStyle w:val="Compact"/>
              <w:jc w:val="center"/>
            </w:pPr>
            <w:r>
              <w:t>(0.115)</w:t>
            </w:r>
          </w:p>
        </w:tc>
      </w:tr>
      <w:tr w:rsidR="00374AF0" w14:paraId="4D452E1D" w14:textId="77777777" w:rsidTr="00610E5A">
        <w:trPr>
          <w:trHeight w:val="474"/>
        </w:trPr>
        <w:tc>
          <w:tcPr>
            <w:tcW w:w="0" w:type="auto"/>
          </w:tcPr>
          <w:p w14:paraId="52469834" w14:textId="77777777" w:rsidR="00374AF0" w:rsidRDefault="002A7B2C" w:rsidP="00610E5A">
            <w:pPr>
              <w:pStyle w:val="Compact"/>
              <w:jc w:val="center"/>
            </w:pPr>
            <w:r>
              <w:t>Disaster (t+5)</w:t>
            </w:r>
          </w:p>
        </w:tc>
        <w:tc>
          <w:tcPr>
            <w:tcW w:w="0" w:type="auto"/>
          </w:tcPr>
          <w:p w14:paraId="7949F30E" w14:textId="77777777" w:rsidR="00610E5A" w:rsidRDefault="002A7B2C" w:rsidP="00610E5A">
            <w:pPr>
              <w:pStyle w:val="Compact"/>
              <w:jc w:val="center"/>
            </w:pPr>
            <w:r>
              <w:t xml:space="preserve">0.193* </w:t>
            </w:r>
          </w:p>
          <w:p w14:paraId="24FE5D11" w14:textId="77777777" w:rsidR="00374AF0" w:rsidRDefault="002A7B2C" w:rsidP="00610E5A">
            <w:pPr>
              <w:pStyle w:val="Compact"/>
              <w:jc w:val="center"/>
            </w:pPr>
            <w:r>
              <w:t>(0.114)</w:t>
            </w:r>
          </w:p>
        </w:tc>
      </w:tr>
      <w:tr w:rsidR="00374AF0" w14:paraId="2DFA8452" w14:textId="77777777" w:rsidTr="00610E5A">
        <w:trPr>
          <w:trHeight w:val="474"/>
        </w:trPr>
        <w:tc>
          <w:tcPr>
            <w:tcW w:w="0" w:type="auto"/>
            <w:tcBorders>
              <w:bottom w:val="single" w:sz="4" w:space="0" w:color="auto"/>
            </w:tcBorders>
          </w:tcPr>
          <w:p w14:paraId="7206FFAD" w14:textId="77777777" w:rsidR="00374AF0" w:rsidRDefault="002A7B2C" w:rsidP="00610E5A">
            <w:pPr>
              <w:pStyle w:val="Compact"/>
              <w:jc w:val="center"/>
            </w:pPr>
            <w:r>
              <w:t>Joint test (t+4 and t+5)</w:t>
            </w:r>
          </w:p>
        </w:tc>
        <w:tc>
          <w:tcPr>
            <w:tcW w:w="0" w:type="auto"/>
            <w:tcBorders>
              <w:bottom w:val="single" w:sz="4" w:space="0" w:color="auto"/>
            </w:tcBorders>
          </w:tcPr>
          <w:p w14:paraId="118B7454" w14:textId="77777777" w:rsidR="00374AF0" w:rsidRDefault="002A7B2C" w:rsidP="00610E5A">
            <w:pPr>
              <w:pStyle w:val="Compact"/>
              <w:jc w:val="center"/>
            </w:pPr>
            <w:proofErr w:type="gramStart"/>
            <w:r>
              <w:t>Wald(</w:t>
            </w:r>
            <w:proofErr w:type="gramEnd"/>
            <w:r>
              <w:t>2) = 2.95, p = 0.229</w:t>
            </w:r>
          </w:p>
        </w:tc>
      </w:tr>
    </w:tbl>
    <w:p w14:paraId="7EB31467" w14:textId="77777777" w:rsidR="00374AF0" w:rsidRPr="00610E5A" w:rsidRDefault="002A7B2C">
      <w:pPr>
        <w:pStyle w:val="BodyText"/>
        <w:rPr>
          <w:sz w:val="20"/>
        </w:rPr>
      </w:pPr>
      <w:r w:rsidRPr="00610E5A">
        <w:rPr>
          <w:i/>
          <w:iCs/>
          <w:sz w:val="20"/>
        </w:rPr>
        <w:t>Notes.</w:t>
      </w:r>
      <w:r w:rsidRPr="00610E5A">
        <w:rPr>
          <w:sz w:val="20"/>
        </w:rPr>
        <w:t xml:space="preserve"> PPML on adaptation laws with the baseline distributed-lag terms plus future disaster indicators, country and year fixed effects, country-clustered standard errors in parentheses. The individual t+5 term is marginally positive, but the joint test of both future terms is not significant.</w:t>
      </w:r>
    </w:p>
    <w:p w14:paraId="3722B2B9" w14:textId="77777777" w:rsidR="00374AF0" w:rsidRPr="00610E5A" w:rsidRDefault="002A7B2C" w:rsidP="00610E5A">
      <w:pPr>
        <w:rPr>
          <w:b/>
          <w:sz w:val="28"/>
        </w:rPr>
      </w:pPr>
      <w:bookmarkStart w:id="5" w:name="s4.-heterogeneity-full-tables"/>
      <w:bookmarkEnd w:id="4"/>
      <w:r w:rsidRPr="00610E5A">
        <w:rPr>
          <w:b/>
          <w:sz w:val="28"/>
        </w:rPr>
        <w:t>S4. Heterogeneity, full tables</w:t>
      </w:r>
    </w:p>
    <w:p w14:paraId="492F2E0F" w14:textId="77777777" w:rsidR="00374AF0" w:rsidRDefault="002A7B2C">
      <w:pPr>
        <w:pStyle w:val="FirstParagraph"/>
      </w:pPr>
      <w:r>
        <w:t>The high-income interaction and the income-group splits are reported in Table 3 of the main text; the vulnerability split, a secondary cut, is reported here. The splits use World Bank thresholds on constant-2015 GDP per capita, assigned in each country-year: low income at or below 1,145 dollars, lower-middle to 4,515, upper-middle to 14,005, and high income above 14,005. The vulnerability split divides countries at the sample median of the ND-GAIN vulnerability sub-index (Chen et al., 2015). Each split is a separate PPML estimation with the same fixed effects and clustering as the baseline.</w:t>
      </w:r>
    </w:p>
    <w:p w14:paraId="3206E0E6" w14:textId="77777777" w:rsidR="00374AF0" w:rsidRDefault="002A7B2C">
      <w:pPr>
        <w:pStyle w:val="BodyText"/>
      </w:pPr>
      <w:r>
        <w:lastRenderedPageBreak/>
        <w:t xml:space="preserve">Two further cuts separate capacity from wealth and from a single region. Governance interactions split the sample at the median of the V-Dem rule-of-law index and, separately, the corruption index (reverse-coded so that higher means cleaner), and interact the split with the disaster terms. Regional cuts </w:t>
      </w:r>
      <w:proofErr w:type="gramStart"/>
      <w:r>
        <w:t>interact</w:t>
      </w:r>
      <w:proofErr w:type="gramEnd"/>
      <w:r>
        <w:t xml:space="preserve"> the disaster terms with OECD and Europe membership and, for developing regions, estimate the model within each region. The response is concentrated where the rule of law is strong and where corruption is low, the OECD interaction is large, and the Europe-specific interaction is not significant, so the high-income pattern does not reduce to the European Union.</w:t>
      </w:r>
    </w:p>
    <w:p w14:paraId="4CEE9D2A" w14:textId="77777777" w:rsidR="008E6028" w:rsidRPr="008E6028" w:rsidRDefault="008E6028" w:rsidP="008E6028">
      <w:pPr>
        <w:spacing w:before="100" w:beforeAutospacing="1" w:after="100" w:afterAutospacing="1"/>
        <w:rPr>
          <w:lang w:val="en-IN" w:eastAsia="en-IN"/>
        </w:rPr>
      </w:pPr>
      <w:r w:rsidRPr="008E6028">
        <w:rPr>
          <w:b/>
          <w:bCs/>
          <w:lang w:val="en-IN" w:eastAsia="en-IN"/>
        </w:rPr>
        <w:t>Table S4. Governance, regional, and vulnerability heterogeneity in the cumulative adaptation response</w:t>
      </w:r>
    </w:p>
    <w:tbl>
      <w:tblPr>
        <w:tblW w:w="9301" w:type="dxa"/>
        <w:jc w:val="center"/>
        <w:tblCellSpacing w:w="15" w:type="dxa"/>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2174"/>
        <w:gridCol w:w="2025"/>
        <w:gridCol w:w="1389"/>
        <w:gridCol w:w="1203"/>
        <w:gridCol w:w="1421"/>
        <w:gridCol w:w="1089"/>
      </w:tblGrid>
      <w:tr w:rsidR="00610E5A" w:rsidRPr="008E6028" w14:paraId="1127AC07" w14:textId="77777777" w:rsidTr="00610E5A">
        <w:trPr>
          <w:trHeight w:val="783"/>
          <w:tblHeader/>
          <w:tblCellSpacing w:w="15" w:type="dxa"/>
          <w:jc w:val="center"/>
        </w:trPr>
        <w:tc>
          <w:tcPr>
            <w:tcW w:w="0" w:type="auto"/>
            <w:tcBorders>
              <w:top w:val="single" w:sz="4" w:space="0" w:color="auto"/>
              <w:bottom w:val="single" w:sz="4" w:space="0" w:color="auto"/>
            </w:tcBorders>
            <w:vAlign w:val="center"/>
            <w:hideMark/>
          </w:tcPr>
          <w:p w14:paraId="79102447" w14:textId="77777777" w:rsidR="008E6028" w:rsidRPr="008E6028" w:rsidRDefault="008E6028" w:rsidP="00610E5A">
            <w:pPr>
              <w:spacing w:after="0" w:line="360" w:lineRule="auto"/>
              <w:jc w:val="center"/>
              <w:rPr>
                <w:b/>
                <w:bCs/>
                <w:lang w:val="en-IN" w:eastAsia="en-IN"/>
              </w:rPr>
            </w:pPr>
            <w:r w:rsidRPr="008E6028">
              <w:rPr>
                <w:b/>
                <w:bCs/>
                <w:lang w:val="en-IN" w:eastAsia="en-IN"/>
              </w:rPr>
              <w:t>Panel</w:t>
            </w:r>
          </w:p>
        </w:tc>
        <w:tc>
          <w:tcPr>
            <w:tcW w:w="0" w:type="auto"/>
            <w:tcBorders>
              <w:top w:val="single" w:sz="4" w:space="0" w:color="auto"/>
              <w:bottom w:val="single" w:sz="4" w:space="0" w:color="auto"/>
            </w:tcBorders>
            <w:vAlign w:val="center"/>
            <w:hideMark/>
          </w:tcPr>
          <w:p w14:paraId="7B4CB7B1" w14:textId="77777777" w:rsidR="008E6028" w:rsidRPr="008E6028" w:rsidRDefault="008E6028" w:rsidP="00610E5A">
            <w:pPr>
              <w:spacing w:after="0" w:line="360" w:lineRule="auto"/>
              <w:jc w:val="center"/>
              <w:rPr>
                <w:b/>
                <w:bCs/>
                <w:lang w:val="en-IN" w:eastAsia="en-IN"/>
              </w:rPr>
            </w:pPr>
            <w:r w:rsidRPr="008E6028">
              <w:rPr>
                <w:b/>
                <w:bCs/>
                <w:lang w:val="en-IN" w:eastAsia="en-IN"/>
              </w:rPr>
              <w:t>Group</w:t>
            </w:r>
          </w:p>
        </w:tc>
        <w:tc>
          <w:tcPr>
            <w:tcW w:w="0" w:type="auto"/>
            <w:tcBorders>
              <w:top w:val="single" w:sz="4" w:space="0" w:color="auto"/>
              <w:bottom w:val="single" w:sz="4" w:space="0" w:color="auto"/>
            </w:tcBorders>
            <w:vAlign w:val="center"/>
            <w:hideMark/>
          </w:tcPr>
          <w:p w14:paraId="493003E7" w14:textId="77777777" w:rsidR="008E6028" w:rsidRPr="008E6028" w:rsidRDefault="008E6028" w:rsidP="00610E5A">
            <w:pPr>
              <w:spacing w:after="0" w:line="360" w:lineRule="auto"/>
              <w:jc w:val="center"/>
              <w:rPr>
                <w:b/>
                <w:bCs/>
                <w:lang w:val="en-IN" w:eastAsia="en-IN"/>
              </w:rPr>
            </w:pPr>
            <w:r w:rsidRPr="008E6028">
              <w:rPr>
                <w:b/>
                <w:bCs/>
                <w:lang w:val="en-IN" w:eastAsia="en-IN"/>
              </w:rPr>
              <w:t>Coefficient</w:t>
            </w:r>
          </w:p>
        </w:tc>
        <w:tc>
          <w:tcPr>
            <w:tcW w:w="0" w:type="auto"/>
            <w:tcBorders>
              <w:top w:val="single" w:sz="4" w:space="0" w:color="auto"/>
              <w:bottom w:val="single" w:sz="4" w:space="0" w:color="auto"/>
            </w:tcBorders>
            <w:vAlign w:val="center"/>
            <w:hideMark/>
          </w:tcPr>
          <w:p w14:paraId="52127F79" w14:textId="77777777" w:rsidR="008E6028" w:rsidRPr="008E6028" w:rsidRDefault="008E6028" w:rsidP="00610E5A">
            <w:pPr>
              <w:spacing w:after="0" w:line="360" w:lineRule="auto"/>
              <w:jc w:val="center"/>
              <w:rPr>
                <w:b/>
                <w:bCs/>
                <w:lang w:val="en-IN" w:eastAsia="en-IN"/>
              </w:rPr>
            </w:pPr>
            <w:r w:rsidRPr="008E6028">
              <w:rPr>
                <w:b/>
                <w:bCs/>
                <w:lang w:val="en-IN" w:eastAsia="en-IN"/>
              </w:rPr>
              <w:t>Percent change</w:t>
            </w:r>
          </w:p>
        </w:tc>
        <w:tc>
          <w:tcPr>
            <w:tcW w:w="0" w:type="auto"/>
            <w:tcBorders>
              <w:top w:val="single" w:sz="4" w:space="0" w:color="auto"/>
              <w:bottom w:val="single" w:sz="4" w:space="0" w:color="auto"/>
            </w:tcBorders>
            <w:vAlign w:val="center"/>
            <w:hideMark/>
          </w:tcPr>
          <w:p w14:paraId="2AB11488" w14:textId="77777777" w:rsidR="008E6028" w:rsidRPr="008E6028" w:rsidRDefault="008E6028" w:rsidP="00610E5A">
            <w:pPr>
              <w:spacing w:after="0" w:line="360" w:lineRule="auto"/>
              <w:jc w:val="center"/>
              <w:rPr>
                <w:b/>
                <w:bCs/>
                <w:lang w:val="en-IN" w:eastAsia="en-IN"/>
              </w:rPr>
            </w:pPr>
            <w:r w:rsidRPr="008E6028">
              <w:rPr>
                <w:b/>
                <w:bCs/>
                <w:lang w:val="en-IN" w:eastAsia="en-IN"/>
              </w:rPr>
              <w:t>Observations</w:t>
            </w:r>
          </w:p>
        </w:tc>
        <w:tc>
          <w:tcPr>
            <w:tcW w:w="0" w:type="auto"/>
            <w:tcBorders>
              <w:top w:val="single" w:sz="4" w:space="0" w:color="auto"/>
              <w:bottom w:val="single" w:sz="4" w:space="0" w:color="auto"/>
            </w:tcBorders>
            <w:vAlign w:val="center"/>
            <w:hideMark/>
          </w:tcPr>
          <w:p w14:paraId="666D7B7F" w14:textId="77777777" w:rsidR="008E6028" w:rsidRPr="008E6028" w:rsidRDefault="008E6028" w:rsidP="00610E5A">
            <w:pPr>
              <w:spacing w:after="0" w:line="360" w:lineRule="auto"/>
              <w:jc w:val="center"/>
              <w:rPr>
                <w:b/>
                <w:bCs/>
                <w:lang w:val="en-IN" w:eastAsia="en-IN"/>
              </w:rPr>
            </w:pPr>
            <w:r w:rsidRPr="008E6028">
              <w:rPr>
                <w:b/>
                <w:bCs/>
                <w:lang w:val="en-IN" w:eastAsia="en-IN"/>
              </w:rPr>
              <w:t>Countries</w:t>
            </w:r>
          </w:p>
        </w:tc>
      </w:tr>
      <w:tr w:rsidR="00610E5A" w:rsidRPr="008E6028" w14:paraId="5809F106" w14:textId="77777777" w:rsidTr="00610E5A">
        <w:trPr>
          <w:trHeight w:val="783"/>
          <w:tblCellSpacing w:w="15" w:type="dxa"/>
          <w:jc w:val="center"/>
        </w:trPr>
        <w:tc>
          <w:tcPr>
            <w:tcW w:w="0" w:type="auto"/>
            <w:vAlign w:val="center"/>
            <w:hideMark/>
          </w:tcPr>
          <w:p w14:paraId="39FF49CE" w14:textId="77777777" w:rsidR="008E6028" w:rsidRPr="008E6028" w:rsidRDefault="008E6028" w:rsidP="00610E5A">
            <w:pPr>
              <w:spacing w:after="0" w:line="360" w:lineRule="auto"/>
              <w:rPr>
                <w:lang w:val="en-IN" w:eastAsia="en-IN"/>
              </w:rPr>
            </w:pPr>
            <w:r w:rsidRPr="008E6028">
              <w:rPr>
                <w:b/>
                <w:bCs/>
                <w:lang w:val="en-IN" w:eastAsia="en-IN"/>
              </w:rPr>
              <w:t>A. Governance interactions</w:t>
            </w:r>
          </w:p>
        </w:tc>
        <w:tc>
          <w:tcPr>
            <w:tcW w:w="0" w:type="auto"/>
            <w:vAlign w:val="center"/>
            <w:hideMark/>
          </w:tcPr>
          <w:p w14:paraId="11BF45B2" w14:textId="77777777" w:rsidR="008E6028" w:rsidRPr="008E6028" w:rsidRDefault="008E6028" w:rsidP="00610E5A">
            <w:pPr>
              <w:spacing w:after="0" w:line="360" w:lineRule="auto"/>
              <w:rPr>
                <w:lang w:val="en-IN" w:eastAsia="en-IN"/>
              </w:rPr>
            </w:pPr>
            <w:r w:rsidRPr="008E6028">
              <w:rPr>
                <w:lang w:val="en-IN" w:eastAsia="en-IN"/>
              </w:rPr>
              <w:t>Strong rule of law, additional</w:t>
            </w:r>
          </w:p>
        </w:tc>
        <w:tc>
          <w:tcPr>
            <w:tcW w:w="0" w:type="auto"/>
            <w:vAlign w:val="center"/>
            <w:hideMark/>
          </w:tcPr>
          <w:p w14:paraId="71E179AE" w14:textId="77777777" w:rsidR="008E6028" w:rsidRPr="008E6028" w:rsidRDefault="008E6028" w:rsidP="00610E5A">
            <w:pPr>
              <w:spacing w:after="0" w:line="360" w:lineRule="auto"/>
              <w:jc w:val="right"/>
              <w:rPr>
                <w:lang w:val="en-IN" w:eastAsia="en-IN"/>
              </w:rPr>
            </w:pPr>
            <w:r w:rsidRPr="008E6028">
              <w:rPr>
                <w:lang w:val="en-IN" w:eastAsia="en-IN"/>
              </w:rPr>
              <w:t>0.491</w:t>
            </w:r>
            <w:r>
              <w:rPr>
                <w:lang w:val="en-IN" w:eastAsia="en-IN"/>
              </w:rPr>
              <w:t>*** (0.160)</w:t>
            </w:r>
          </w:p>
        </w:tc>
        <w:tc>
          <w:tcPr>
            <w:tcW w:w="0" w:type="auto"/>
            <w:vAlign w:val="center"/>
            <w:hideMark/>
          </w:tcPr>
          <w:p w14:paraId="7205F501" w14:textId="77777777" w:rsidR="008E6028" w:rsidRPr="008E6028" w:rsidRDefault="008E6028" w:rsidP="00610E5A">
            <w:pPr>
              <w:spacing w:after="0" w:line="360" w:lineRule="auto"/>
              <w:jc w:val="right"/>
              <w:rPr>
                <w:lang w:val="en-IN" w:eastAsia="en-IN"/>
              </w:rPr>
            </w:pPr>
          </w:p>
        </w:tc>
        <w:tc>
          <w:tcPr>
            <w:tcW w:w="0" w:type="auto"/>
            <w:vAlign w:val="center"/>
            <w:hideMark/>
          </w:tcPr>
          <w:p w14:paraId="69951DAC"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18A0487F" w14:textId="77777777" w:rsidR="008E6028" w:rsidRPr="008E6028" w:rsidRDefault="008E6028" w:rsidP="00610E5A">
            <w:pPr>
              <w:spacing w:after="0" w:line="360" w:lineRule="auto"/>
              <w:jc w:val="right"/>
              <w:rPr>
                <w:sz w:val="20"/>
                <w:szCs w:val="20"/>
                <w:lang w:val="en-IN" w:eastAsia="en-IN"/>
              </w:rPr>
            </w:pPr>
          </w:p>
        </w:tc>
      </w:tr>
      <w:tr w:rsidR="00610E5A" w:rsidRPr="008E6028" w14:paraId="0F733586" w14:textId="77777777" w:rsidTr="00610E5A">
        <w:trPr>
          <w:trHeight w:val="783"/>
          <w:tblCellSpacing w:w="15" w:type="dxa"/>
          <w:jc w:val="center"/>
        </w:trPr>
        <w:tc>
          <w:tcPr>
            <w:tcW w:w="0" w:type="auto"/>
            <w:vAlign w:val="center"/>
            <w:hideMark/>
          </w:tcPr>
          <w:p w14:paraId="10705890"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41023693" w14:textId="77777777" w:rsidR="008E6028" w:rsidRPr="008E6028" w:rsidRDefault="008E6028" w:rsidP="00610E5A">
            <w:pPr>
              <w:spacing w:after="0" w:line="360" w:lineRule="auto"/>
              <w:rPr>
                <w:lang w:val="en-IN" w:eastAsia="en-IN"/>
              </w:rPr>
            </w:pPr>
            <w:r w:rsidRPr="008E6028">
              <w:rPr>
                <w:lang w:val="en-IN" w:eastAsia="en-IN"/>
              </w:rPr>
              <w:t>Strong rule of law, total</w:t>
            </w:r>
          </w:p>
        </w:tc>
        <w:tc>
          <w:tcPr>
            <w:tcW w:w="0" w:type="auto"/>
            <w:vAlign w:val="center"/>
            <w:hideMark/>
          </w:tcPr>
          <w:p w14:paraId="0CF469F7" w14:textId="77777777" w:rsidR="008E6028" w:rsidRPr="008E6028" w:rsidRDefault="008E6028" w:rsidP="00610E5A">
            <w:pPr>
              <w:spacing w:after="0" w:line="360" w:lineRule="auto"/>
              <w:jc w:val="right"/>
              <w:rPr>
                <w:lang w:val="en-IN" w:eastAsia="en-IN"/>
              </w:rPr>
            </w:pPr>
            <w:r w:rsidRPr="008E6028">
              <w:rPr>
                <w:lang w:val="en-IN" w:eastAsia="en-IN"/>
              </w:rPr>
              <w:t>0.744</w:t>
            </w:r>
            <w:r>
              <w:rPr>
                <w:lang w:val="en-IN" w:eastAsia="en-IN"/>
              </w:rPr>
              <w:t>*** (0.221)</w:t>
            </w:r>
          </w:p>
        </w:tc>
        <w:tc>
          <w:tcPr>
            <w:tcW w:w="0" w:type="auto"/>
            <w:vAlign w:val="center"/>
            <w:hideMark/>
          </w:tcPr>
          <w:p w14:paraId="1791E3ED" w14:textId="77777777" w:rsidR="008E6028" w:rsidRPr="008E6028" w:rsidRDefault="008E6028" w:rsidP="00610E5A">
            <w:pPr>
              <w:spacing w:after="0" w:line="360" w:lineRule="auto"/>
              <w:jc w:val="right"/>
              <w:rPr>
                <w:lang w:val="en-IN" w:eastAsia="en-IN"/>
              </w:rPr>
            </w:pPr>
            <w:r w:rsidRPr="008E6028">
              <w:rPr>
                <w:lang w:val="en-IN" w:eastAsia="en-IN"/>
              </w:rPr>
              <w:t>+110.4%</w:t>
            </w:r>
          </w:p>
        </w:tc>
        <w:tc>
          <w:tcPr>
            <w:tcW w:w="0" w:type="auto"/>
            <w:vAlign w:val="center"/>
            <w:hideMark/>
          </w:tcPr>
          <w:p w14:paraId="52E1C19B" w14:textId="77777777" w:rsidR="008E6028" w:rsidRPr="008E6028" w:rsidRDefault="008E6028" w:rsidP="00610E5A">
            <w:pPr>
              <w:spacing w:after="0" w:line="360" w:lineRule="auto"/>
              <w:jc w:val="right"/>
              <w:rPr>
                <w:lang w:val="en-IN" w:eastAsia="en-IN"/>
              </w:rPr>
            </w:pPr>
            <w:r w:rsidRPr="008E6028">
              <w:rPr>
                <w:lang w:val="en-IN" w:eastAsia="en-IN"/>
              </w:rPr>
              <w:t>4,737</w:t>
            </w:r>
          </w:p>
        </w:tc>
        <w:tc>
          <w:tcPr>
            <w:tcW w:w="0" w:type="auto"/>
            <w:vAlign w:val="center"/>
            <w:hideMark/>
          </w:tcPr>
          <w:p w14:paraId="39CD2E3A" w14:textId="77777777" w:rsidR="008E6028" w:rsidRPr="008E6028" w:rsidRDefault="008E6028" w:rsidP="00610E5A">
            <w:pPr>
              <w:spacing w:after="0" w:line="360" w:lineRule="auto"/>
              <w:jc w:val="right"/>
              <w:rPr>
                <w:lang w:val="en-IN" w:eastAsia="en-IN"/>
              </w:rPr>
            </w:pPr>
            <w:r w:rsidRPr="008E6028">
              <w:rPr>
                <w:lang w:val="en-IN" w:eastAsia="en-IN"/>
              </w:rPr>
              <w:t>164</w:t>
            </w:r>
          </w:p>
        </w:tc>
      </w:tr>
      <w:tr w:rsidR="00610E5A" w:rsidRPr="008E6028" w14:paraId="639DBB35" w14:textId="77777777" w:rsidTr="00610E5A">
        <w:trPr>
          <w:trHeight w:val="783"/>
          <w:tblCellSpacing w:w="15" w:type="dxa"/>
          <w:jc w:val="center"/>
        </w:trPr>
        <w:tc>
          <w:tcPr>
            <w:tcW w:w="0" w:type="auto"/>
            <w:vAlign w:val="center"/>
            <w:hideMark/>
          </w:tcPr>
          <w:p w14:paraId="51D90FF9" w14:textId="77777777" w:rsidR="008E6028" w:rsidRPr="008E6028" w:rsidRDefault="008E6028" w:rsidP="00610E5A">
            <w:pPr>
              <w:spacing w:after="0" w:line="360" w:lineRule="auto"/>
              <w:jc w:val="right"/>
              <w:rPr>
                <w:lang w:val="en-IN" w:eastAsia="en-IN"/>
              </w:rPr>
            </w:pPr>
          </w:p>
        </w:tc>
        <w:tc>
          <w:tcPr>
            <w:tcW w:w="0" w:type="auto"/>
            <w:vAlign w:val="center"/>
            <w:hideMark/>
          </w:tcPr>
          <w:p w14:paraId="0F46A970" w14:textId="77777777" w:rsidR="008E6028" w:rsidRPr="008E6028" w:rsidRDefault="008E6028" w:rsidP="00610E5A">
            <w:pPr>
              <w:spacing w:after="0" w:line="360" w:lineRule="auto"/>
              <w:rPr>
                <w:lang w:val="en-IN" w:eastAsia="en-IN"/>
              </w:rPr>
            </w:pPr>
            <w:r w:rsidRPr="008E6028">
              <w:rPr>
                <w:lang w:val="en-IN" w:eastAsia="en-IN"/>
              </w:rPr>
              <w:t>Low corruption, additional</w:t>
            </w:r>
          </w:p>
        </w:tc>
        <w:tc>
          <w:tcPr>
            <w:tcW w:w="0" w:type="auto"/>
            <w:vAlign w:val="center"/>
            <w:hideMark/>
          </w:tcPr>
          <w:p w14:paraId="24DEE955" w14:textId="77777777" w:rsidR="008E6028" w:rsidRPr="008E6028" w:rsidRDefault="008E6028" w:rsidP="00610E5A">
            <w:pPr>
              <w:spacing w:after="0" w:line="360" w:lineRule="auto"/>
              <w:jc w:val="right"/>
              <w:rPr>
                <w:lang w:val="en-IN" w:eastAsia="en-IN"/>
              </w:rPr>
            </w:pPr>
            <w:r w:rsidRPr="008E6028">
              <w:rPr>
                <w:lang w:val="en-IN" w:eastAsia="en-IN"/>
              </w:rPr>
              <w:t>0.399</w:t>
            </w:r>
            <w:r>
              <w:rPr>
                <w:lang w:val="en-IN" w:eastAsia="en-IN"/>
              </w:rPr>
              <w:t>*** (0.149)</w:t>
            </w:r>
          </w:p>
        </w:tc>
        <w:tc>
          <w:tcPr>
            <w:tcW w:w="0" w:type="auto"/>
            <w:vAlign w:val="center"/>
            <w:hideMark/>
          </w:tcPr>
          <w:p w14:paraId="16AA2BD6" w14:textId="77777777" w:rsidR="008E6028" w:rsidRPr="008E6028" w:rsidRDefault="008E6028" w:rsidP="00610E5A">
            <w:pPr>
              <w:spacing w:after="0" w:line="360" w:lineRule="auto"/>
              <w:jc w:val="right"/>
              <w:rPr>
                <w:lang w:val="en-IN" w:eastAsia="en-IN"/>
              </w:rPr>
            </w:pPr>
          </w:p>
        </w:tc>
        <w:tc>
          <w:tcPr>
            <w:tcW w:w="0" w:type="auto"/>
            <w:vAlign w:val="center"/>
            <w:hideMark/>
          </w:tcPr>
          <w:p w14:paraId="19606EEF"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238C9786" w14:textId="77777777" w:rsidR="008E6028" w:rsidRPr="008E6028" w:rsidRDefault="008E6028" w:rsidP="00610E5A">
            <w:pPr>
              <w:spacing w:after="0" w:line="360" w:lineRule="auto"/>
              <w:jc w:val="right"/>
              <w:rPr>
                <w:sz w:val="20"/>
                <w:szCs w:val="20"/>
                <w:lang w:val="en-IN" w:eastAsia="en-IN"/>
              </w:rPr>
            </w:pPr>
          </w:p>
        </w:tc>
      </w:tr>
      <w:tr w:rsidR="00610E5A" w:rsidRPr="008E6028" w14:paraId="45DFBC01" w14:textId="77777777" w:rsidTr="00610E5A">
        <w:trPr>
          <w:trHeight w:val="783"/>
          <w:tblCellSpacing w:w="15" w:type="dxa"/>
          <w:jc w:val="center"/>
        </w:trPr>
        <w:tc>
          <w:tcPr>
            <w:tcW w:w="0" w:type="auto"/>
            <w:tcBorders>
              <w:top w:val="nil"/>
              <w:bottom w:val="single" w:sz="4" w:space="0" w:color="auto"/>
            </w:tcBorders>
            <w:vAlign w:val="center"/>
            <w:hideMark/>
          </w:tcPr>
          <w:p w14:paraId="3523BDB1" w14:textId="77777777" w:rsidR="008E6028" w:rsidRPr="008E6028" w:rsidRDefault="008E6028" w:rsidP="00610E5A">
            <w:pPr>
              <w:spacing w:after="0" w:line="360" w:lineRule="auto"/>
              <w:jc w:val="right"/>
              <w:rPr>
                <w:sz w:val="20"/>
                <w:szCs w:val="20"/>
                <w:lang w:val="en-IN" w:eastAsia="en-IN"/>
              </w:rPr>
            </w:pPr>
          </w:p>
        </w:tc>
        <w:tc>
          <w:tcPr>
            <w:tcW w:w="0" w:type="auto"/>
            <w:tcBorders>
              <w:top w:val="nil"/>
              <w:bottom w:val="single" w:sz="4" w:space="0" w:color="auto"/>
            </w:tcBorders>
            <w:vAlign w:val="center"/>
            <w:hideMark/>
          </w:tcPr>
          <w:p w14:paraId="3730F62F" w14:textId="77777777" w:rsidR="008E6028" w:rsidRPr="008E6028" w:rsidRDefault="008E6028" w:rsidP="00610E5A">
            <w:pPr>
              <w:spacing w:after="0" w:line="360" w:lineRule="auto"/>
              <w:rPr>
                <w:lang w:val="en-IN" w:eastAsia="en-IN"/>
              </w:rPr>
            </w:pPr>
            <w:r w:rsidRPr="008E6028">
              <w:rPr>
                <w:lang w:val="en-IN" w:eastAsia="en-IN"/>
              </w:rPr>
              <w:t>Low corruption, total</w:t>
            </w:r>
          </w:p>
        </w:tc>
        <w:tc>
          <w:tcPr>
            <w:tcW w:w="0" w:type="auto"/>
            <w:tcBorders>
              <w:top w:val="nil"/>
              <w:bottom w:val="single" w:sz="4" w:space="0" w:color="auto"/>
            </w:tcBorders>
            <w:vAlign w:val="center"/>
            <w:hideMark/>
          </w:tcPr>
          <w:p w14:paraId="6C613C78" w14:textId="77777777" w:rsidR="008E6028" w:rsidRPr="008E6028" w:rsidRDefault="008E6028" w:rsidP="00610E5A">
            <w:pPr>
              <w:spacing w:after="0" w:line="360" w:lineRule="auto"/>
              <w:jc w:val="right"/>
              <w:rPr>
                <w:lang w:val="en-IN" w:eastAsia="en-IN"/>
              </w:rPr>
            </w:pPr>
            <w:r w:rsidRPr="008E6028">
              <w:rPr>
                <w:lang w:val="en-IN" w:eastAsia="en-IN"/>
              </w:rPr>
              <w:t>0.711</w:t>
            </w:r>
            <w:r>
              <w:rPr>
                <w:lang w:val="en-IN" w:eastAsia="en-IN"/>
              </w:rPr>
              <w:t>*** (0.209)</w:t>
            </w:r>
          </w:p>
        </w:tc>
        <w:tc>
          <w:tcPr>
            <w:tcW w:w="0" w:type="auto"/>
            <w:tcBorders>
              <w:top w:val="nil"/>
              <w:bottom w:val="single" w:sz="4" w:space="0" w:color="auto"/>
            </w:tcBorders>
            <w:vAlign w:val="center"/>
            <w:hideMark/>
          </w:tcPr>
          <w:p w14:paraId="6959A7CD" w14:textId="77777777" w:rsidR="008E6028" w:rsidRPr="008E6028" w:rsidRDefault="008E6028" w:rsidP="00610E5A">
            <w:pPr>
              <w:spacing w:after="0" w:line="360" w:lineRule="auto"/>
              <w:jc w:val="right"/>
              <w:rPr>
                <w:lang w:val="en-IN" w:eastAsia="en-IN"/>
              </w:rPr>
            </w:pPr>
            <w:r w:rsidRPr="008E6028">
              <w:rPr>
                <w:lang w:val="en-IN" w:eastAsia="en-IN"/>
              </w:rPr>
              <w:t>+103.5%</w:t>
            </w:r>
          </w:p>
        </w:tc>
        <w:tc>
          <w:tcPr>
            <w:tcW w:w="0" w:type="auto"/>
            <w:tcBorders>
              <w:top w:val="nil"/>
              <w:bottom w:val="single" w:sz="4" w:space="0" w:color="auto"/>
            </w:tcBorders>
            <w:vAlign w:val="center"/>
            <w:hideMark/>
          </w:tcPr>
          <w:p w14:paraId="2F874601" w14:textId="77777777" w:rsidR="008E6028" w:rsidRPr="008E6028" w:rsidRDefault="008E6028" w:rsidP="00610E5A">
            <w:pPr>
              <w:spacing w:after="0" w:line="360" w:lineRule="auto"/>
              <w:jc w:val="right"/>
              <w:rPr>
                <w:lang w:val="en-IN" w:eastAsia="en-IN"/>
              </w:rPr>
            </w:pPr>
            <w:r w:rsidRPr="008E6028">
              <w:rPr>
                <w:lang w:val="en-IN" w:eastAsia="en-IN"/>
              </w:rPr>
              <w:t>4,731</w:t>
            </w:r>
          </w:p>
        </w:tc>
        <w:tc>
          <w:tcPr>
            <w:tcW w:w="0" w:type="auto"/>
            <w:tcBorders>
              <w:top w:val="nil"/>
              <w:bottom w:val="single" w:sz="4" w:space="0" w:color="auto"/>
            </w:tcBorders>
            <w:vAlign w:val="center"/>
            <w:hideMark/>
          </w:tcPr>
          <w:p w14:paraId="739568BB" w14:textId="77777777" w:rsidR="008E6028" w:rsidRPr="008E6028" w:rsidRDefault="008E6028" w:rsidP="00610E5A">
            <w:pPr>
              <w:spacing w:after="0" w:line="360" w:lineRule="auto"/>
              <w:jc w:val="right"/>
              <w:rPr>
                <w:lang w:val="en-IN" w:eastAsia="en-IN"/>
              </w:rPr>
            </w:pPr>
            <w:r w:rsidRPr="008E6028">
              <w:rPr>
                <w:lang w:val="en-IN" w:eastAsia="en-IN"/>
              </w:rPr>
              <w:t>164</w:t>
            </w:r>
          </w:p>
        </w:tc>
      </w:tr>
      <w:tr w:rsidR="00610E5A" w:rsidRPr="008E6028" w14:paraId="58AC2C0A" w14:textId="77777777" w:rsidTr="00610E5A">
        <w:trPr>
          <w:trHeight w:val="783"/>
          <w:tblCellSpacing w:w="15" w:type="dxa"/>
          <w:jc w:val="center"/>
        </w:trPr>
        <w:tc>
          <w:tcPr>
            <w:tcW w:w="0" w:type="auto"/>
            <w:vAlign w:val="center"/>
            <w:hideMark/>
          </w:tcPr>
          <w:p w14:paraId="333C45C2" w14:textId="77777777" w:rsidR="008E6028" w:rsidRPr="008E6028" w:rsidRDefault="008E6028" w:rsidP="00610E5A">
            <w:pPr>
              <w:spacing w:after="0" w:line="360" w:lineRule="auto"/>
              <w:rPr>
                <w:lang w:val="en-IN" w:eastAsia="en-IN"/>
              </w:rPr>
            </w:pPr>
            <w:r w:rsidRPr="008E6028">
              <w:rPr>
                <w:b/>
                <w:bCs/>
                <w:lang w:val="en-IN" w:eastAsia="en-IN"/>
              </w:rPr>
              <w:t>B. Regional heterogeneity</w:t>
            </w:r>
          </w:p>
        </w:tc>
        <w:tc>
          <w:tcPr>
            <w:tcW w:w="0" w:type="auto"/>
            <w:vAlign w:val="center"/>
            <w:hideMark/>
          </w:tcPr>
          <w:p w14:paraId="2A4D03B0" w14:textId="77777777" w:rsidR="008E6028" w:rsidRPr="008E6028" w:rsidRDefault="008E6028" w:rsidP="00610E5A">
            <w:pPr>
              <w:spacing w:after="0" w:line="360" w:lineRule="auto"/>
              <w:rPr>
                <w:lang w:val="en-IN" w:eastAsia="en-IN"/>
              </w:rPr>
            </w:pPr>
            <w:r w:rsidRPr="008E6028">
              <w:rPr>
                <w:lang w:val="en-IN" w:eastAsia="en-IN"/>
              </w:rPr>
              <w:t>OECD, additional (interaction)</w:t>
            </w:r>
          </w:p>
        </w:tc>
        <w:tc>
          <w:tcPr>
            <w:tcW w:w="0" w:type="auto"/>
            <w:vAlign w:val="center"/>
            <w:hideMark/>
          </w:tcPr>
          <w:p w14:paraId="6793331A" w14:textId="77777777" w:rsidR="008E6028" w:rsidRPr="008E6028" w:rsidRDefault="008E6028" w:rsidP="00610E5A">
            <w:pPr>
              <w:spacing w:after="0" w:line="360" w:lineRule="auto"/>
              <w:jc w:val="right"/>
              <w:rPr>
                <w:lang w:val="en-IN" w:eastAsia="en-IN"/>
              </w:rPr>
            </w:pPr>
            <w:r w:rsidRPr="008E6028">
              <w:rPr>
                <w:lang w:val="en-IN" w:eastAsia="en-IN"/>
              </w:rPr>
              <w:t>1.279</w:t>
            </w:r>
            <w:r>
              <w:rPr>
                <w:lang w:val="en-IN" w:eastAsia="en-IN"/>
              </w:rPr>
              <w:t>*** (0.336)</w:t>
            </w:r>
          </w:p>
        </w:tc>
        <w:tc>
          <w:tcPr>
            <w:tcW w:w="0" w:type="auto"/>
            <w:vAlign w:val="center"/>
            <w:hideMark/>
          </w:tcPr>
          <w:p w14:paraId="151C672E" w14:textId="77777777" w:rsidR="008E6028" w:rsidRPr="008E6028" w:rsidRDefault="008E6028" w:rsidP="00610E5A">
            <w:pPr>
              <w:spacing w:after="0" w:line="360" w:lineRule="auto"/>
              <w:jc w:val="right"/>
              <w:rPr>
                <w:lang w:val="en-IN" w:eastAsia="en-IN"/>
              </w:rPr>
            </w:pPr>
          </w:p>
        </w:tc>
        <w:tc>
          <w:tcPr>
            <w:tcW w:w="0" w:type="auto"/>
            <w:vAlign w:val="center"/>
            <w:hideMark/>
          </w:tcPr>
          <w:p w14:paraId="7DAF176A"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41223731" w14:textId="77777777" w:rsidR="008E6028" w:rsidRPr="008E6028" w:rsidRDefault="008E6028" w:rsidP="00610E5A">
            <w:pPr>
              <w:spacing w:after="0" w:line="360" w:lineRule="auto"/>
              <w:jc w:val="right"/>
              <w:rPr>
                <w:sz w:val="20"/>
                <w:szCs w:val="20"/>
                <w:lang w:val="en-IN" w:eastAsia="en-IN"/>
              </w:rPr>
            </w:pPr>
          </w:p>
        </w:tc>
      </w:tr>
      <w:tr w:rsidR="00610E5A" w:rsidRPr="008E6028" w14:paraId="6D9F755D" w14:textId="77777777" w:rsidTr="00610E5A">
        <w:trPr>
          <w:trHeight w:val="783"/>
          <w:tblCellSpacing w:w="15" w:type="dxa"/>
          <w:jc w:val="center"/>
        </w:trPr>
        <w:tc>
          <w:tcPr>
            <w:tcW w:w="0" w:type="auto"/>
            <w:vAlign w:val="center"/>
            <w:hideMark/>
          </w:tcPr>
          <w:p w14:paraId="60226248"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22215E84" w14:textId="77777777" w:rsidR="008E6028" w:rsidRPr="008E6028" w:rsidRDefault="008E6028" w:rsidP="00610E5A">
            <w:pPr>
              <w:spacing w:after="0" w:line="360" w:lineRule="auto"/>
              <w:rPr>
                <w:lang w:val="en-IN" w:eastAsia="en-IN"/>
              </w:rPr>
            </w:pPr>
            <w:r w:rsidRPr="008E6028">
              <w:rPr>
                <w:lang w:val="en-IN" w:eastAsia="en-IN"/>
              </w:rPr>
              <w:t>Europe, additional (interaction)</w:t>
            </w:r>
          </w:p>
        </w:tc>
        <w:tc>
          <w:tcPr>
            <w:tcW w:w="0" w:type="auto"/>
            <w:vAlign w:val="center"/>
            <w:hideMark/>
          </w:tcPr>
          <w:p w14:paraId="7533B92E" w14:textId="77777777" w:rsidR="008E6028" w:rsidRPr="008E6028" w:rsidRDefault="008E6028" w:rsidP="00610E5A">
            <w:pPr>
              <w:spacing w:after="0" w:line="360" w:lineRule="auto"/>
              <w:jc w:val="right"/>
              <w:rPr>
                <w:lang w:val="en-IN" w:eastAsia="en-IN"/>
              </w:rPr>
            </w:pPr>
            <w:r w:rsidRPr="008E6028">
              <w:rPr>
                <w:lang w:val="en-IN" w:eastAsia="en-IN"/>
              </w:rPr>
              <w:t>0.555 (0.379)</w:t>
            </w:r>
          </w:p>
        </w:tc>
        <w:tc>
          <w:tcPr>
            <w:tcW w:w="0" w:type="auto"/>
            <w:vAlign w:val="center"/>
            <w:hideMark/>
          </w:tcPr>
          <w:p w14:paraId="5C5401A3" w14:textId="77777777" w:rsidR="008E6028" w:rsidRPr="008E6028" w:rsidRDefault="008E6028" w:rsidP="00610E5A">
            <w:pPr>
              <w:spacing w:after="0" w:line="360" w:lineRule="auto"/>
              <w:jc w:val="right"/>
              <w:rPr>
                <w:lang w:val="en-IN" w:eastAsia="en-IN"/>
              </w:rPr>
            </w:pPr>
          </w:p>
        </w:tc>
        <w:tc>
          <w:tcPr>
            <w:tcW w:w="0" w:type="auto"/>
            <w:vAlign w:val="center"/>
            <w:hideMark/>
          </w:tcPr>
          <w:p w14:paraId="1DCFA1A9"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417982E5" w14:textId="77777777" w:rsidR="008E6028" w:rsidRPr="008E6028" w:rsidRDefault="008E6028" w:rsidP="00610E5A">
            <w:pPr>
              <w:spacing w:after="0" w:line="360" w:lineRule="auto"/>
              <w:jc w:val="right"/>
              <w:rPr>
                <w:sz w:val="20"/>
                <w:szCs w:val="20"/>
                <w:lang w:val="en-IN" w:eastAsia="en-IN"/>
              </w:rPr>
            </w:pPr>
          </w:p>
        </w:tc>
      </w:tr>
      <w:tr w:rsidR="00610E5A" w:rsidRPr="008E6028" w14:paraId="2DD09A31" w14:textId="77777777" w:rsidTr="00610E5A">
        <w:trPr>
          <w:trHeight w:val="390"/>
          <w:tblCellSpacing w:w="15" w:type="dxa"/>
          <w:jc w:val="center"/>
        </w:trPr>
        <w:tc>
          <w:tcPr>
            <w:tcW w:w="0" w:type="auto"/>
            <w:vAlign w:val="center"/>
            <w:hideMark/>
          </w:tcPr>
          <w:p w14:paraId="19665963" w14:textId="77777777" w:rsidR="008E6028" w:rsidRPr="008E6028" w:rsidRDefault="008E6028" w:rsidP="00610E5A">
            <w:pPr>
              <w:spacing w:after="0" w:line="360" w:lineRule="auto"/>
              <w:jc w:val="right"/>
              <w:rPr>
                <w:sz w:val="20"/>
                <w:szCs w:val="20"/>
                <w:lang w:val="en-IN" w:eastAsia="en-IN"/>
              </w:rPr>
            </w:pPr>
          </w:p>
        </w:tc>
        <w:tc>
          <w:tcPr>
            <w:tcW w:w="0" w:type="auto"/>
            <w:vAlign w:val="center"/>
            <w:hideMark/>
          </w:tcPr>
          <w:p w14:paraId="067FF453" w14:textId="77777777" w:rsidR="008E6028" w:rsidRPr="008E6028" w:rsidRDefault="008E6028" w:rsidP="00610E5A">
            <w:pPr>
              <w:spacing w:after="0" w:line="360" w:lineRule="auto"/>
              <w:rPr>
                <w:lang w:val="en-IN" w:eastAsia="en-IN"/>
              </w:rPr>
            </w:pPr>
            <w:r w:rsidRPr="008E6028">
              <w:rPr>
                <w:lang w:val="en-IN" w:eastAsia="en-IN"/>
              </w:rPr>
              <w:t>Africa</w:t>
            </w:r>
          </w:p>
        </w:tc>
        <w:tc>
          <w:tcPr>
            <w:tcW w:w="0" w:type="auto"/>
            <w:vAlign w:val="center"/>
            <w:hideMark/>
          </w:tcPr>
          <w:p w14:paraId="75CCC0F5" w14:textId="77777777" w:rsidR="008E6028" w:rsidRPr="008E6028" w:rsidRDefault="008E6028" w:rsidP="00610E5A">
            <w:pPr>
              <w:spacing w:after="0" w:line="360" w:lineRule="auto"/>
              <w:jc w:val="right"/>
              <w:rPr>
                <w:lang w:val="en-IN" w:eastAsia="en-IN"/>
              </w:rPr>
            </w:pPr>
            <w:r w:rsidRPr="008E6028">
              <w:rPr>
                <w:lang w:val="en-IN" w:eastAsia="en-IN"/>
              </w:rPr>
              <w:t>0.411 (0.363)</w:t>
            </w:r>
          </w:p>
        </w:tc>
        <w:tc>
          <w:tcPr>
            <w:tcW w:w="0" w:type="auto"/>
            <w:vAlign w:val="center"/>
            <w:hideMark/>
          </w:tcPr>
          <w:p w14:paraId="4B1368AB" w14:textId="77777777" w:rsidR="008E6028" w:rsidRPr="008E6028" w:rsidRDefault="008E6028" w:rsidP="00610E5A">
            <w:pPr>
              <w:spacing w:after="0" w:line="360" w:lineRule="auto"/>
              <w:jc w:val="right"/>
              <w:rPr>
                <w:lang w:val="en-IN" w:eastAsia="en-IN"/>
              </w:rPr>
            </w:pPr>
            <w:r w:rsidRPr="008E6028">
              <w:rPr>
                <w:lang w:val="en-IN" w:eastAsia="en-IN"/>
              </w:rPr>
              <w:t>+50.8%</w:t>
            </w:r>
          </w:p>
        </w:tc>
        <w:tc>
          <w:tcPr>
            <w:tcW w:w="0" w:type="auto"/>
            <w:vAlign w:val="center"/>
            <w:hideMark/>
          </w:tcPr>
          <w:p w14:paraId="42A35717" w14:textId="77777777" w:rsidR="008E6028" w:rsidRPr="008E6028" w:rsidRDefault="008E6028" w:rsidP="00610E5A">
            <w:pPr>
              <w:spacing w:after="0" w:line="360" w:lineRule="auto"/>
              <w:jc w:val="right"/>
              <w:rPr>
                <w:lang w:val="en-IN" w:eastAsia="en-IN"/>
              </w:rPr>
            </w:pPr>
            <w:r w:rsidRPr="008E6028">
              <w:rPr>
                <w:lang w:val="en-IN" w:eastAsia="en-IN"/>
              </w:rPr>
              <w:t>1,428</w:t>
            </w:r>
          </w:p>
        </w:tc>
        <w:tc>
          <w:tcPr>
            <w:tcW w:w="0" w:type="auto"/>
            <w:vAlign w:val="center"/>
            <w:hideMark/>
          </w:tcPr>
          <w:p w14:paraId="0F50E793" w14:textId="77777777" w:rsidR="008E6028" w:rsidRPr="008E6028" w:rsidRDefault="008E6028" w:rsidP="00610E5A">
            <w:pPr>
              <w:spacing w:after="0" w:line="360" w:lineRule="auto"/>
              <w:jc w:val="right"/>
              <w:rPr>
                <w:lang w:val="en-IN" w:eastAsia="en-IN"/>
              </w:rPr>
            </w:pPr>
            <w:r w:rsidRPr="008E6028">
              <w:rPr>
                <w:lang w:val="en-IN" w:eastAsia="en-IN"/>
              </w:rPr>
              <w:t>51</w:t>
            </w:r>
          </w:p>
        </w:tc>
      </w:tr>
      <w:tr w:rsidR="00610E5A" w:rsidRPr="008E6028" w14:paraId="297741C0" w14:textId="77777777" w:rsidTr="00610E5A">
        <w:trPr>
          <w:trHeight w:val="390"/>
          <w:tblCellSpacing w:w="15" w:type="dxa"/>
          <w:jc w:val="center"/>
        </w:trPr>
        <w:tc>
          <w:tcPr>
            <w:tcW w:w="0" w:type="auto"/>
            <w:vAlign w:val="center"/>
            <w:hideMark/>
          </w:tcPr>
          <w:p w14:paraId="36B80E96" w14:textId="77777777" w:rsidR="008E6028" w:rsidRPr="008E6028" w:rsidRDefault="008E6028" w:rsidP="00610E5A">
            <w:pPr>
              <w:spacing w:after="0" w:line="360" w:lineRule="auto"/>
              <w:jc w:val="right"/>
              <w:rPr>
                <w:lang w:val="en-IN" w:eastAsia="en-IN"/>
              </w:rPr>
            </w:pPr>
          </w:p>
        </w:tc>
        <w:tc>
          <w:tcPr>
            <w:tcW w:w="0" w:type="auto"/>
            <w:vAlign w:val="center"/>
            <w:hideMark/>
          </w:tcPr>
          <w:p w14:paraId="4E146097" w14:textId="77777777" w:rsidR="008E6028" w:rsidRPr="008E6028" w:rsidRDefault="008E6028" w:rsidP="00610E5A">
            <w:pPr>
              <w:spacing w:after="0" w:line="360" w:lineRule="auto"/>
              <w:rPr>
                <w:lang w:val="en-IN" w:eastAsia="en-IN"/>
              </w:rPr>
            </w:pPr>
            <w:r w:rsidRPr="008E6028">
              <w:rPr>
                <w:lang w:val="en-IN" w:eastAsia="en-IN"/>
              </w:rPr>
              <w:t>Asia</w:t>
            </w:r>
          </w:p>
        </w:tc>
        <w:tc>
          <w:tcPr>
            <w:tcW w:w="0" w:type="auto"/>
            <w:vAlign w:val="center"/>
            <w:hideMark/>
          </w:tcPr>
          <w:p w14:paraId="7ECA615C" w14:textId="77777777" w:rsidR="008E6028" w:rsidRPr="008E6028" w:rsidRDefault="008E6028" w:rsidP="00610E5A">
            <w:pPr>
              <w:spacing w:after="0" w:line="360" w:lineRule="auto"/>
              <w:jc w:val="right"/>
              <w:rPr>
                <w:lang w:val="en-IN" w:eastAsia="en-IN"/>
              </w:rPr>
            </w:pPr>
            <w:r w:rsidRPr="008E6028">
              <w:rPr>
                <w:lang w:val="en-IN" w:eastAsia="en-IN"/>
              </w:rPr>
              <w:t>0.191 (0.795)</w:t>
            </w:r>
          </w:p>
        </w:tc>
        <w:tc>
          <w:tcPr>
            <w:tcW w:w="0" w:type="auto"/>
            <w:vAlign w:val="center"/>
            <w:hideMark/>
          </w:tcPr>
          <w:p w14:paraId="350604D4" w14:textId="77777777" w:rsidR="008E6028" w:rsidRPr="008E6028" w:rsidRDefault="008E6028" w:rsidP="00610E5A">
            <w:pPr>
              <w:spacing w:after="0" w:line="360" w:lineRule="auto"/>
              <w:jc w:val="right"/>
              <w:rPr>
                <w:lang w:val="en-IN" w:eastAsia="en-IN"/>
              </w:rPr>
            </w:pPr>
            <w:r w:rsidRPr="008E6028">
              <w:rPr>
                <w:lang w:val="en-IN" w:eastAsia="en-IN"/>
              </w:rPr>
              <w:t>+21.1%</w:t>
            </w:r>
          </w:p>
        </w:tc>
        <w:tc>
          <w:tcPr>
            <w:tcW w:w="0" w:type="auto"/>
            <w:vAlign w:val="center"/>
            <w:hideMark/>
          </w:tcPr>
          <w:p w14:paraId="42F3FCFA" w14:textId="77777777" w:rsidR="008E6028" w:rsidRPr="008E6028" w:rsidRDefault="008E6028" w:rsidP="00610E5A">
            <w:pPr>
              <w:spacing w:after="0" w:line="360" w:lineRule="auto"/>
              <w:jc w:val="right"/>
              <w:rPr>
                <w:lang w:val="en-IN" w:eastAsia="en-IN"/>
              </w:rPr>
            </w:pPr>
            <w:r w:rsidRPr="008E6028">
              <w:rPr>
                <w:lang w:val="en-IN" w:eastAsia="en-IN"/>
              </w:rPr>
              <w:t>888</w:t>
            </w:r>
          </w:p>
        </w:tc>
        <w:tc>
          <w:tcPr>
            <w:tcW w:w="0" w:type="auto"/>
            <w:vAlign w:val="center"/>
            <w:hideMark/>
          </w:tcPr>
          <w:p w14:paraId="253CD2FF" w14:textId="77777777" w:rsidR="008E6028" w:rsidRPr="008E6028" w:rsidRDefault="008E6028" w:rsidP="00610E5A">
            <w:pPr>
              <w:spacing w:after="0" w:line="360" w:lineRule="auto"/>
              <w:jc w:val="right"/>
              <w:rPr>
                <w:lang w:val="en-IN" w:eastAsia="en-IN"/>
              </w:rPr>
            </w:pPr>
            <w:r w:rsidRPr="008E6028">
              <w:rPr>
                <w:lang w:val="en-IN" w:eastAsia="en-IN"/>
              </w:rPr>
              <w:t>37</w:t>
            </w:r>
          </w:p>
        </w:tc>
      </w:tr>
      <w:tr w:rsidR="00610E5A" w:rsidRPr="008E6028" w14:paraId="08BAA08E" w14:textId="77777777" w:rsidTr="00610E5A">
        <w:trPr>
          <w:trHeight w:val="783"/>
          <w:tblCellSpacing w:w="15" w:type="dxa"/>
          <w:jc w:val="center"/>
        </w:trPr>
        <w:tc>
          <w:tcPr>
            <w:tcW w:w="0" w:type="auto"/>
            <w:tcBorders>
              <w:top w:val="nil"/>
              <w:bottom w:val="single" w:sz="4" w:space="0" w:color="auto"/>
            </w:tcBorders>
            <w:vAlign w:val="center"/>
            <w:hideMark/>
          </w:tcPr>
          <w:p w14:paraId="5F2236AB" w14:textId="77777777" w:rsidR="008E6028" w:rsidRPr="008E6028" w:rsidRDefault="008E6028" w:rsidP="00610E5A">
            <w:pPr>
              <w:spacing w:after="0" w:line="360" w:lineRule="auto"/>
              <w:jc w:val="right"/>
              <w:rPr>
                <w:lang w:val="en-IN" w:eastAsia="en-IN"/>
              </w:rPr>
            </w:pPr>
          </w:p>
        </w:tc>
        <w:tc>
          <w:tcPr>
            <w:tcW w:w="0" w:type="auto"/>
            <w:tcBorders>
              <w:top w:val="nil"/>
              <w:bottom w:val="single" w:sz="4" w:space="0" w:color="auto"/>
            </w:tcBorders>
            <w:vAlign w:val="center"/>
            <w:hideMark/>
          </w:tcPr>
          <w:p w14:paraId="3E9828BF" w14:textId="77777777" w:rsidR="008E6028" w:rsidRPr="008E6028" w:rsidRDefault="008E6028" w:rsidP="00610E5A">
            <w:pPr>
              <w:spacing w:after="0" w:line="360" w:lineRule="auto"/>
              <w:rPr>
                <w:lang w:val="en-IN" w:eastAsia="en-IN"/>
              </w:rPr>
            </w:pPr>
            <w:r w:rsidRPr="008E6028">
              <w:rPr>
                <w:lang w:val="en-IN" w:eastAsia="en-IN"/>
              </w:rPr>
              <w:t>Latin America and the Caribbean</w:t>
            </w:r>
          </w:p>
        </w:tc>
        <w:tc>
          <w:tcPr>
            <w:tcW w:w="0" w:type="auto"/>
            <w:tcBorders>
              <w:top w:val="nil"/>
              <w:bottom w:val="single" w:sz="4" w:space="0" w:color="auto"/>
            </w:tcBorders>
            <w:vAlign w:val="center"/>
            <w:hideMark/>
          </w:tcPr>
          <w:p w14:paraId="6E5FED11" w14:textId="77777777" w:rsidR="008E6028" w:rsidRPr="008E6028" w:rsidRDefault="008E6028" w:rsidP="00610E5A">
            <w:pPr>
              <w:spacing w:after="0" w:line="360" w:lineRule="auto"/>
              <w:jc w:val="right"/>
              <w:rPr>
                <w:lang w:val="en-IN" w:eastAsia="en-IN"/>
              </w:rPr>
            </w:pPr>
            <w:r w:rsidRPr="008E6028">
              <w:rPr>
                <w:lang w:val="en-IN" w:eastAsia="en-IN"/>
              </w:rPr>
              <w:t>0.617 (</w:t>
            </w:r>
            <w:proofErr w:type="gramStart"/>
            <w:r w:rsidRPr="008E6028">
              <w:rPr>
                <w:lang w:val="en-IN" w:eastAsia="en-IN"/>
              </w:rPr>
              <w:t>0.337)*</w:t>
            </w:r>
            <w:proofErr w:type="gramEnd"/>
          </w:p>
        </w:tc>
        <w:tc>
          <w:tcPr>
            <w:tcW w:w="0" w:type="auto"/>
            <w:tcBorders>
              <w:top w:val="nil"/>
              <w:bottom w:val="single" w:sz="4" w:space="0" w:color="auto"/>
            </w:tcBorders>
            <w:vAlign w:val="center"/>
            <w:hideMark/>
          </w:tcPr>
          <w:p w14:paraId="7116A287" w14:textId="77777777" w:rsidR="008E6028" w:rsidRPr="008E6028" w:rsidRDefault="008E6028" w:rsidP="00610E5A">
            <w:pPr>
              <w:spacing w:after="0" w:line="360" w:lineRule="auto"/>
              <w:jc w:val="right"/>
              <w:rPr>
                <w:lang w:val="en-IN" w:eastAsia="en-IN"/>
              </w:rPr>
            </w:pPr>
            <w:r w:rsidRPr="008E6028">
              <w:rPr>
                <w:lang w:val="en-IN" w:eastAsia="en-IN"/>
              </w:rPr>
              <w:t>+85.4%</w:t>
            </w:r>
          </w:p>
        </w:tc>
        <w:tc>
          <w:tcPr>
            <w:tcW w:w="0" w:type="auto"/>
            <w:tcBorders>
              <w:top w:val="nil"/>
              <w:bottom w:val="single" w:sz="4" w:space="0" w:color="auto"/>
            </w:tcBorders>
            <w:vAlign w:val="center"/>
            <w:hideMark/>
          </w:tcPr>
          <w:p w14:paraId="0C6610E7" w14:textId="77777777" w:rsidR="008E6028" w:rsidRPr="008E6028" w:rsidRDefault="008E6028" w:rsidP="00610E5A">
            <w:pPr>
              <w:spacing w:after="0" w:line="360" w:lineRule="auto"/>
              <w:jc w:val="right"/>
              <w:rPr>
                <w:lang w:val="en-IN" w:eastAsia="en-IN"/>
              </w:rPr>
            </w:pPr>
            <w:r w:rsidRPr="008E6028">
              <w:rPr>
                <w:lang w:val="en-IN" w:eastAsia="en-IN"/>
              </w:rPr>
              <w:t>675</w:t>
            </w:r>
          </w:p>
        </w:tc>
        <w:tc>
          <w:tcPr>
            <w:tcW w:w="0" w:type="auto"/>
            <w:tcBorders>
              <w:top w:val="nil"/>
              <w:bottom w:val="single" w:sz="4" w:space="0" w:color="auto"/>
            </w:tcBorders>
            <w:vAlign w:val="center"/>
            <w:hideMark/>
          </w:tcPr>
          <w:p w14:paraId="42A32B22" w14:textId="77777777" w:rsidR="008E6028" w:rsidRPr="008E6028" w:rsidRDefault="008E6028" w:rsidP="00610E5A">
            <w:pPr>
              <w:spacing w:after="0" w:line="360" w:lineRule="auto"/>
              <w:jc w:val="right"/>
              <w:rPr>
                <w:lang w:val="en-IN" w:eastAsia="en-IN"/>
              </w:rPr>
            </w:pPr>
            <w:r w:rsidRPr="008E6028">
              <w:rPr>
                <w:lang w:val="en-IN" w:eastAsia="en-IN"/>
              </w:rPr>
              <w:t>27</w:t>
            </w:r>
          </w:p>
        </w:tc>
      </w:tr>
      <w:tr w:rsidR="00610E5A" w:rsidRPr="008E6028" w14:paraId="3E5E3D58" w14:textId="77777777" w:rsidTr="00610E5A">
        <w:trPr>
          <w:trHeight w:val="783"/>
          <w:tblCellSpacing w:w="15" w:type="dxa"/>
          <w:jc w:val="center"/>
        </w:trPr>
        <w:tc>
          <w:tcPr>
            <w:tcW w:w="0" w:type="auto"/>
            <w:vAlign w:val="center"/>
            <w:hideMark/>
          </w:tcPr>
          <w:p w14:paraId="7AAE1BF5" w14:textId="77777777" w:rsidR="008E6028" w:rsidRPr="008E6028" w:rsidRDefault="008E6028" w:rsidP="00610E5A">
            <w:pPr>
              <w:spacing w:after="0" w:line="360" w:lineRule="auto"/>
              <w:rPr>
                <w:lang w:val="en-IN" w:eastAsia="en-IN"/>
              </w:rPr>
            </w:pPr>
            <w:r w:rsidRPr="008E6028">
              <w:rPr>
                <w:b/>
                <w:bCs/>
                <w:lang w:val="en-IN" w:eastAsia="en-IN"/>
              </w:rPr>
              <w:t>C. ND-GAIN vulnerability split</w:t>
            </w:r>
          </w:p>
        </w:tc>
        <w:tc>
          <w:tcPr>
            <w:tcW w:w="0" w:type="auto"/>
            <w:vAlign w:val="center"/>
            <w:hideMark/>
          </w:tcPr>
          <w:p w14:paraId="047384F0" w14:textId="77777777" w:rsidR="008E6028" w:rsidRPr="008E6028" w:rsidRDefault="008E6028" w:rsidP="00610E5A">
            <w:pPr>
              <w:spacing w:after="0" w:line="360" w:lineRule="auto"/>
              <w:rPr>
                <w:lang w:val="en-IN" w:eastAsia="en-IN"/>
              </w:rPr>
            </w:pPr>
            <w:r w:rsidRPr="008E6028">
              <w:rPr>
                <w:lang w:val="en-IN" w:eastAsia="en-IN"/>
              </w:rPr>
              <w:t>More vulnerable</w:t>
            </w:r>
          </w:p>
        </w:tc>
        <w:tc>
          <w:tcPr>
            <w:tcW w:w="0" w:type="auto"/>
            <w:vAlign w:val="center"/>
            <w:hideMark/>
          </w:tcPr>
          <w:p w14:paraId="5EBF9346" w14:textId="77777777" w:rsidR="008E6028" w:rsidRPr="008E6028" w:rsidRDefault="008E6028" w:rsidP="00610E5A">
            <w:pPr>
              <w:spacing w:after="0" w:line="360" w:lineRule="auto"/>
              <w:jc w:val="right"/>
              <w:rPr>
                <w:lang w:val="en-IN" w:eastAsia="en-IN"/>
              </w:rPr>
            </w:pPr>
            <w:r w:rsidRPr="008E6028">
              <w:rPr>
                <w:lang w:val="en-IN" w:eastAsia="en-IN"/>
              </w:rPr>
              <w:t>0.190 (0.305)</w:t>
            </w:r>
          </w:p>
        </w:tc>
        <w:tc>
          <w:tcPr>
            <w:tcW w:w="0" w:type="auto"/>
            <w:vAlign w:val="center"/>
            <w:hideMark/>
          </w:tcPr>
          <w:p w14:paraId="7681C516" w14:textId="77777777" w:rsidR="008E6028" w:rsidRPr="008E6028" w:rsidRDefault="008E6028" w:rsidP="00610E5A">
            <w:pPr>
              <w:spacing w:after="0" w:line="360" w:lineRule="auto"/>
              <w:jc w:val="right"/>
              <w:rPr>
                <w:lang w:val="en-IN" w:eastAsia="en-IN"/>
              </w:rPr>
            </w:pPr>
            <w:r w:rsidRPr="008E6028">
              <w:rPr>
                <w:lang w:val="en-IN" w:eastAsia="en-IN"/>
              </w:rPr>
              <w:t>+20.9%</w:t>
            </w:r>
          </w:p>
        </w:tc>
        <w:tc>
          <w:tcPr>
            <w:tcW w:w="0" w:type="auto"/>
            <w:vAlign w:val="center"/>
            <w:hideMark/>
          </w:tcPr>
          <w:p w14:paraId="6B72C2F8" w14:textId="77777777" w:rsidR="008E6028" w:rsidRPr="008E6028" w:rsidRDefault="008E6028" w:rsidP="00610E5A">
            <w:pPr>
              <w:spacing w:after="0" w:line="360" w:lineRule="auto"/>
              <w:jc w:val="right"/>
              <w:rPr>
                <w:lang w:val="en-IN" w:eastAsia="en-IN"/>
              </w:rPr>
            </w:pPr>
            <w:r w:rsidRPr="008E6028">
              <w:rPr>
                <w:lang w:val="en-IN" w:eastAsia="en-IN"/>
              </w:rPr>
              <w:t>2,345</w:t>
            </w:r>
          </w:p>
        </w:tc>
        <w:tc>
          <w:tcPr>
            <w:tcW w:w="0" w:type="auto"/>
            <w:vAlign w:val="center"/>
            <w:hideMark/>
          </w:tcPr>
          <w:p w14:paraId="2CAE862D" w14:textId="77777777" w:rsidR="008E6028" w:rsidRPr="008E6028" w:rsidRDefault="008E6028" w:rsidP="00610E5A">
            <w:pPr>
              <w:spacing w:after="0" w:line="360" w:lineRule="auto"/>
              <w:jc w:val="right"/>
              <w:rPr>
                <w:lang w:val="en-IN" w:eastAsia="en-IN"/>
              </w:rPr>
            </w:pPr>
            <w:r w:rsidRPr="008E6028">
              <w:rPr>
                <w:lang w:val="en-IN" w:eastAsia="en-IN"/>
              </w:rPr>
              <w:t>88</w:t>
            </w:r>
          </w:p>
        </w:tc>
      </w:tr>
      <w:tr w:rsidR="00610E5A" w:rsidRPr="008E6028" w14:paraId="3E1B0A6B" w14:textId="77777777" w:rsidTr="00610E5A">
        <w:trPr>
          <w:trHeight w:val="406"/>
          <w:tblCellSpacing w:w="15" w:type="dxa"/>
          <w:jc w:val="center"/>
        </w:trPr>
        <w:tc>
          <w:tcPr>
            <w:tcW w:w="0" w:type="auto"/>
            <w:tcBorders>
              <w:bottom w:val="single" w:sz="4" w:space="0" w:color="auto"/>
            </w:tcBorders>
            <w:vAlign w:val="center"/>
            <w:hideMark/>
          </w:tcPr>
          <w:p w14:paraId="4064405F" w14:textId="77777777" w:rsidR="008E6028" w:rsidRPr="008E6028" w:rsidRDefault="008E6028" w:rsidP="00610E5A">
            <w:pPr>
              <w:spacing w:after="0" w:line="360" w:lineRule="auto"/>
              <w:jc w:val="right"/>
              <w:rPr>
                <w:lang w:val="en-IN" w:eastAsia="en-IN"/>
              </w:rPr>
            </w:pPr>
          </w:p>
        </w:tc>
        <w:tc>
          <w:tcPr>
            <w:tcW w:w="0" w:type="auto"/>
            <w:tcBorders>
              <w:bottom w:val="single" w:sz="4" w:space="0" w:color="auto"/>
            </w:tcBorders>
            <w:vAlign w:val="center"/>
            <w:hideMark/>
          </w:tcPr>
          <w:p w14:paraId="61064976" w14:textId="77777777" w:rsidR="008E6028" w:rsidRPr="008E6028" w:rsidRDefault="008E6028" w:rsidP="00610E5A">
            <w:pPr>
              <w:spacing w:after="0" w:line="360" w:lineRule="auto"/>
              <w:rPr>
                <w:lang w:val="en-IN" w:eastAsia="en-IN"/>
              </w:rPr>
            </w:pPr>
            <w:r w:rsidRPr="008E6028">
              <w:rPr>
                <w:lang w:val="en-IN" w:eastAsia="en-IN"/>
              </w:rPr>
              <w:t>Less vulnerable</w:t>
            </w:r>
          </w:p>
        </w:tc>
        <w:tc>
          <w:tcPr>
            <w:tcW w:w="0" w:type="auto"/>
            <w:tcBorders>
              <w:bottom w:val="single" w:sz="4" w:space="0" w:color="auto"/>
            </w:tcBorders>
            <w:vAlign w:val="center"/>
            <w:hideMark/>
          </w:tcPr>
          <w:p w14:paraId="493D229C" w14:textId="77777777" w:rsidR="008E6028" w:rsidRPr="008E6028" w:rsidRDefault="008E6028" w:rsidP="00610E5A">
            <w:pPr>
              <w:spacing w:after="0" w:line="360" w:lineRule="auto"/>
              <w:jc w:val="right"/>
              <w:rPr>
                <w:lang w:val="en-IN" w:eastAsia="en-IN"/>
              </w:rPr>
            </w:pPr>
            <w:r w:rsidRPr="008E6028">
              <w:rPr>
                <w:lang w:val="en-IN" w:eastAsia="en-IN"/>
              </w:rPr>
              <w:t>0.404 (0.292)</w:t>
            </w:r>
          </w:p>
        </w:tc>
        <w:tc>
          <w:tcPr>
            <w:tcW w:w="0" w:type="auto"/>
            <w:tcBorders>
              <w:bottom w:val="single" w:sz="4" w:space="0" w:color="auto"/>
            </w:tcBorders>
            <w:vAlign w:val="center"/>
            <w:hideMark/>
          </w:tcPr>
          <w:p w14:paraId="4965A658" w14:textId="77777777" w:rsidR="008E6028" w:rsidRPr="008E6028" w:rsidRDefault="008E6028" w:rsidP="00610E5A">
            <w:pPr>
              <w:spacing w:after="0" w:line="360" w:lineRule="auto"/>
              <w:jc w:val="right"/>
              <w:rPr>
                <w:lang w:val="en-IN" w:eastAsia="en-IN"/>
              </w:rPr>
            </w:pPr>
            <w:r w:rsidRPr="008E6028">
              <w:rPr>
                <w:lang w:val="en-IN" w:eastAsia="en-IN"/>
              </w:rPr>
              <w:t>+49.7%</w:t>
            </w:r>
          </w:p>
        </w:tc>
        <w:tc>
          <w:tcPr>
            <w:tcW w:w="0" w:type="auto"/>
            <w:tcBorders>
              <w:bottom w:val="single" w:sz="4" w:space="0" w:color="auto"/>
            </w:tcBorders>
            <w:vAlign w:val="center"/>
            <w:hideMark/>
          </w:tcPr>
          <w:p w14:paraId="5BAB587B" w14:textId="77777777" w:rsidR="008E6028" w:rsidRPr="008E6028" w:rsidRDefault="008E6028" w:rsidP="00610E5A">
            <w:pPr>
              <w:spacing w:after="0" w:line="360" w:lineRule="auto"/>
              <w:jc w:val="right"/>
              <w:rPr>
                <w:lang w:val="en-IN" w:eastAsia="en-IN"/>
              </w:rPr>
            </w:pPr>
            <w:r w:rsidRPr="008E6028">
              <w:rPr>
                <w:lang w:val="en-IN" w:eastAsia="en-IN"/>
              </w:rPr>
              <w:t>2,472</w:t>
            </w:r>
          </w:p>
        </w:tc>
        <w:tc>
          <w:tcPr>
            <w:tcW w:w="0" w:type="auto"/>
            <w:tcBorders>
              <w:bottom w:val="single" w:sz="4" w:space="0" w:color="auto"/>
            </w:tcBorders>
            <w:vAlign w:val="center"/>
            <w:hideMark/>
          </w:tcPr>
          <w:p w14:paraId="576E50B5" w14:textId="77777777" w:rsidR="008E6028" w:rsidRPr="008E6028" w:rsidRDefault="008E6028" w:rsidP="00610E5A">
            <w:pPr>
              <w:spacing w:after="0" w:line="360" w:lineRule="auto"/>
              <w:jc w:val="right"/>
              <w:rPr>
                <w:lang w:val="en-IN" w:eastAsia="en-IN"/>
              </w:rPr>
            </w:pPr>
            <w:r w:rsidRPr="008E6028">
              <w:rPr>
                <w:lang w:val="en-IN" w:eastAsia="en-IN"/>
              </w:rPr>
              <w:t>100</w:t>
            </w:r>
          </w:p>
        </w:tc>
      </w:tr>
    </w:tbl>
    <w:p w14:paraId="2E6B7C78" w14:textId="77777777" w:rsidR="008E6028" w:rsidRPr="008E6028" w:rsidRDefault="008E6028" w:rsidP="00610E5A">
      <w:pPr>
        <w:spacing w:before="100" w:beforeAutospacing="1" w:after="100" w:afterAutospacing="1"/>
        <w:jc w:val="both"/>
        <w:rPr>
          <w:sz w:val="20"/>
          <w:lang w:val="en-IN" w:eastAsia="en-IN"/>
        </w:rPr>
      </w:pPr>
      <w:r w:rsidRPr="00610E5A">
        <w:rPr>
          <w:b/>
          <w:bCs/>
          <w:sz w:val="20"/>
          <w:lang w:val="en-IN" w:eastAsia="en-IN"/>
        </w:rPr>
        <w:lastRenderedPageBreak/>
        <w:t>Notes.</w:t>
      </w:r>
      <w:r w:rsidRPr="008E6028">
        <w:rPr>
          <w:sz w:val="20"/>
          <w:lang w:val="en-IN" w:eastAsia="en-IN"/>
        </w:rPr>
        <w:t xml:space="preserve"> Estimates are from PPML models with country and year fixed effects. The dependent variable is the cumulative adaptation response over years </w:t>
      </w:r>
      <w:r w:rsidRPr="00610E5A">
        <w:rPr>
          <w:i/>
          <w:iCs/>
          <w:sz w:val="20"/>
          <w:lang w:val="en-IN" w:eastAsia="en-IN"/>
        </w:rPr>
        <w:t>t</w:t>
      </w:r>
      <w:r w:rsidRPr="008E6028">
        <w:rPr>
          <w:sz w:val="20"/>
          <w:lang w:val="en-IN" w:eastAsia="en-IN"/>
        </w:rPr>
        <w:t xml:space="preserve"> to </w:t>
      </w:r>
      <w:r w:rsidRPr="00610E5A">
        <w:rPr>
          <w:i/>
          <w:iCs/>
          <w:sz w:val="20"/>
          <w:lang w:val="en-IN" w:eastAsia="en-IN"/>
        </w:rPr>
        <w:t>t</w:t>
      </w:r>
      <w:r w:rsidRPr="008E6028">
        <w:rPr>
          <w:sz w:val="20"/>
          <w:lang w:val="en-IN" w:eastAsia="en-IN"/>
        </w:rPr>
        <w:t xml:space="preserve"> + 3. Standard errors, clustered at the country level, are reported in parentheses. Governance interactions divide countries at the sample median of the rule-of-law and corruption indices. The </w:t>
      </w:r>
      <w:r w:rsidRPr="00610E5A">
        <w:rPr>
          <w:b/>
          <w:bCs/>
          <w:sz w:val="20"/>
          <w:lang w:val="en-IN" w:eastAsia="en-IN"/>
        </w:rPr>
        <w:t>additional</w:t>
      </w:r>
      <w:r w:rsidRPr="008E6028">
        <w:rPr>
          <w:sz w:val="20"/>
          <w:lang w:val="en-IN" w:eastAsia="en-IN"/>
        </w:rPr>
        <w:t xml:space="preserve"> rows report the cumulative interaction effect, estimated as the cluster-robust linear combination of the four interaction terms. The </w:t>
      </w:r>
      <w:r w:rsidRPr="00610E5A">
        <w:rPr>
          <w:b/>
          <w:bCs/>
          <w:sz w:val="20"/>
          <w:lang w:val="en-IN" w:eastAsia="en-IN"/>
        </w:rPr>
        <w:t>total</w:t>
      </w:r>
      <w:r w:rsidRPr="008E6028">
        <w:rPr>
          <w:sz w:val="20"/>
          <w:lang w:val="en-IN" w:eastAsia="en-IN"/>
        </w:rPr>
        <w:t xml:space="preserve"> rows report the sum of the baseline and interaction effects. OECD and Europe estimates interact the disaster terms with the respective membership indicators. Regional estimates are obtained from separate regressions for each region. The vulnerability split estimates separate models for countries above and below the median ND-GAIN vulnerability index. *, **, and *** denote statistical significance at the 10%, 5%, and 1% levels, respectively.</w:t>
      </w:r>
    </w:p>
    <w:p w14:paraId="6C92DA03" w14:textId="77777777" w:rsidR="008E6028" w:rsidRDefault="008E6028">
      <w:pPr>
        <w:pStyle w:val="BodyText"/>
      </w:pPr>
    </w:p>
    <w:p w14:paraId="58C29DCC" w14:textId="77777777" w:rsidR="00374AF0" w:rsidRDefault="002A7B2C">
      <w:pPr>
        <w:pStyle w:val="Heading2"/>
      </w:pPr>
      <w:bookmarkStart w:id="6" w:name="s5.-robustness-full-battery"/>
      <w:bookmarkEnd w:id="5"/>
      <w:r>
        <w:t>S5. Robustness, full battery</w:t>
      </w:r>
    </w:p>
    <w:p w14:paraId="3D2C8CED" w14:textId="77777777" w:rsidR="00374AF0" w:rsidRDefault="002A7B2C">
      <w:pPr>
        <w:pStyle w:val="FirstParagraph"/>
      </w:pPr>
      <w:r>
        <w:t>The main robustness checks appear in Table 4. Table S5 adds the type-specific results, in which the treatment is the occurrence of a single hazard type. The adaptation response is positive for every hazard and strongest for heat and wildfire events, though only the latter reaches significance, consistent with the modest precision of single-type estimates.</w:t>
      </w:r>
    </w:p>
    <w:p w14:paraId="71273690" w14:textId="77777777" w:rsidR="00374AF0" w:rsidRDefault="002A7B2C">
      <w:pPr>
        <w:pStyle w:val="BodyText"/>
      </w:pPr>
      <w:r>
        <w:rPr>
          <w:b/>
          <w:bCs/>
        </w:rPr>
        <w:t>Table S5. Type-specific cumulative adaptation effect</w:t>
      </w:r>
    </w:p>
    <w:tbl>
      <w:tblPr>
        <w:tblStyle w:val="Table"/>
        <w:tblW w:w="9264" w:type="dxa"/>
        <w:tblLook w:val="0020" w:firstRow="1" w:lastRow="0" w:firstColumn="0" w:lastColumn="0" w:noHBand="0" w:noVBand="0"/>
      </w:tblPr>
      <w:tblGrid>
        <w:gridCol w:w="3004"/>
        <w:gridCol w:w="3335"/>
        <w:gridCol w:w="2925"/>
      </w:tblGrid>
      <w:tr w:rsidR="00374AF0" w14:paraId="43AAB9EC" w14:textId="77777777" w:rsidTr="00610E5A">
        <w:trPr>
          <w:cnfStyle w:val="100000000000" w:firstRow="1" w:lastRow="0" w:firstColumn="0" w:lastColumn="0" w:oddVBand="0" w:evenVBand="0" w:oddHBand="0" w:evenHBand="0" w:firstRowFirstColumn="0" w:firstRowLastColumn="0" w:lastRowFirstColumn="0" w:lastRowLastColumn="0"/>
          <w:trHeight w:val="532"/>
          <w:tblHeader/>
        </w:trPr>
        <w:tc>
          <w:tcPr>
            <w:tcW w:w="0" w:type="auto"/>
            <w:tcBorders>
              <w:top w:val="single" w:sz="4" w:space="0" w:color="auto"/>
              <w:bottom w:val="single" w:sz="2" w:space="0" w:color="auto"/>
            </w:tcBorders>
          </w:tcPr>
          <w:p w14:paraId="086523AF" w14:textId="77777777" w:rsidR="00374AF0" w:rsidRDefault="002A7B2C">
            <w:pPr>
              <w:pStyle w:val="Compact"/>
              <w:jc w:val="left"/>
            </w:pPr>
            <w:r>
              <w:t>Hazard type</w:t>
            </w:r>
          </w:p>
        </w:tc>
        <w:tc>
          <w:tcPr>
            <w:tcW w:w="0" w:type="auto"/>
            <w:tcBorders>
              <w:top w:val="single" w:sz="4" w:space="0" w:color="auto"/>
              <w:bottom w:val="single" w:sz="2" w:space="0" w:color="auto"/>
            </w:tcBorders>
          </w:tcPr>
          <w:p w14:paraId="2B169D4F" w14:textId="77777777" w:rsidR="00374AF0" w:rsidRDefault="002A7B2C">
            <w:pPr>
              <w:pStyle w:val="Compact"/>
              <w:jc w:val="left"/>
            </w:pPr>
            <w:r>
              <w:t>Cumulative effect</w:t>
            </w:r>
          </w:p>
        </w:tc>
        <w:tc>
          <w:tcPr>
            <w:tcW w:w="0" w:type="auto"/>
            <w:tcBorders>
              <w:top w:val="single" w:sz="4" w:space="0" w:color="auto"/>
              <w:bottom w:val="single" w:sz="2" w:space="0" w:color="auto"/>
            </w:tcBorders>
          </w:tcPr>
          <w:p w14:paraId="1D9DA409" w14:textId="77777777" w:rsidR="00374AF0" w:rsidRDefault="002A7B2C">
            <w:pPr>
              <w:pStyle w:val="Compact"/>
              <w:jc w:val="left"/>
            </w:pPr>
            <w:r>
              <w:t>Implied change</w:t>
            </w:r>
          </w:p>
        </w:tc>
      </w:tr>
      <w:tr w:rsidR="00374AF0" w14:paraId="17C90F9E" w14:textId="77777777" w:rsidTr="00610E5A">
        <w:trPr>
          <w:trHeight w:val="515"/>
        </w:trPr>
        <w:tc>
          <w:tcPr>
            <w:tcW w:w="0" w:type="auto"/>
            <w:tcBorders>
              <w:top w:val="single" w:sz="2" w:space="0" w:color="auto"/>
            </w:tcBorders>
          </w:tcPr>
          <w:p w14:paraId="07AB659C" w14:textId="77777777" w:rsidR="00374AF0" w:rsidRDefault="002A7B2C">
            <w:pPr>
              <w:pStyle w:val="Compact"/>
              <w:jc w:val="left"/>
            </w:pPr>
            <w:r>
              <w:t>Flood</w:t>
            </w:r>
          </w:p>
        </w:tc>
        <w:tc>
          <w:tcPr>
            <w:tcW w:w="0" w:type="auto"/>
            <w:tcBorders>
              <w:top w:val="single" w:sz="2" w:space="0" w:color="auto"/>
            </w:tcBorders>
          </w:tcPr>
          <w:p w14:paraId="5565C11A" w14:textId="77777777" w:rsidR="00374AF0" w:rsidRDefault="002A7B2C">
            <w:pPr>
              <w:pStyle w:val="Compact"/>
              <w:jc w:val="left"/>
            </w:pPr>
            <w:r>
              <w:t>0.162 (0.204)</w:t>
            </w:r>
          </w:p>
        </w:tc>
        <w:tc>
          <w:tcPr>
            <w:tcW w:w="0" w:type="auto"/>
            <w:tcBorders>
              <w:top w:val="single" w:sz="2" w:space="0" w:color="auto"/>
            </w:tcBorders>
          </w:tcPr>
          <w:p w14:paraId="3BADDB76" w14:textId="77777777" w:rsidR="00374AF0" w:rsidRDefault="002A7B2C">
            <w:pPr>
              <w:pStyle w:val="Compact"/>
              <w:jc w:val="left"/>
            </w:pPr>
            <w:r>
              <w:t>+17.6%</w:t>
            </w:r>
          </w:p>
        </w:tc>
      </w:tr>
      <w:tr w:rsidR="00374AF0" w14:paraId="714FA09D" w14:textId="77777777" w:rsidTr="00610E5A">
        <w:trPr>
          <w:trHeight w:val="532"/>
        </w:trPr>
        <w:tc>
          <w:tcPr>
            <w:tcW w:w="0" w:type="auto"/>
          </w:tcPr>
          <w:p w14:paraId="1768DA65" w14:textId="77777777" w:rsidR="00374AF0" w:rsidRDefault="002A7B2C">
            <w:pPr>
              <w:pStyle w:val="Compact"/>
              <w:jc w:val="left"/>
            </w:pPr>
            <w:r>
              <w:t>Storm</w:t>
            </w:r>
          </w:p>
        </w:tc>
        <w:tc>
          <w:tcPr>
            <w:tcW w:w="0" w:type="auto"/>
          </w:tcPr>
          <w:p w14:paraId="2C8F1ECC" w14:textId="77777777" w:rsidR="00374AF0" w:rsidRDefault="002A7B2C">
            <w:pPr>
              <w:pStyle w:val="Compact"/>
              <w:jc w:val="left"/>
            </w:pPr>
            <w:r>
              <w:t>0.236 (0.224)</w:t>
            </w:r>
          </w:p>
        </w:tc>
        <w:tc>
          <w:tcPr>
            <w:tcW w:w="0" w:type="auto"/>
          </w:tcPr>
          <w:p w14:paraId="099D443D" w14:textId="77777777" w:rsidR="00374AF0" w:rsidRDefault="002A7B2C">
            <w:pPr>
              <w:pStyle w:val="Compact"/>
              <w:jc w:val="left"/>
            </w:pPr>
            <w:r>
              <w:t>+26.6%</w:t>
            </w:r>
          </w:p>
        </w:tc>
      </w:tr>
      <w:tr w:rsidR="00374AF0" w14:paraId="4DCC46E0" w14:textId="77777777" w:rsidTr="00610E5A">
        <w:trPr>
          <w:trHeight w:val="532"/>
        </w:trPr>
        <w:tc>
          <w:tcPr>
            <w:tcW w:w="0" w:type="auto"/>
          </w:tcPr>
          <w:p w14:paraId="16D199AE" w14:textId="77777777" w:rsidR="00374AF0" w:rsidRDefault="002A7B2C">
            <w:pPr>
              <w:pStyle w:val="Compact"/>
              <w:jc w:val="left"/>
            </w:pPr>
            <w:r>
              <w:t>Drought</w:t>
            </w:r>
          </w:p>
        </w:tc>
        <w:tc>
          <w:tcPr>
            <w:tcW w:w="0" w:type="auto"/>
          </w:tcPr>
          <w:p w14:paraId="02015865" w14:textId="77777777" w:rsidR="00374AF0" w:rsidRDefault="002A7B2C">
            <w:pPr>
              <w:pStyle w:val="Compact"/>
              <w:jc w:val="left"/>
            </w:pPr>
            <w:r>
              <w:t>0.200 (0.302)</w:t>
            </w:r>
          </w:p>
        </w:tc>
        <w:tc>
          <w:tcPr>
            <w:tcW w:w="0" w:type="auto"/>
          </w:tcPr>
          <w:p w14:paraId="08A8C64E" w14:textId="77777777" w:rsidR="00374AF0" w:rsidRDefault="002A7B2C">
            <w:pPr>
              <w:pStyle w:val="Compact"/>
              <w:jc w:val="left"/>
            </w:pPr>
            <w:r>
              <w:t>+22.2%</w:t>
            </w:r>
          </w:p>
        </w:tc>
      </w:tr>
      <w:tr w:rsidR="00374AF0" w14:paraId="2E13323A" w14:textId="77777777" w:rsidTr="00610E5A">
        <w:trPr>
          <w:trHeight w:val="532"/>
        </w:trPr>
        <w:tc>
          <w:tcPr>
            <w:tcW w:w="0" w:type="auto"/>
            <w:tcBorders>
              <w:bottom w:val="single" w:sz="4" w:space="0" w:color="auto"/>
            </w:tcBorders>
          </w:tcPr>
          <w:p w14:paraId="30C7D41C" w14:textId="77777777" w:rsidR="00374AF0" w:rsidRDefault="002A7B2C">
            <w:pPr>
              <w:pStyle w:val="Compact"/>
              <w:jc w:val="left"/>
            </w:pPr>
            <w:r>
              <w:t>Heat or wildfire</w:t>
            </w:r>
          </w:p>
        </w:tc>
        <w:tc>
          <w:tcPr>
            <w:tcW w:w="0" w:type="auto"/>
            <w:tcBorders>
              <w:bottom w:val="single" w:sz="4" w:space="0" w:color="auto"/>
            </w:tcBorders>
          </w:tcPr>
          <w:p w14:paraId="7D21116E" w14:textId="77777777" w:rsidR="00374AF0" w:rsidRDefault="002A7B2C">
            <w:pPr>
              <w:pStyle w:val="Compact"/>
              <w:jc w:val="left"/>
            </w:pPr>
            <w:r>
              <w:t>0.474* (0.266)</w:t>
            </w:r>
          </w:p>
        </w:tc>
        <w:tc>
          <w:tcPr>
            <w:tcW w:w="0" w:type="auto"/>
            <w:tcBorders>
              <w:bottom w:val="single" w:sz="4" w:space="0" w:color="auto"/>
            </w:tcBorders>
          </w:tcPr>
          <w:p w14:paraId="78A6B24D" w14:textId="77777777" w:rsidR="00374AF0" w:rsidRDefault="002A7B2C">
            <w:pPr>
              <w:pStyle w:val="Compact"/>
              <w:jc w:val="left"/>
            </w:pPr>
            <w:r>
              <w:t>+60.6%</w:t>
            </w:r>
          </w:p>
        </w:tc>
      </w:tr>
    </w:tbl>
    <w:p w14:paraId="317AB775" w14:textId="77777777" w:rsidR="00374AF0" w:rsidRPr="00610E5A" w:rsidRDefault="002A7B2C">
      <w:pPr>
        <w:pStyle w:val="BodyText"/>
        <w:rPr>
          <w:sz w:val="20"/>
        </w:rPr>
      </w:pPr>
      <w:r w:rsidRPr="00610E5A">
        <w:rPr>
          <w:b/>
          <w:i/>
          <w:iCs/>
          <w:sz w:val="20"/>
        </w:rPr>
        <w:t>Notes</w:t>
      </w:r>
      <w:r w:rsidRPr="00610E5A">
        <w:rPr>
          <w:i/>
          <w:iCs/>
          <w:sz w:val="20"/>
        </w:rPr>
        <w:t>.</w:t>
      </w:r>
      <w:r w:rsidRPr="00610E5A">
        <w:rPr>
          <w:sz w:val="20"/>
        </w:rPr>
        <w:t xml:space="preserve"> PPML, cumulative adaptation effect over t to t-3, country and year fixed effects, country-clustered standard errors in parentheses. * p&lt;0.10, ** p&lt;0.05, *** p&lt;0.01. Sample of 5,336 country-years across 184 countries.</w:t>
      </w:r>
    </w:p>
    <w:p w14:paraId="4BDCDBEB" w14:textId="77777777" w:rsidR="00374AF0" w:rsidRDefault="002A7B2C" w:rsidP="00610E5A">
      <w:pPr>
        <w:pStyle w:val="BodyText"/>
      </w:pPr>
      <w:r>
        <w:t>The result does not depend on the Poisson model. A negative binomial specification with the same fixed effects gives a nearly identical cumulative effect, and a linear fixed-effects model is positive but imprecise, as expected for a skewed count with many zeros.</w:t>
      </w:r>
    </w:p>
    <w:p w14:paraId="72EDAD18" w14:textId="77777777" w:rsidR="00374AF0" w:rsidRDefault="002A7B2C">
      <w:pPr>
        <w:pStyle w:val="BodyText"/>
      </w:pPr>
      <w:r>
        <w:rPr>
          <w:b/>
          <w:bCs/>
        </w:rPr>
        <w:t>Table S6. Alternative estimators (cumulative adaptation)</w:t>
      </w:r>
    </w:p>
    <w:tbl>
      <w:tblPr>
        <w:tblStyle w:val="Table"/>
        <w:tblW w:w="9361" w:type="dxa"/>
        <w:tblLook w:val="0020" w:firstRow="1" w:lastRow="0" w:firstColumn="0" w:lastColumn="0" w:noHBand="0" w:noVBand="0"/>
      </w:tblPr>
      <w:tblGrid>
        <w:gridCol w:w="4270"/>
        <w:gridCol w:w="2712"/>
        <w:gridCol w:w="2379"/>
      </w:tblGrid>
      <w:tr w:rsidR="00374AF0" w14:paraId="12275C09" w14:textId="77777777" w:rsidTr="00610E5A">
        <w:trPr>
          <w:cnfStyle w:val="100000000000" w:firstRow="1" w:lastRow="0" w:firstColumn="0" w:lastColumn="0" w:oddVBand="0" w:evenVBand="0" w:oddHBand="0" w:evenHBand="0" w:firstRowFirstColumn="0" w:firstRowLastColumn="0" w:lastRowFirstColumn="0" w:lastRowLastColumn="0"/>
          <w:trHeight w:val="507"/>
          <w:tblHeader/>
        </w:trPr>
        <w:tc>
          <w:tcPr>
            <w:tcW w:w="0" w:type="auto"/>
            <w:tcBorders>
              <w:top w:val="single" w:sz="4" w:space="0" w:color="auto"/>
              <w:bottom w:val="single" w:sz="2" w:space="0" w:color="auto"/>
            </w:tcBorders>
          </w:tcPr>
          <w:p w14:paraId="2316730C" w14:textId="77777777" w:rsidR="00374AF0" w:rsidRDefault="002A7B2C" w:rsidP="00610E5A">
            <w:pPr>
              <w:pStyle w:val="Compact"/>
              <w:jc w:val="center"/>
            </w:pPr>
            <w:r>
              <w:t>Estimator</w:t>
            </w:r>
          </w:p>
        </w:tc>
        <w:tc>
          <w:tcPr>
            <w:tcW w:w="0" w:type="auto"/>
            <w:tcBorders>
              <w:top w:val="single" w:sz="4" w:space="0" w:color="auto"/>
              <w:bottom w:val="single" w:sz="2" w:space="0" w:color="auto"/>
            </w:tcBorders>
          </w:tcPr>
          <w:p w14:paraId="2F485A9E" w14:textId="77777777" w:rsidR="00374AF0" w:rsidRDefault="002A7B2C" w:rsidP="00610E5A">
            <w:pPr>
              <w:pStyle w:val="Compact"/>
              <w:jc w:val="center"/>
            </w:pPr>
            <w:r>
              <w:t>Cumulative effect</w:t>
            </w:r>
          </w:p>
        </w:tc>
        <w:tc>
          <w:tcPr>
            <w:tcW w:w="0" w:type="auto"/>
            <w:tcBorders>
              <w:top w:val="single" w:sz="4" w:space="0" w:color="auto"/>
              <w:bottom w:val="single" w:sz="2" w:space="0" w:color="auto"/>
            </w:tcBorders>
          </w:tcPr>
          <w:p w14:paraId="05C92F47" w14:textId="77777777" w:rsidR="00374AF0" w:rsidRDefault="002A7B2C" w:rsidP="00610E5A">
            <w:pPr>
              <w:pStyle w:val="Compact"/>
              <w:jc w:val="center"/>
            </w:pPr>
            <w:r>
              <w:t>Implied change</w:t>
            </w:r>
          </w:p>
        </w:tc>
      </w:tr>
      <w:tr w:rsidR="00374AF0" w14:paraId="4603FC12" w14:textId="77777777" w:rsidTr="00610E5A">
        <w:trPr>
          <w:trHeight w:val="490"/>
        </w:trPr>
        <w:tc>
          <w:tcPr>
            <w:tcW w:w="0" w:type="auto"/>
            <w:tcBorders>
              <w:top w:val="single" w:sz="2" w:space="0" w:color="auto"/>
            </w:tcBorders>
          </w:tcPr>
          <w:p w14:paraId="0B028350" w14:textId="77777777" w:rsidR="00374AF0" w:rsidRDefault="002A7B2C" w:rsidP="00610E5A">
            <w:pPr>
              <w:pStyle w:val="Compact"/>
              <w:jc w:val="center"/>
            </w:pPr>
            <w:r>
              <w:t>Poisson FE (PPML, baseline)</w:t>
            </w:r>
          </w:p>
        </w:tc>
        <w:tc>
          <w:tcPr>
            <w:tcW w:w="0" w:type="auto"/>
            <w:tcBorders>
              <w:top w:val="single" w:sz="2" w:space="0" w:color="auto"/>
            </w:tcBorders>
          </w:tcPr>
          <w:p w14:paraId="7A7456D2" w14:textId="77777777" w:rsidR="00374AF0" w:rsidRDefault="002A7B2C" w:rsidP="00610E5A">
            <w:pPr>
              <w:pStyle w:val="Compact"/>
              <w:jc w:val="center"/>
            </w:pPr>
            <w:r>
              <w:t>0.472** (0.208)</w:t>
            </w:r>
          </w:p>
        </w:tc>
        <w:tc>
          <w:tcPr>
            <w:tcW w:w="0" w:type="auto"/>
            <w:tcBorders>
              <w:top w:val="single" w:sz="2" w:space="0" w:color="auto"/>
            </w:tcBorders>
          </w:tcPr>
          <w:p w14:paraId="5C33B06C" w14:textId="77777777" w:rsidR="00374AF0" w:rsidRDefault="002A7B2C" w:rsidP="00610E5A">
            <w:pPr>
              <w:pStyle w:val="Compact"/>
              <w:jc w:val="center"/>
            </w:pPr>
            <w:r>
              <w:t>+60.3%</w:t>
            </w:r>
          </w:p>
        </w:tc>
      </w:tr>
      <w:tr w:rsidR="00374AF0" w14:paraId="5FCAF2F8" w14:textId="77777777" w:rsidTr="00610E5A">
        <w:trPr>
          <w:trHeight w:val="507"/>
        </w:trPr>
        <w:tc>
          <w:tcPr>
            <w:tcW w:w="0" w:type="auto"/>
          </w:tcPr>
          <w:p w14:paraId="21EA1A67" w14:textId="77777777" w:rsidR="00374AF0" w:rsidRDefault="002A7B2C" w:rsidP="00610E5A">
            <w:pPr>
              <w:pStyle w:val="Compact"/>
              <w:jc w:val="center"/>
            </w:pPr>
            <w:r>
              <w:t>Negative binomial FE</w:t>
            </w:r>
          </w:p>
        </w:tc>
        <w:tc>
          <w:tcPr>
            <w:tcW w:w="0" w:type="auto"/>
          </w:tcPr>
          <w:p w14:paraId="2D03AF6B" w14:textId="77777777" w:rsidR="00374AF0" w:rsidRDefault="002A7B2C" w:rsidP="00610E5A">
            <w:pPr>
              <w:pStyle w:val="Compact"/>
              <w:jc w:val="center"/>
            </w:pPr>
            <w:r>
              <w:t>0.448** (0.207)</w:t>
            </w:r>
          </w:p>
        </w:tc>
        <w:tc>
          <w:tcPr>
            <w:tcW w:w="0" w:type="auto"/>
          </w:tcPr>
          <w:p w14:paraId="016D7916" w14:textId="77777777" w:rsidR="00374AF0" w:rsidRDefault="002A7B2C" w:rsidP="00610E5A">
            <w:pPr>
              <w:pStyle w:val="Compact"/>
              <w:jc w:val="center"/>
            </w:pPr>
            <w:r>
              <w:t>+56.5%</w:t>
            </w:r>
          </w:p>
        </w:tc>
      </w:tr>
      <w:tr w:rsidR="00374AF0" w14:paraId="6BE6A28F" w14:textId="77777777" w:rsidTr="00610E5A">
        <w:trPr>
          <w:trHeight w:val="507"/>
        </w:trPr>
        <w:tc>
          <w:tcPr>
            <w:tcW w:w="0" w:type="auto"/>
            <w:tcBorders>
              <w:bottom w:val="single" w:sz="4" w:space="0" w:color="auto"/>
            </w:tcBorders>
          </w:tcPr>
          <w:p w14:paraId="07D7F3DB" w14:textId="77777777" w:rsidR="00374AF0" w:rsidRDefault="002A7B2C" w:rsidP="00610E5A">
            <w:pPr>
              <w:pStyle w:val="Compact"/>
              <w:jc w:val="center"/>
            </w:pPr>
            <w:r>
              <w:t>Linear FE (OLS, levels)</w:t>
            </w:r>
          </w:p>
        </w:tc>
        <w:tc>
          <w:tcPr>
            <w:tcW w:w="0" w:type="auto"/>
            <w:tcBorders>
              <w:bottom w:val="single" w:sz="4" w:space="0" w:color="auto"/>
            </w:tcBorders>
          </w:tcPr>
          <w:p w14:paraId="02B2DCBF" w14:textId="77777777" w:rsidR="00374AF0" w:rsidRDefault="002A7B2C" w:rsidP="00610E5A">
            <w:pPr>
              <w:pStyle w:val="Compact"/>
              <w:jc w:val="center"/>
            </w:pPr>
            <w:r>
              <w:t>0.062 (0.039)</w:t>
            </w:r>
          </w:p>
        </w:tc>
        <w:tc>
          <w:tcPr>
            <w:tcW w:w="0" w:type="auto"/>
            <w:tcBorders>
              <w:bottom w:val="single" w:sz="4" w:space="0" w:color="auto"/>
            </w:tcBorders>
          </w:tcPr>
          <w:p w14:paraId="22CB4A1B" w14:textId="77777777" w:rsidR="00374AF0" w:rsidRDefault="002A7B2C" w:rsidP="00610E5A">
            <w:pPr>
              <w:pStyle w:val="Compact"/>
              <w:jc w:val="center"/>
            </w:pPr>
            <w:r>
              <w:t>—</w:t>
            </w:r>
          </w:p>
        </w:tc>
      </w:tr>
    </w:tbl>
    <w:p w14:paraId="09F73400" w14:textId="77777777" w:rsidR="00374AF0" w:rsidRPr="00610E5A" w:rsidRDefault="00610E5A" w:rsidP="00610E5A">
      <w:pPr>
        <w:pStyle w:val="BodyText"/>
        <w:spacing w:line="240" w:lineRule="auto"/>
        <w:rPr>
          <w:sz w:val="20"/>
        </w:rPr>
      </w:pPr>
      <w:r>
        <w:rPr>
          <w:b/>
          <w:i/>
          <w:iCs/>
          <w:sz w:val="20"/>
        </w:rPr>
        <w:t>Notes:</w:t>
      </w:r>
      <w:r w:rsidR="002A7B2C" w:rsidRPr="00610E5A">
        <w:rPr>
          <w:sz w:val="20"/>
        </w:rPr>
        <w:t xml:space="preserve"> Cumulative adaptation effect over t to t-3, country and year fixed effects, country-clustered standard errors in parentheses. Sample of 5,336 country-years across 184 countries for the Poisson and negative binomial </w:t>
      </w:r>
      <w:r w:rsidR="002A7B2C" w:rsidRPr="00610E5A">
        <w:rPr>
          <w:sz w:val="20"/>
        </w:rPr>
        <w:lastRenderedPageBreak/>
        <w:t>models; the negative binomial dispersion is alpha = 0.51. The linear model is in law counts, so no percentage is shown.</w:t>
      </w:r>
    </w:p>
    <w:p w14:paraId="6B9294C7" w14:textId="77777777" w:rsidR="00374AF0" w:rsidRDefault="002A7B2C">
      <w:pPr>
        <w:pStyle w:val="BodyText"/>
      </w:pPr>
      <w:r>
        <w:t>The disaster response is also present for the more substantive form of lawmaking. Splitting adaptation into legislative acts (laws passed by the legislature) and executive acts (regulations and decrees), the cumulative effect is larger for legislative, framework-type laws than for executive, implementation-type acts.</w:t>
      </w:r>
    </w:p>
    <w:p w14:paraId="716279A5" w14:textId="77777777" w:rsidR="00374AF0" w:rsidRDefault="002A7B2C">
      <w:pPr>
        <w:pStyle w:val="BodyText"/>
      </w:pPr>
      <w:r>
        <w:rPr>
          <w:b/>
          <w:bCs/>
        </w:rPr>
        <w:t>Table S7. Legislative versus executive adaptation acts</w:t>
      </w:r>
    </w:p>
    <w:tbl>
      <w:tblPr>
        <w:tblStyle w:val="Table"/>
        <w:tblW w:w="5000" w:type="pct"/>
        <w:tblLook w:val="0020" w:firstRow="1" w:lastRow="0" w:firstColumn="0" w:lastColumn="0" w:noHBand="0" w:noVBand="0"/>
      </w:tblPr>
      <w:tblGrid>
        <w:gridCol w:w="4036"/>
        <w:gridCol w:w="1770"/>
        <w:gridCol w:w="1530"/>
        <w:gridCol w:w="756"/>
        <w:gridCol w:w="1150"/>
      </w:tblGrid>
      <w:tr w:rsidR="00374AF0" w14:paraId="39F12C3C" w14:textId="77777777" w:rsidTr="00610E5A">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tcPr>
          <w:p w14:paraId="69E1A9BF" w14:textId="77777777" w:rsidR="00374AF0" w:rsidRDefault="002A7B2C">
            <w:pPr>
              <w:pStyle w:val="Compact"/>
              <w:jc w:val="left"/>
            </w:pPr>
            <w:r>
              <w:t>Outcome</w:t>
            </w:r>
          </w:p>
        </w:tc>
        <w:tc>
          <w:tcPr>
            <w:tcW w:w="0" w:type="auto"/>
            <w:tcBorders>
              <w:top w:val="single" w:sz="4" w:space="0" w:color="auto"/>
              <w:bottom w:val="single" w:sz="2" w:space="0" w:color="auto"/>
            </w:tcBorders>
          </w:tcPr>
          <w:p w14:paraId="1139F981" w14:textId="77777777" w:rsidR="00374AF0" w:rsidRDefault="002A7B2C">
            <w:pPr>
              <w:pStyle w:val="Compact"/>
              <w:jc w:val="left"/>
            </w:pPr>
            <w:r>
              <w:t>Cumulative effect</w:t>
            </w:r>
          </w:p>
        </w:tc>
        <w:tc>
          <w:tcPr>
            <w:tcW w:w="0" w:type="auto"/>
            <w:tcBorders>
              <w:top w:val="single" w:sz="4" w:space="0" w:color="auto"/>
              <w:bottom w:val="single" w:sz="2" w:space="0" w:color="auto"/>
            </w:tcBorders>
          </w:tcPr>
          <w:p w14:paraId="782579AA" w14:textId="77777777" w:rsidR="00374AF0" w:rsidRDefault="002A7B2C">
            <w:pPr>
              <w:pStyle w:val="Compact"/>
              <w:jc w:val="left"/>
            </w:pPr>
            <w:r>
              <w:t>Implied change</w:t>
            </w:r>
          </w:p>
        </w:tc>
        <w:tc>
          <w:tcPr>
            <w:tcW w:w="0" w:type="auto"/>
            <w:tcBorders>
              <w:top w:val="single" w:sz="4" w:space="0" w:color="auto"/>
              <w:bottom w:val="single" w:sz="2" w:space="0" w:color="auto"/>
            </w:tcBorders>
          </w:tcPr>
          <w:p w14:paraId="50B96A9D" w14:textId="77777777" w:rsidR="00374AF0" w:rsidRDefault="002A7B2C">
            <w:pPr>
              <w:pStyle w:val="Compact"/>
              <w:jc w:val="left"/>
            </w:pPr>
            <w:r>
              <w:t>Obs.</w:t>
            </w:r>
          </w:p>
        </w:tc>
        <w:tc>
          <w:tcPr>
            <w:tcW w:w="0" w:type="auto"/>
            <w:tcBorders>
              <w:top w:val="single" w:sz="4" w:space="0" w:color="auto"/>
              <w:bottom w:val="single" w:sz="2" w:space="0" w:color="auto"/>
            </w:tcBorders>
          </w:tcPr>
          <w:p w14:paraId="743BEC9D" w14:textId="77777777" w:rsidR="00374AF0" w:rsidRDefault="002A7B2C">
            <w:pPr>
              <w:pStyle w:val="Compact"/>
              <w:jc w:val="left"/>
            </w:pPr>
            <w:r>
              <w:t>Countries</w:t>
            </w:r>
          </w:p>
        </w:tc>
      </w:tr>
      <w:tr w:rsidR="00374AF0" w14:paraId="526B5A30" w14:textId="77777777" w:rsidTr="00610E5A">
        <w:tc>
          <w:tcPr>
            <w:tcW w:w="0" w:type="auto"/>
            <w:tcBorders>
              <w:top w:val="single" w:sz="2" w:space="0" w:color="auto"/>
            </w:tcBorders>
          </w:tcPr>
          <w:p w14:paraId="743AD488" w14:textId="77777777" w:rsidR="00374AF0" w:rsidRDefault="002A7B2C">
            <w:pPr>
              <w:pStyle w:val="Compact"/>
              <w:jc w:val="left"/>
            </w:pPr>
            <w:r>
              <w:t>Legislative (framework-type) adaptation acts</w:t>
            </w:r>
          </w:p>
        </w:tc>
        <w:tc>
          <w:tcPr>
            <w:tcW w:w="0" w:type="auto"/>
            <w:tcBorders>
              <w:top w:val="single" w:sz="2" w:space="0" w:color="auto"/>
            </w:tcBorders>
          </w:tcPr>
          <w:p w14:paraId="0FF86457" w14:textId="77777777" w:rsidR="00374AF0" w:rsidRDefault="002A7B2C">
            <w:pPr>
              <w:pStyle w:val="Compact"/>
              <w:jc w:val="left"/>
            </w:pPr>
            <w:r>
              <w:t>0.766* (0.416)</w:t>
            </w:r>
          </w:p>
        </w:tc>
        <w:tc>
          <w:tcPr>
            <w:tcW w:w="0" w:type="auto"/>
            <w:tcBorders>
              <w:top w:val="single" w:sz="2" w:space="0" w:color="auto"/>
            </w:tcBorders>
          </w:tcPr>
          <w:p w14:paraId="472E05B1" w14:textId="77777777" w:rsidR="00374AF0" w:rsidRDefault="002A7B2C">
            <w:pPr>
              <w:pStyle w:val="Compact"/>
              <w:jc w:val="left"/>
            </w:pPr>
            <w:r>
              <w:t>+115.2%</w:t>
            </w:r>
          </w:p>
        </w:tc>
        <w:tc>
          <w:tcPr>
            <w:tcW w:w="0" w:type="auto"/>
            <w:tcBorders>
              <w:top w:val="single" w:sz="2" w:space="0" w:color="auto"/>
            </w:tcBorders>
          </w:tcPr>
          <w:p w14:paraId="4B9D37F5" w14:textId="77777777" w:rsidR="00374AF0" w:rsidRDefault="002A7B2C">
            <w:pPr>
              <w:pStyle w:val="Compact"/>
              <w:jc w:val="left"/>
            </w:pPr>
            <w:r>
              <w:t>3,136</w:t>
            </w:r>
          </w:p>
        </w:tc>
        <w:tc>
          <w:tcPr>
            <w:tcW w:w="0" w:type="auto"/>
            <w:tcBorders>
              <w:top w:val="single" w:sz="2" w:space="0" w:color="auto"/>
            </w:tcBorders>
          </w:tcPr>
          <w:p w14:paraId="697897FB" w14:textId="77777777" w:rsidR="00374AF0" w:rsidRDefault="002A7B2C">
            <w:pPr>
              <w:pStyle w:val="Compact"/>
              <w:jc w:val="left"/>
            </w:pPr>
            <w:r>
              <w:t>112</w:t>
            </w:r>
          </w:p>
        </w:tc>
      </w:tr>
      <w:tr w:rsidR="00374AF0" w14:paraId="3E7F5C13" w14:textId="77777777" w:rsidTr="00610E5A">
        <w:tc>
          <w:tcPr>
            <w:tcW w:w="0" w:type="auto"/>
            <w:tcBorders>
              <w:bottom w:val="single" w:sz="4" w:space="0" w:color="auto"/>
            </w:tcBorders>
          </w:tcPr>
          <w:p w14:paraId="7B6FD3C0" w14:textId="77777777" w:rsidR="00374AF0" w:rsidRDefault="002A7B2C">
            <w:pPr>
              <w:pStyle w:val="Compact"/>
              <w:jc w:val="left"/>
            </w:pPr>
            <w:r>
              <w:t>Executive (implementation-type) adaptation acts</w:t>
            </w:r>
          </w:p>
        </w:tc>
        <w:tc>
          <w:tcPr>
            <w:tcW w:w="0" w:type="auto"/>
            <w:tcBorders>
              <w:bottom w:val="single" w:sz="4" w:space="0" w:color="auto"/>
            </w:tcBorders>
          </w:tcPr>
          <w:p w14:paraId="0C1B77AC" w14:textId="77777777" w:rsidR="00374AF0" w:rsidRDefault="002A7B2C">
            <w:pPr>
              <w:pStyle w:val="Compact"/>
              <w:jc w:val="left"/>
            </w:pPr>
            <w:r>
              <w:t>0.393* (0.231)</w:t>
            </w:r>
          </w:p>
        </w:tc>
        <w:tc>
          <w:tcPr>
            <w:tcW w:w="0" w:type="auto"/>
            <w:tcBorders>
              <w:bottom w:val="single" w:sz="4" w:space="0" w:color="auto"/>
            </w:tcBorders>
          </w:tcPr>
          <w:p w14:paraId="14CAABF9" w14:textId="77777777" w:rsidR="00374AF0" w:rsidRDefault="002A7B2C">
            <w:pPr>
              <w:pStyle w:val="Compact"/>
              <w:jc w:val="left"/>
            </w:pPr>
            <w:r>
              <w:t>+48.1%</w:t>
            </w:r>
          </w:p>
        </w:tc>
        <w:tc>
          <w:tcPr>
            <w:tcW w:w="0" w:type="auto"/>
            <w:tcBorders>
              <w:bottom w:val="single" w:sz="4" w:space="0" w:color="auto"/>
            </w:tcBorders>
          </w:tcPr>
          <w:p w14:paraId="3E34228F" w14:textId="77777777" w:rsidR="00374AF0" w:rsidRDefault="002A7B2C">
            <w:pPr>
              <w:pStyle w:val="Compact"/>
              <w:jc w:val="left"/>
            </w:pPr>
            <w:r>
              <w:t>5,278</w:t>
            </w:r>
          </w:p>
        </w:tc>
        <w:tc>
          <w:tcPr>
            <w:tcW w:w="0" w:type="auto"/>
            <w:tcBorders>
              <w:bottom w:val="single" w:sz="4" w:space="0" w:color="auto"/>
            </w:tcBorders>
          </w:tcPr>
          <w:p w14:paraId="711E9D24" w14:textId="77777777" w:rsidR="00374AF0" w:rsidRDefault="002A7B2C">
            <w:pPr>
              <w:pStyle w:val="Compact"/>
              <w:jc w:val="left"/>
            </w:pPr>
            <w:r>
              <w:t>182</w:t>
            </w:r>
          </w:p>
        </w:tc>
      </w:tr>
    </w:tbl>
    <w:p w14:paraId="36FC1141" w14:textId="77777777" w:rsidR="00374AF0" w:rsidRPr="00610E5A" w:rsidRDefault="002A7B2C" w:rsidP="00610E5A">
      <w:pPr>
        <w:pStyle w:val="BodyText"/>
        <w:rPr>
          <w:sz w:val="20"/>
        </w:rPr>
      </w:pPr>
      <w:r w:rsidRPr="00610E5A">
        <w:rPr>
          <w:i/>
          <w:iCs/>
          <w:sz w:val="20"/>
        </w:rPr>
        <w:t>Notes.</w:t>
      </w:r>
      <w:r w:rsidRPr="00610E5A">
        <w:rPr>
          <w:sz w:val="20"/>
        </w:rPr>
        <w:t xml:space="preserve"> </w:t>
      </w:r>
      <w:r w:rsidR="00E11F3E" w:rsidRPr="00610E5A">
        <w:rPr>
          <w:sz w:val="20"/>
        </w:rPr>
        <w:t xml:space="preserve">Estimates are from PPML models with country and year fixed effects. The dependent variable is the cumulative adaptation response over years </w:t>
      </w:r>
      <w:r w:rsidR="00E11F3E" w:rsidRPr="00610E5A">
        <w:rPr>
          <w:rStyle w:val="Emphasis"/>
          <w:sz w:val="20"/>
        </w:rPr>
        <w:t>t</w:t>
      </w:r>
      <w:r w:rsidR="00E11F3E" w:rsidRPr="00610E5A">
        <w:rPr>
          <w:sz w:val="20"/>
        </w:rPr>
        <w:t xml:space="preserve"> to </w:t>
      </w:r>
      <w:r w:rsidR="00E11F3E" w:rsidRPr="00610E5A">
        <w:rPr>
          <w:rStyle w:val="Emphasis"/>
          <w:sz w:val="20"/>
        </w:rPr>
        <w:t>t</w:t>
      </w:r>
      <w:r w:rsidR="00E11F3E" w:rsidRPr="00610E5A">
        <w:rPr>
          <w:sz w:val="20"/>
        </w:rPr>
        <w:t xml:space="preserve"> + 3. Standard errors, clustered at the country level, are reported in parentheses. Legislative acts refer to framework-type legislation enacted by legislatures, while executive acts refer to implementation-type policies issued by the executive branch. *, **, and *** denote statistical significance at the 10%, 5%, and 1% levels, respectively.</w:t>
      </w:r>
    </w:p>
    <w:p w14:paraId="7F2EC7F8" w14:textId="77777777" w:rsidR="00E11F3E" w:rsidRPr="00E11F3E" w:rsidRDefault="00E11F3E" w:rsidP="00E11F3E">
      <w:pPr>
        <w:spacing w:before="100" w:beforeAutospacing="1" w:after="100" w:afterAutospacing="1"/>
        <w:rPr>
          <w:lang w:val="en-IN" w:eastAsia="en-IN"/>
        </w:rPr>
      </w:pPr>
      <w:r>
        <w:rPr>
          <w:b/>
          <w:bCs/>
          <w:lang w:val="en-IN" w:eastAsia="en-IN"/>
        </w:rPr>
        <w:t>Table S8</w:t>
      </w:r>
      <w:r w:rsidRPr="00E11F3E">
        <w:rPr>
          <w:b/>
          <w:bCs/>
          <w:lang w:val="en-IN" w:eastAsia="en-IN"/>
        </w:rPr>
        <w:t>. Adaptation share of climate lawmaking</w:t>
      </w:r>
    </w:p>
    <w:tbl>
      <w:tblPr>
        <w:tblW w:w="9265"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423"/>
        <w:gridCol w:w="3842"/>
      </w:tblGrid>
      <w:tr w:rsidR="00E11F3E" w:rsidRPr="00E11F3E" w14:paraId="52334B44" w14:textId="77777777" w:rsidTr="00610E5A">
        <w:trPr>
          <w:trHeight w:val="287"/>
          <w:tblCellSpacing w:w="15" w:type="dxa"/>
        </w:trPr>
        <w:tc>
          <w:tcPr>
            <w:tcW w:w="0" w:type="auto"/>
            <w:tcBorders>
              <w:top w:val="single" w:sz="4" w:space="0" w:color="auto"/>
              <w:bottom w:val="single" w:sz="4" w:space="0" w:color="auto"/>
            </w:tcBorders>
            <w:vAlign w:val="center"/>
            <w:hideMark/>
          </w:tcPr>
          <w:p w14:paraId="40BA81BC" w14:textId="77777777" w:rsidR="00E11F3E" w:rsidRPr="00E11F3E" w:rsidRDefault="00E11F3E" w:rsidP="00E11F3E">
            <w:pPr>
              <w:spacing w:after="0"/>
              <w:jc w:val="center"/>
              <w:rPr>
                <w:b/>
                <w:bCs/>
                <w:lang w:val="en-IN" w:eastAsia="en-IN"/>
              </w:rPr>
            </w:pPr>
            <w:r w:rsidRPr="00E11F3E">
              <w:rPr>
                <w:b/>
                <w:bCs/>
                <w:lang w:val="en-IN" w:eastAsia="en-IN"/>
              </w:rPr>
              <w:t>Outcome</w:t>
            </w:r>
          </w:p>
        </w:tc>
        <w:tc>
          <w:tcPr>
            <w:tcW w:w="0" w:type="auto"/>
            <w:tcBorders>
              <w:top w:val="single" w:sz="4" w:space="0" w:color="auto"/>
              <w:bottom w:val="single" w:sz="4" w:space="0" w:color="auto"/>
            </w:tcBorders>
            <w:vAlign w:val="center"/>
            <w:hideMark/>
          </w:tcPr>
          <w:p w14:paraId="4E0FE0E3" w14:textId="77777777" w:rsidR="00E11F3E" w:rsidRPr="00E11F3E" w:rsidRDefault="00E11F3E" w:rsidP="00E11F3E">
            <w:pPr>
              <w:spacing w:after="0"/>
              <w:jc w:val="center"/>
              <w:rPr>
                <w:b/>
                <w:bCs/>
                <w:lang w:val="en-IN" w:eastAsia="en-IN"/>
              </w:rPr>
            </w:pPr>
            <w:r w:rsidRPr="00E11F3E">
              <w:rPr>
                <w:b/>
                <w:bCs/>
                <w:lang w:val="en-IN" w:eastAsia="en-IN"/>
              </w:rPr>
              <w:t>Coefficient</w:t>
            </w:r>
          </w:p>
        </w:tc>
      </w:tr>
      <w:tr w:rsidR="00E11F3E" w:rsidRPr="00E11F3E" w14:paraId="36B69634" w14:textId="77777777" w:rsidTr="00610E5A">
        <w:trPr>
          <w:trHeight w:val="303"/>
          <w:tblCellSpacing w:w="15" w:type="dxa"/>
        </w:trPr>
        <w:tc>
          <w:tcPr>
            <w:tcW w:w="0" w:type="auto"/>
            <w:vAlign w:val="center"/>
            <w:hideMark/>
          </w:tcPr>
          <w:p w14:paraId="14DB51A3" w14:textId="77777777" w:rsidR="00E11F3E" w:rsidRPr="00E11F3E" w:rsidRDefault="00E11F3E" w:rsidP="00E11F3E">
            <w:pPr>
              <w:spacing w:after="0"/>
              <w:rPr>
                <w:lang w:val="en-IN" w:eastAsia="en-IN"/>
              </w:rPr>
            </w:pPr>
            <w:r w:rsidRPr="00E11F3E">
              <w:rPr>
                <w:lang w:val="en-IN" w:eastAsia="en-IN"/>
              </w:rPr>
              <w:t>Adaptation share (OLS)</w:t>
            </w:r>
          </w:p>
        </w:tc>
        <w:tc>
          <w:tcPr>
            <w:tcW w:w="0" w:type="auto"/>
            <w:vAlign w:val="center"/>
            <w:hideMark/>
          </w:tcPr>
          <w:p w14:paraId="3CD79D34" w14:textId="77777777" w:rsidR="00E11F3E" w:rsidRPr="00E11F3E" w:rsidRDefault="00E11F3E" w:rsidP="00E11F3E">
            <w:pPr>
              <w:spacing w:after="0"/>
              <w:rPr>
                <w:lang w:val="en-IN" w:eastAsia="en-IN"/>
              </w:rPr>
            </w:pPr>
            <w:r w:rsidRPr="00E11F3E">
              <w:rPr>
                <w:lang w:val="en-IN" w:eastAsia="en-IN"/>
              </w:rPr>
              <w:t>-0.0098 (0.0411)</w:t>
            </w:r>
          </w:p>
        </w:tc>
      </w:tr>
    </w:tbl>
    <w:p w14:paraId="15AD1937" w14:textId="77777777" w:rsidR="00E11F3E" w:rsidRPr="00E11F3E" w:rsidRDefault="00610E5A" w:rsidP="00610E5A">
      <w:pPr>
        <w:spacing w:before="100" w:beforeAutospacing="1" w:after="100" w:afterAutospacing="1"/>
        <w:jc w:val="both"/>
        <w:rPr>
          <w:sz w:val="20"/>
          <w:lang w:val="en-IN" w:eastAsia="en-IN"/>
        </w:rPr>
      </w:pPr>
      <w:r>
        <w:rPr>
          <w:b/>
          <w:bCs/>
          <w:sz w:val="20"/>
          <w:lang w:val="en-IN" w:eastAsia="en-IN"/>
        </w:rPr>
        <w:t>Notes:</w:t>
      </w:r>
      <w:r w:rsidR="00E11F3E" w:rsidRPr="00E11F3E">
        <w:rPr>
          <w:sz w:val="20"/>
          <w:lang w:val="en-IN" w:eastAsia="en-IN"/>
        </w:rPr>
        <w:t xml:space="preserve"> Estimates are from OLS models with country and year fixed effects. The dependent variable is the annual share of adaptation laws in total climate lawmaking, defined as the annual adaptation count divided by the sum of adaptation and mitigation counts for country-years with at least one new climate law. Standard errors, clustered at the country level, are reported in parentheses. *, **, and *** denote statistical significance at the 10%, 5%, and 1% levels, respectively.</w:t>
      </w:r>
    </w:p>
    <w:p w14:paraId="2CAD2208" w14:textId="77777777" w:rsidR="00E11F3E" w:rsidRPr="00E11F3E" w:rsidRDefault="00E11F3E" w:rsidP="00610E5A">
      <w:pPr>
        <w:spacing w:before="100" w:beforeAutospacing="1" w:after="100" w:afterAutospacing="1" w:line="360" w:lineRule="auto"/>
        <w:jc w:val="both"/>
        <w:rPr>
          <w:lang w:val="en-IN" w:eastAsia="en-IN"/>
        </w:rPr>
      </w:pPr>
      <w:r w:rsidRPr="00E11F3E">
        <w:rPr>
          <w:b/>
          <w:bCs/>
          <w:lang w:val="en-IN" w:eastAsia="en-IN"/>
        </w:rPr>
        <w:t>Repor</w:t>
      </w:r>
      <w:r w:rsidR="00610E5A">
        <w:rPr>
          <w:b/>
          <w:bCs/>
          <w:lang w:val="en-IN" w:eastAsia="en-IN"/>
        </w:rPr>
        <w:t>ting-independent storm exposure:</w:t>
      </w:r>
      <w:r w:rsidRPr="00E11F3E">
        <w:rPr>
          <w:lang w:val="en-IN" w:eastAsia="en-IN"/>
        </w:rPr>
        <w:t xml:space="preserve"> EM-DAT records reported disasters, and reporting is known to be less complete in lower-income countries (Jones et al., 2022). For tropical cyclones, this concern can be addressed by constructing exposure from physical storm tracks. The International Best Track Archive for Climate Stewardship (Knapp et al., 2010; </w:t>
      </w:r>
      <w:proofErr w:type="spellStart"/>
      <w:r w:rsidRPr="00E11F3E">
        <w:rPr>
          <w:lang w:val="en-IN" w:eastAsia="en-IN"/>
        </w:rPr>
        <w:t>Gahtan</w:t>
      </w:r>
      <w:proofErr w:type="spellEnd"/>
      <w:r w:rsidRPr="00E11F3E">
        <w:rPr>
          <w:lang w:val="en-IN" w:eastAsia="en-IN"/>
        </w:rPr>
        <w:t xml:space="preserve"> et al., 2024) records the location of every tropical cyclone at six-hour intervals. Track points classified as tropical, subtropical, or undergoing extratropical transition and located within 100 </w:t>
      </w:r>
      <w:proofErr w:type="spellStart"/>
      <w:r w:rsidRPr="00E11F3E">
        <w:rPr>
          <w:lang w:val="en-IN" w:eastAsia="en-IN"/>
        </w:rPr>
        <w:t>kilometers</w:t>
      </w:r>
      <w:proofErr w:type="spellEnd"/>
      <w:r w:rsidRPr="00E11F3E">
        <w:rPr>
          <w:lang w:val="en-IN" w:eastAsia="en-IN"/>
        </w:rPr>
        <w:t xml:space="preserve"> of land are assigned to the nearest coastal country using a nearest-</w:t>
      </w:r>
      <w:proofErr w:type="spellStart"/>
      <w:r w:rsidRPr="00E11F3E">
        <w:rPr>
          <w:lang w:val="en-IN" w:eastAsia="en-IN"/>
        </w:rPr>
        <w:t>neighbor</w:t>
      </w:r>
      <w:proofErr w:type="spellEnd"/>
      <w:r w:rsidRPr="00E11F3E">
        <w:rPr>
          <w:lang w:val="en-IN" w:eastAsia="en-IN"/>
        </w:rPr>
        <w:t xml:space="preserve"> procedure. A country-year is then classified as storm-exposed if at least one tropical cyclone </w:t>
      </w:r>
      <w:r w:rsidRPr="00E11F3E">
        <w:rPr>
          <w:lang w:val="en-IN" w:eastAsia="en-IN"/>
        </w:rPr>
        <w:lastRenderedPageBreak/>
        <w:t>is assigned to it. Because this measure is based solely on meteorological observations, it is independent of disaster reporting.</w:t>
      </w:r>
    </w:p>
    <w:p w14:paraId="08FF5896" w14:textId="77777777" w:rsidR="00E11F3E" w:rsidRPr="00E11F3E" w:rsidRDefault="00E11F3E" w:rsidP="00E11F3E">
      <w:pPr>
        <w:spacing w:before="100" w:beforeAutospacing="1" w:after="100" w:afterAutospacing="1"/>
        <w:rPr>
          <w:lang w:val="en-IN" w:eastAsia="en-IN"/>
        </w:rPr>
      </w:pPr>
      <w:r>
        <w:rPr>
          <w:b/>
          <w:bCs/>
          <w:lang w:val="en-IN" w:eastAsia="en-IN"/>
        </w:rPr>
        <w:t>Table S9</w:t>
      </w:r>
      <w:r w:rsidRPr="00E11F3E">
        <w:rPr>
          <w:b/>
          <w:bCs/>
          <w:lang w:val="en-IN" w:eastAsia="en-IN"/>
        </w:rPr>
        <w:t>. Reporting-independent storm exposure</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758"/>
        <w:gridCol w:w="1334"/>
        <w:gridCol w:w="1514"/>
        <w:gridCol w:w="1421"/>
        <w:gridCol w:w="1089"/>
      </w:tblGrid>
      <w:tr w:rsidR="00E11F3E" w:rsidRPr="00E11F3E" w14:paraId="356ECDBF" w14:textId="77777777" w:rsidTr="00610E5A">
        <w:trPr>
          <w:tblCellSpacing w:w="15" w:type="dxa"/>
          <w:jc w:val="center"/>
        </w:trPr>
        <w:tc>
          <w:tcPr>
            <w:tcW w:w="0" w:type="auto"/>
            <w:tcBorders>
              <w:top w:val="single" w:sz="4" w:space="0" w:color="auto"/>
              <w:bottom w:val="single" w:sz="4" w:space="0" w:color="auto"/>
            </w:tcBorders>
            <w:vAlign w:val="center"/>
            <w:hideMark/>
          </w:tcPr>
          <w:p w14:paraId="46F63780" w14:textId="77777777" w:rsidR="00E11F3E" w:rsidRPr="00E11F3E" w:rsidRDefault="00E11F3E" w:rsidP="00E11F3E">
            <w:pPr>
              <w:spacing w:after="0"/>
              <w:jc w:val="center"/>
              <w:rPr>
                <w:b/>
                <w:bCs/>
                <w:lang w:val="en-IN" w:eastAsia="en-IN"/>
              </w:rPr>
            </w:pPr>
            <w:r w:rsidRPr="00E11F3E">
              <w:rPr>
                <w:b/>
                <w:bCs/>
                <w:lang w:val="en-IN" w:eastAsia="en-IN"/>
              </w:rPr>
              <w:t>Treatment measure</w:t>
            </w:r>
          </w:p>
        </w:tc>
        <w:tc>
          <w:tcPr>
            <w:tcW w:w="0" w:type="auto"/>
            <w:tcBorders>
              <w:top w:val="single" w:sz="4" w:space="0" w:color="auto"/>
              <w:bottom w:val="single" w:sz="4" w:space="0" w:color="auto"/>
            </w:tcBorders>
            <w:vAlign w:val="center"/>
            <w:hideMark/>
          </w:tcPr>
          <w:p w14:paraId="6EBC0E80" w14:textId="77777777" w:rsidR="00E11F3E" w:rsidRPr="00E11F3E" w:rsidRDefault="00E11F3E" w:rsidP="00E11F3E">
            <w:pPr>
              <w:spacing w:after="0"/>
              <w:jc w:val="center"/>
              <w:rPr>
                <w:b/>
                <w:bCs/>
                <w:lang w:val="en-IN" w:eastAsia="en-IN"/>
              </w:rPr>
            </w:pPr>
            <w:r w:rsidRPr="00E11F3E">
              <w:rPr>
                <w:b/>
                <w:bCs/>
                <w:lang w:val="en-IN" w:eastAsia="en-IN"/>
              </w:rPr>
              <w:t>Coefficient</w:t>
            </w:r>
          </w:p>
        </w:tc>
        <w:tc>
          <w:tcPr>
            <w:tcW w:w="0" w:type="auto"/>
            <w:tcBorders>
              <w:top w:val="single" w:sz="4" w:space="0" w:color="auto"/>
              <w:bottom w:val="single" w:sz="4" w:space="0" w:color="auto"/>
            </w:tcBorders>
            <w:vAlign w:val="center"/>
            <w:hideMark/>
          </w:tcPr>
          <w:p w14:paraId="3F853F02" w14:textId="77777777" w:rsidR="00E11F3E" w:rsidRPr="00E11F3E" w:rsidRDefault="00E11F3E" w:rsidP="00E11F3E">
            <w:pPr>
              <w:spacing w:after="0"/>
              <w:jc w:val="center"/>
              <w:rPr>
                <w:b/>
                <w:bCs/>
                <w:lang w:val="en-IN" w:eastAsia="en-IN"/>
              </w:rPr>
            </w:pPr>
            <w:r w:rsidRPr="00E11F3E">
              <w:rPr>
                <w:b/>
                <w:bCs/>
                <w:lang w:val="en-IN" w:eastAsia="en-IN"/>
              </w:rPr>
              <w:t>Percent change</w:t>
            </w:r>
          </w:p>
        </w:tc>
        <w:tc>
          <w:tcPr>
            <w:tcW w:w="0" w:type="auto"/>
            <w:tcBorders>
              <w:top w:val="single" w:sz="4" w:space="0" w:color="auto"/>
              <w:bottom w:val="single" w:sz="4" w:space="0" w:color="auto"/>
            </w:tcBorders>
            <w:vAlign w:val="center"/>
            <w:hideMark/>
          </w:tcPr>
          <w:p w14:paraId="75CF08F7" w14:textId="77777777" w:rsidR="00E11F3E" w:rsidRPr="00E11F3E" w:rsidRDefault="00E11F3E" w:rsidP="00E11F3E">
            <w:pPr>
              <w:spacing w:after="0"/>
              <w:jc w:val="center"/>
              <w:rPr>
                <w:b/>
                <w:bCs/>
                <w:lang w:val="en-IN" w:eastAsia="en-IN"/>
              </w:rPr>
            </w:pPr>
            <w:r w:rsidRPr="00E11F3E">
              <w:rPr>
                <w:b/>
                <w:bCs/>
                <w:lang w:val="en-IN" w:eastAsia="en-IN"/>
              </w:rPr>
              <w:t>Observations</w:t>
            </w:r>
          </w:p>
        </w:tc>
        <w:tc>
          <w:tcPr>
            <w:tcW w:w="0" w:type="auto"/>
            <w:tcBorders>
              <w:top w:val="single" w:sz="4" w:space="0" w:color="auto"/>
              <w:bottom w:val="single" w:sz="4" w:space="0" w:color="auto"/>
            </w:tcBorders>
            <w:vAlign w:val="center"/>
            <w:hideMark/>
          </w:tcPr>
          <w:p w14:paraId="2297D262" w14:textId="77777777" w:rsidR="00E11F3E" w:rsidRPr="00E11F3E" w:rsidRDefault="00E11F3E" w:rsidP="00E11F3E">
            <w:pPr>
              <w:spacing w:after="0"/>
              <w:jc w:val="center"/>
              <w:rPr>
                <w:b/>
                <w:bCs/>
                <w:lang w:val="en-IN" w:eastAsia="en-IN"/>
              </w:rPr>
            </w:pPr>
            <w:r w:rsidRPr="00E11F3E">
              <w:rPr>
                <w:b/>
                <w:bCs/>
                <w:lang w:val="en-IN" w:eastAsia="en-IN"/>
              </w:rPr>
              <w:t>Countries</w:t>
            </w:r>
          </w:p>
        </w:tc>
      </w:tr>
      <w:tr w:rsidR="00E11F3E" w:rsidRPr="00E11F3E" w14:paraId="4E49C2BF" w14:textId="77777777" w:rsidTr="00610E5A">
        <w:trPr>
          <w:tblCellSpacing w:w="15" w:type="dxa"/>
          <w:jc w:val="center"/>
        </w:trPr>
        <w:tc>
          <w:tcPr>
            <w:tcW w:w="0" w:type="auto"/>
            <w:vAlign w:val="center"/>
            <w:hideMark/>
          </w:tcPr>
          <w:p w14:paraId="76D7F18C" w14:textId="77777777" w:rsidR="00E11F3E" w:rsidRPr="00E11F3E" w:rsidRDefault="00E11F3E" w:rsidP="00E11F3E">
            <w:pPr>
              <w:spacing w:after="0"/>
              <w:rPr>
                <w:lang w:val="en-IN" w:eastAsia="en-IN"/>
              </w:rPr>
            </w:pPr>
            <w:proofErr w:type="spellStart"/>
            <w:r w:rsidRPr="00E11F3E">
              <w:rPr>
                <w:lang w:val="en-IN" w:eastAsia="en-IN"/>
              </w:rPr>
              <w:t>IBTrACS</w:t>
            </w:r>
            <w:proofErr w:type="spellEnd"/>
            <w:r w:rsidRPr="00E11F3E">
              <w:rPr>
                <w:lang w:val="en-IN" w:eastAsia="en-IN"/>
              </w:rPr>
              <w:t xml:space="preserve"> storm exposure (physical tracks)</w:t>
            </w:r>
          </w:p>
        </w:tc>
        <w:tc>
          <w:tcPr>
            <w:tcW w:w="0" w:type="auto"/>
            <w:vAlign w:val="center"/>
            <w:hideMark/>
          </w:tcPr>
          <w:p w14:paraId="555A8DE8" w14:textId="77777777" w:rsidR="00E11F3E" w:rsidRPr="00E11F3E" w:rsidRDefault="00E11F3E" w:rsidP="00E11F3E">
            <w:pPr>
              <w:spacing w:after="0"/>
              <w:rPr>
                <w:lang w:val="en-IN" w:eastAsia="en-IN"/>
              </w:rPr>
            </w:pPr>
            <w:r w:rsidRPr="00E11F3E">
              <w:rPr>
                <w:lang w:val="en-IN" w:eastAsia="en-IN"/>
              </w:rPr>
              <w:t>0.263 (0.353)</w:t>
            </w:r>
          </w:p>
        </w:tc>
        <w:tc>
          <w:tcPr>
            <w:tcW w:w="0" w:type="auto"/>
            <w:vAlign w:val="center"/>
            <w:hideMark/>
          </w:tcPr>
          <w:p w14:paraId="0E02D57A" w14:textId="77777777" w:rsidR="00E11F3E" w:rsidRPr="00E11F3E" w:rsidRDefault="00E11F3E" w:rsidP="00E11F3E">
            <w:pPr>
              <w:spacing w:after="0"/>
              <w:rPr>
                <w:lang w:val="en-IN" w:eastAsia="en-IN"/>
              </w:rPr>
            </w:pPr>
            <w:r w:rsidRPr="00E11F3E">
              <w:rPr>
                <w:lang w:val="en-IN" w:eastAsia="en-IN"/>
              </w:rPr>
              <w:t>+30.0%</w:t>
            </w:r>
          </w:p>
        </w:tc>
        <w:tc>
          <w:tcPr>
            <w:tcW w:w="0" w:type="auto"/>
            <w:vAlign w:val="center"/>
            <w:hideMark/>
          </w:tcPr>
          <w:p w14:paraId="1DC454C8" w14:textId="77777777" w:rsidR="00E11F3E" w:rsidRPr="00E11F3E" w:rsidRDefault="00E11F3E" w:rsidP="00E11F3E">
            <w:pPr>
              <w:spacing w:after="0"/>
              <w:rPr>
                <w:lang w:val="en-IN" w:eastAsia="en-IN"/>
              </w:rPr>
            </w:pPr>
            <w:r w:rsidRPr="00E11F3E">
              <w:rPr>
                <w:lang w:val="en-IN" w:eastAsia="en-IN"/>
              </w:rPr>
              <w:t>5,336</w:t>
            </w:r>
          </w:p>
        </w:tc>
        <w:tc>
          <w:tcPr>
            <w:tcW w:w="0" w:type="auto"/>
            <w:vAlign w:val="center"/>
            <w:hideMark/>
          </w:tcPr>
          <w:p w14:paraId="0FF53D9F" w14:textId="77777777" w:rsidR="00E11F3E" w:rsidRPr="00E11F3E" w:rsidRDefault="00E11F3E" w:rsidP="00E11F3E">
            <w:pPr>
              <w:spacing w:after="0"/>
              <w:rPr>
                <w:lang w:val="en-IN" w:eastAsia="en-IN"/>
              </w:rPr>
            </w:pPr>
            <w:r w:rsidRPr="00E11F3E">
              <w:rPr>
                <w:lang w:val="en-IN" w:eastAsia="en-IN"/>
              </w:rPr>
              <w:t>184</w:t>
            </w:r>
          </w:p>
        </w:tc>
      </w:tr>
      <w:tr w:rsidR="00E11F3E" w:rsidRPr="00E11F3E" w14:paraId="1CED346E" w14:textId="77777777" w:rsidTr="00610E5A">
        <w:trPr>
          <w:tblCellSpacing w:w="15" w:type="dxa"/>
          <w:jc w:val="center"/>
        </w:trPr>
        <w:tc>
          <w:tcPr>
            <w:tcW w:w="0" w:type="auto"/>
            <w:vAlign w:val="center"/>
            <w:hideMark/>
          </w:tcPr>
          <w:p w14:paraId="7EC0E5E3" w14:textId="77777777" w:rsidR="00E11F3E" w:rsidRPr="00E11F3E" w:rsidRDefault="00E11F3E" w:rsidP="00E11F3E">
            <w:pPr>
              <w:spacing w:after="0"/>
              <w:rPr>
                <w:lang w:val="en-IN" w:eastAsia="en-IN"/>
              </w:rPr>
            </w:pPr>
            <w:r w:rsidRPr="00E11F3E">
              <w:rPr>
                <w:lang w:val="en-IN" w:eastAsia="en-IN"/>
              </w:rPr>
              <w:t>EM-DAT storm indicator</w:t>
            </w:r>
          </w:p>
        </w:tc>
        <w:tc>
          <w:tcPr>
            <w:tcW w:w="0" w:type="auto"/>
            <w:vAlign w:val="center"/>
            <w:hideMark/>
          </w:tcPr>
          <w:p w14:paraId="494020C3" w14:textId="77777777" w:rsidR="00E11F3E" w:rsidRPr="00E11F3E" w:rsidRDefault="00E11F3E" w:rsidP="00E11F3E">
            <w:pPr>
              <w:spacing w:after="0"/>
              <w:rPr>
                <w:lang w:val="en-IN" w:eastAsia="en-IN"/>
              </w:rPr>
            </w:pPr>
            <w:r w:rsidRPr="00E11F3E">
              <w:rPr>
                <w:lang w:val="en-IN" w:eastAsia="en-IN"/>
              </w:rPr>
              <w:t>0.236 (0.224)</w:t>
            </w:r>
          </w:p>
        </w:tc>
        <w:tc>
          <w:tcPr>
            <w:tcW w:w="0" w:type="auto"/>
            <w:vAlign w:val="center"/>
            <w:hideMark/>
          </w:tcPr>
          <w:p w14:paraId="3C35B6E0" w14:textId="77777777" w:rsidR="00E11F3E" w:rsidRPr="00E11F3E" w:rsidRDefault="00E11F3E" w:rsidP="00E11F3E">
            <w:pPr>
              <w:spacing w:after="0"/>
              <w:rPr>
                <w:lang w:val="en-IN" w:eastAsia="en-IN"/>
              </w:rPr>
            </w:pPr>
            <w:r w:rsidRPr="00E11F3E">
              <w:rPr>
                <w:lang w:val="en-IN" w:eastAsia="en-IN"/>
              </w:rPr>
              <w:t>+26.6%</w:t>
            </w:r>
          </w:p>
        </w:tc>
        <w:tc>
          <w:tcPr>
            <w:tcW w:w="0" w:type="auto"/>
            <w:vAlign w:val="center"/>
            <w:hideMark/>
          </w:tcPr>
          <w:p w14:paraId="73B587A3" w14:textId="77777777" w:rsidR="00E11F3E" w:rsidRPr="00E11F3E" w:rsidRDefault="00E11F3E" w:rsidP="00E11F3E">
            <w:pPr>
              <w:spacing w:after="0"/>
              <w:rPr>
                <w:lang w:val="en-IN" w:eastAsia="en-IN"/>
              </w:rPr>
            </w:pPr>
            <w:r w:rsidRPr="00E11F3E">
              <w:rPr>
                <w:lang w:val="en-IN" w:eastAsia="en-IN"/>
              </w:rPr>
              <w:t>5,336</w:t>
            </w:r>
          </w:p>
        </w:tc>
        <w:tc>
          <w:tcPr>
            <w:tcW w:w="0" w:type="auto"/>
            <w:vAlign w:val="center"/>
            <w:hideMark/>
          </w:tcPr>
          <w:p w14:paraId="1621775F" w14:textId="77777777" w:rsidR="00E11F3E" w:rsidRPr="00E11F3E" w:rsidRDefault="00E11F3E" w:rsidP="00E11F3E">
            <w:pPr>
              <w:spacing w:after="0"/>
              <w:rPr>
                <w:lang w:val="en-IN" w:eastAsia="en-IN"/>
              </w:rPr>
            </w:pPr>
            <w:r w:rsidRPr="00E11F3E">
              <w:rPr>
                <w:lang w:val="en-IN" w:eastAsia="en-IN"/>
              </w:rPr>
              <w:t>184</w:t>
            </w:r>
          </w:p>
        </w:tc>
      </w:tr>
    </w:tbl>
    <w:p w14:paraId="53012D49" w14:textId="77777777" w:rsidR="00E11F3E" w:rsidRPr="00E11F3E" w:rsidRDefault="00E11F3E" w:rsidP="00610E5A">
      <w:pPr>
        <w:spacing w:before="100" w:beforeAutospacing="1" w:after="100" w:afterAutospacing="1" w:line="360" w:lineRule="auto"/>
        <w:jc w:val="both"/>
        <w:rPr>
          <w:sz w:val="20"/>
          <w:lang w:val="en-IN" w:eastAsia="en-IN"/>
        </w:rPr>
      </w:pPr>
      <w:r w:rsidRPr="00610E5A">
        <w:rPr>
          <w:b/>
          <w:bCs/>
          <w:sz w:val="20"/>
          <w:lang w:val="en-IN" w:eastAsia="en-IN"/>
        </w:rPr>
        <w:t>Notes.</w:t>
      </w:r>
      <w:r w:rsidRPr="00E11F3E">
        <w:rPr>
          <w:sz w:val="20"/>
          <w:lang w:val="en-IN" w:eastAsia="en-IN"/>
        </w:rPr>
        <w:t xml:space="preserve"> Estimates are from PPML models with country and year fixed effects. The dependent variable is the cumulative adaptation response over years </w:t>
      </w:r>
      <w:r w:rsidRPr="00610E5A">
        <w:rPr>
          <w:i/>
          <w:iCs/>
          <w:sz w:val="20"/>
          <w:lang w:val="en-IN" w:eastAsia="en-IN"/>
        </w:rPr>
        <w:t>t</w:t>
      </w:r>
      <w:r w:rsidRPr="00E11F3E">
        <w:rPr>
          <w:sz w:val="20"/>
          <w:lang w:val="en-IN" w:eastAsia="en-IN"/>
        </w:rPr>
        <w:t xml:space="preserve"> to </w:t>
      </w:r>
      <w:r w:rsidRPr="00610E5A">
        <w:rPr>
          <w:i/>
          <w:iCs/>
          <w:sz w:val="20"/>
          <w:lang w:val="en-IN" w:eastAsia="en-IN"/>
        </w:rPr>
        <w:t>t</w:t>
      </w:r>
      <w:r w:rsidRPr="00E11F3E">
        <w:rPr>
          <w:sz w:val="20"/>
          <w:lang w:val="en-IN" w:eastAsia="en-IN"/>
        </w:rPr>
        <w:t xml:space="preserve"> + 3. Standard errors, clustered at the country level, are reported in parentheses. The </w:t>
      </w:r>
      <w:proofErr w:type="spellStart"/>
      <w:r w:rsidRPr="00E11F3E">
        <w:rPr>
          <w:sz w:val="20"/>
          <w:lang w:val="en-IN" w:eastAsia="en-IN"/>
        </w:rPr>
        <w:t>IBTrACS</w:t>
      </w:r>
      <w:proofErr w:type="spellEnd"/>
      <w:r w:rsidRPr="00E11F3E">
        <w:rPr>
          <w:sz w:val="20"/>
          <w:lang w:val="en-IN" w:eastAsia="en-IN"/>
        </w:rPr>
        <w:t xml:space="preserve"> measure is constructed from physical tropical cyclone tracks, while the EM-DAT measure is based on reported storm disasters. *, **, and *** denote statistical significance at the 10%, 5%, and 1% levels, respectively.</w:t>
      </w:r>
    </w:p>
    <w:p w14:paraId="6F3334BD" w14:textId="77777777" w:rsidR="00E11F3E" w:rsidRPr="00E11F3E" w:rsidRDefault="00E11F3E" w:rsidP="00610E5A">
      <w:pPr>
        <w:spacing w:before="100" w:beforeAutospacing="1" w:after="100" w:afterAutospacing="1" w:line="360" w:lineRule="auto"/>
        <w:jc w:val="both"/>
        <w:rPr>
          <w:lang w:val="en-IN" w:eastAsia="en-IN"/>
        </w:rPr>
      </w:pPr>
      <w:r w:rsidRPr="00E11F3E">
        <w:rPr>
          <w:lang w:val="en-IN" w:eastAsia="en-IN"/>
        </w:rPr>
        <w:t>The reporting-independent measure identifies storm exposure patterns that closely match known tropical cyclone climatology and shows substantial agreement with the EM-DAT storm indicator. As shown in Table S8, the estimated adaptation response is very similar under both measures. Although neither estimate is statistically precise, their similarity suggests that the storm results are not driven by reporting bias in the disaster data.</w:t>
      </w:r>
    </w:p>
    <w:p w14:paraId="1A7B3418" w14:textId="77777777" w:rsidR="00C31E9F" w:rsidRDefault="00C31E9F">
      <w:pPr>
        <w:rPr>
          <w:b/>
          <w:bCs/>
          <w:color w:val="000000"/>
          <w:sz w:val="28"/>
          <w:szCs w:val="28"/>
        </w:rPr>
      </w:pPr>
      <w:bookmarkStart w:id="7" w:name="s6.-data-sources"/>
      <w:bookmarkEnd w:id="6"/>
      <w:r>
        <w:br w:type="page"/>
      </w:r>
    </w:p>
    <w:p w14:paraId="038A32E5" w14:textId="77777777" w:rsidR="00374AF0" w:rsidRPr="00C31E9F" w:rsidRDefault="002A7B2C" w:rsidP="00C31E9F">
      <w:pPr>
        <w:rPr>
          <w:b/>
          <w:sz w:val="28"/>
        </w:rPr>
      </w:pPr>
      <w:r w:rsidRPr="00C31E9F">
        <w:rPr>
          <w:b/>
          <w:sz w:val="28"/>
        </w:rPr>
        <w:lastRenderedPageBreak/>
        <w:t>S6. Data sources</w:t>
      </w:r>
    </w:p>
    <w:p w14:paraId="67CF3B2E" w14:textId="77777777" w:rsidR="00374AF0" w:rsidRPr="00C31E9F" w:rsidRDefault="00E11F3E" w:rsidP="00C31E9F">
      <w:pPr>
        <w:rPr>
          <w:b/>
        </w:rPr>
      </w:pPr>
      <w:r w:rsidRPr="00C31E9F">
        <w:rPr>
          <w:b/>
          <w:bCs/>
        </w:rPr>
        <w:t>Table S10</w:t>
      </w:r>
      <w:r w:rsidR="002A7B2C" w:rsidRPr="00C31E9F">
        <w:rPr>
          <w:b/>
          <w:bCs/>
        </w:rPr>
        <w:t>. Data sources</w:t>
      </w:r>
    </w:p>
    <w:tbl>
      <w:tblPr>
        <w:tblStyle w:val="Table"/>
        <w:tblW w:w="5000" w:type="pct"/>
        <w:tblLook w:val="0020" w:firstRow="1" w:lastRow="0" w:firstColumn="0" w:lastColumn="0" w:noHBand="0" w:noVBand="0"/>
      </w:tblPr>
      <w:tblGrid>
        <w:gridCol w:w="2428"/>
        <w:gridCol w:w="2563"/>
        <w:gridCol w:w="1714"/>
        <w:gridCol w:w="2537"/>
      </w:tblGrid>
      <w:tr w:rsidR="00374AF0" w14:paraId="7C5F62AF" w14:textId="77777777" w:rsidTr="00610E5A">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tcBorders>
          </w:tcPr>
          <w:p w14:paraId="141E3233" w14:textId="77777777" w:rsidR="00374AF0" w:rsidRDefault="002A7B2C">
            <w:pPr>
              <w:pStyle w:val="Compact"/>
              <w:jc w:val="left"/>
            </w:pPr>
            <w:r>
              <w:t>Source</w:t>
            </w:r>
          </w:p>
        </w:tc>
        <w:tc>
          <w:tcPr>
            <w:tcW w:w="0" w:type="auto"/>
            <w:tcBorders>
              <w:top w:val="single" w:sz="4" w:space="0" w:color="auto"/>
            </w:tcBorders>
          </w:tcPr>
          <w:p w14:paraId="657883E0" w14:textId="77777777" w:rsidR="00374AF0" w:rsidRDefault="002A7B2C">
            <w:pPr>
              <w:pStyle w:val="Compact"/>
              <w:jc w:val="left"/>
            </w:pPr>
            <w:r>
              <w:t>Variables used</w:t>
            </w:r>
          </w:p>
        </w:tc>
        <w:tc>
          <w:tcPr>
            <w:tcW w:w="0" w:type="auto"/>
            <w:tcBorders>
              <w:top w:val="single" w:sz="4" w:space="0" w:color="auto"/>
            </w:tcBorders>
          </w:tcPr>
          <w:p w14:paraId="5B680ECD" w14:textId="77777777" w:rsidR="00374AF0" w:rsidRDefault="002A7B2C">
            <w:pPr>
              <w:pStyle w:val="Compact"/>
              <w:jc w:val="left"/>
            </w:pPr>
            <w:r>
              <w:t>Coverage</w:t>
            </w:r>
          </w:p>
        </w:tc>
        <w:tc>
          <w:tcPr>
            <w:tcW w:w="0" w:type="auto"/>
            <w:tcBorders>
              <w:top w:val="single" w:sz="4" w:space="0" w:color="auto"/>
            </w:tcBorders>
          </w:tcPr>
          <w:p w14:paraId="420CB3ED" w14:textId="77777777" w:rsidR="00374AF0" w:rsidRDefault="002A7B2C">
            <w:pPr>
              <w:pStyle w:val="Compact"/>
              <w:jc w:val="left"/>
            </w:pPr>
            <w:r>
              <w:t>Citation</w:t>
            </w:r>
          </w:p>
        </w:tc>
      </w:tr>
      <w:tr w:rsidR="00374AF0" w14:paraId="0D3A19C4" w14:textId="77777777">
        <w:tc>
          <w:tcPr>
            <w:tcW w:w="0" w:type="auto"/>
          </w:tcPr>
          <w:p w14:paraId="7259E0BD" w14:textId="77777777" w:rsidR="00374AF0" w:rsidRDefault="002A7B2C">
            <w:pPr>
              <w:pStyle w:val="Compact"/>
              <w:jc w:val="left"/>
            </w:pPr>
            <w:r>
              <w:t>Climate Change Laws of the World</w:t>
            </w:r>
          </w:p>
        </w:tc>
        <w:tc>
          <w:tcPr>
            <w:tcW w:w="0" w:type="auto"/>
          </w:tcPr>
          <w:p w14:paraId="7D0F9497" w14:textId="77777777" w:rsidR="00374AF0" w:rsidRDefault="002A7B2C">
            <w:pPr>
              <w:pStyle w:val="Compact"/>
              <w:jc w:val="left"/>
            </w:pPr>
            <w:r>
              <w:t>adaptation and mitigation law counts</w:t>
            </w:r>
          </w:p>
        </w:tc>
        <w:tc>
          <w:tcPr>
            <w:tcW w:w="0" w:type="auto"/>
          </w:tcPr>
          <w:p w14:paraId="59C44E47" w14:textId="77777777" w:rsidR="00374AF0" w:rsidRDefault="002A7B2C">
            <w:pPr>
              <w:pStyle w:val="Compact"/>
              <w:jc w:val="left"/>
            </w:pPr>
            <w:r>
              <w:t>national, up to 199 countries</w:t>
            </w:r>
          </w:p>
        </w:tc>
        <w:tc>
          <w:tcPr>
            <w:tcW w:w="0" w:type="auto"/>
          </w:tcPr>
          <w:p w14:paraId="5AFBE982" w14:textId="77777777" w:rsidR="00374AF0" w:rsidRDefault="002A7B2C">
            <w:pPr>
              <w:pStyle w:val="Compact"/>
              <w:jc w:val="left"/>
            </w:pPr>
            <w:r>
              <w:t>Grantham Research Institute and Sabin Center (2024)</w:t>
            </w:r>
          </w:p>
        </w:tc>
      </w:tr>
      <w:tr w:rsidR="00374AF0" w14:paraId="1933802C" w14:textId="77777777">
        <w:tc>
          <w:tcPr>
            <w:tcW w:w="0" w:type="auto"/>
          </w:tcPr>
          <w:p w14:paraId="08FB1925" w14:textId="77777777" w:rsidR="00374AF0" w:rsidRDefault="002A7B2C">
            <w:pPr>
              <w:pStyle w:val="Compact"/>
              <w:jc w:val="left"/>
            </w:pPr>
            <w:r>
              <w:t>EM-DAT</w:t>
            </w:r>
          </w:p>
        </w:tc>
        <w:tc>
          <w:tcPr>
            <w:tcW w:w="0" w:type="auto"/>
          </w:tcPr>
          <w:p w14:paraId="240068F9" w14:textId="77777777" w:rsidR="00374AF0" w:rsidRDefault="002A7B2C">
            <w:pPr>
              <w:pStyle w:val="Compact"/>
              <w:jc w:val="left"/>
            </w:pPr>
            <w:r>
              <w:t>disaster occurrence, count, type, people affected</w:t>
            </w:r>
          </w:p>
        </w:tc>
        <w:tc>
          <w:tcPr>
            <w:tcW w:w="0" w:type="auto"/>
          </w:tcPr>
          <w:p w14:paraId="3EC7EBB4" w14:textId="77777777" w:rsidR="00374AF0" w:rsidRDefault="002A7B2C">
            <w:pPr>
              <w:pStyle w:val="Compact"/>
              <w:jc w:val="left"/>
            </w:pPr>
            <w:r>
              <w:t>1900 to 2024</w:t>
            </w:r>
          </w:p>
        </w:tc>
        <w:tc>
          <w:tcPr>
            <w:tcW w:w="0" w:type="auto"/>
          </w:tcPr>
          <w:p w14:paraId="16AA2AAA" w14:textId="77777777" w:rsidR="00374AF0" w:rsidRDefault="002A7B2C">
            <w:pPr>
              <w:pStyle w:val="Compact"/>
              <w:jc w:val="left"/>
            </w:pPr>
            <w:r>
              <w:t>EM-DAT (2024)</w:t>
            </w:r>
          </w:p>
        </w:tc>
      </w:tr>
      <w:tr w:rsidR="00374AF0" w14:paraId="38B9107C" w14:textId="77777777">
        <w:tc>
          <w:tcPr>
            <w:tcW w:w="0" w:type="auto"/>
          </w:tcPr>
          <w:p w14:paraId="67C8C53D" w14:textId="77777777" w:rsidR="00374AF0" w:rsidRDefault="002A7B2C">
            <w:pPr>
              <w:pStyle w:val="Compact"/>
              <w:jc w:val="left"/>
            </w:pPr>
            <w:proofErr w:type="spellStart"/>
            <w:r>
              <w:t>IBTrACS</w:t>
            </w:r>
            <w:proofErr w:type="spellEnd"/>
            <w:r>
              <w:t xml:space="preserve"> v04r01</w:t>
            </w:r>
          </w:p>
        </w:tc>
        <w:tc>
          <w:tcPr>
            <w:tcW w:w="0" w:type="auto"/>
          </w:tcPr>
          <w:p w14:paraId="1C43AA47" w14:textId="77777777" w:rsidR="00374AF0" w:rsidRDefault="002A7B2C">
            <w:pPr>
              <w:pStyle w:val="Compact"/>
              <w:jc w:val="left"/>
            </w:pPr>
            <w:r>
              <w:t>tropical-cyclone tracks (position, nature)</w:t>
            </w:r>
          </w:p>
        </w:tc>
        <w:tc>
          <w:tcPr>
            <w:tcW w:w="0" w:type="auto"/>
          </w:tcPr>
          <w:p w14:paraId="6AE81598" w14:textId="77777777" w:rsidR="00374AF0" w:rsidRDefault="002A7B2C">
            <w:pPr>
              <w:pStyle w:val="Compact"/>
              <w:jc w:val="left"/>
            </w:pPr>
            <w:r>
              <w:t>1842 to 2024</w:t>
            </w:r>
          </w:p>
        </w:tc>
        <w:tc>
          <w:tcPr>
            <w:tcW w:w="0" w:type="auto"/>
          </w:tcPr>
          <w:p w14:paraId="64916413" w14:textId="77777777" w:rsidR="00374AF0" w:rsidRDefault="002A7B2C">
            <w:pPr>
              <w:pStyle w:val="Compact"/>
              <w:jc w:val="left"/>
            </w:pPr>
            <w:r>
              <w:t xml:space="preserve">Knapp et al. (2010); </w:t>
            </w:r>
            <w:proofErr w:type="spellStart"/>
            <w:r>
              <w:t>Gahtan</w:t>
            </w:r>
            <w:proofErr w:type="spellEnd"/>
            <w:r>
              <w:t xml:space="preserve"> et al. (2024)</w:t>
            </w:r>
          </w:p>
        </w:tc>
      </w:tr>
      <w:tr w:rsidR="00374AF0" w14:paraId="58ACB4BD" w14:textId="77777777">
        <w:tc>
          <w:tcPr>
            <w:tcW w:w="0" w:type="auto"/>
          </w:tcPr>
          <w:p w14:paraId="2EBA27E2" w14:textId="77777777" w:rsidR="00374AF0" w:rsidRDefault="002A7B2C">
            <w:pPr>
              <w:pStyle w:val="Compact"/>
              <w:jc w:val="left"/>
            </w:pPr>
            <w:r>
              <w:t>ND-GAIN Country Index</w:t>
            </w:r>
          </w:p>
        </w:tc>
        <w:tc>
          <w:tcPr>
            <w:tcW w:w="0" w:type="auto"/>
          </w:tcPr>
          <w:p w14:paraId="3698E3D7" w14:textId="77777777" w:rsidR="00374AF0" w:rsidRDefault="002A7B2C">
            <w:pPr>
              <w:pStyle w:val="Compact"/>
              <w:jc w:val="left"/>
            </w:pPr>
            <w:r>
              <w:t>vulnerability, readiness</w:t>
            </w:r>
          </w:p>
        </w:tc>
        <w:tc>
          <w:tcPr>
            <w:tcW w:w="0" w:type="auto"/>
          </w:tcPr>
          <w:p w14:paraId="226987AC" w14:textId="77777777" w:rsidR="00374AF0" w:rsidRDefault="002A7B2C">
            <w:pPr>
              <w:pStyle w:val="Compact"/>
              <w:jc w:val="left"/>
            </w:pPr>
            <w:r>
              <w:t>1995 to 2023</w:t>
            </w:r>
          </w:p>
        </w:tc>
        <w:tc>
          <w:tcPr>
            <w:tcW w:w="0" w:type="auto"/>
          </w:tcPr>
          <w:p w14:paraId="45869FC9" w14:textId="77777777" w:rsidR="00374AF0" w:rsidRDefault="002A7B2C">
            <w:pPr>
              <w:pStyle w:val="Compact"/>
              <w:jc w:val="left"/>
            </w:pPr>
            <w:r>
              <w:t>Chen et al. (2015)</w:t>
            </w:r>
          </w:p>
        </w:tc>
      </w:tr>
      <w:tr w:rsidR="00374AF0" w14:paraId="595D6F7F" w14:textId="77777777">
        <w:tc>
          <w:tcPr>
            <w:tcW w:w="0" w:type="auto"/>
          </w:tcPr>
          <w:p w14:paraId="749EA4E0" w14:textId="77777777" w:rsidR="00374AF0" w:rsidRDefault="002A7B2C">
            <w:pPr>
              <w:pStyle w:val="Compact"/>
              <w:jc w:val="left"/>
            </w:pPr>
            <w:r>
              <w:t>World Development Indicators</w:t>
            </w:r>
          </w:p>
        </w:tc>
        <w:tc>
          <w:tcPr>
            <w:tcW w:w="0" w:type="auto"/>
          </w:tcPr>
          <w:p w14:paraId="05282D00" w14:textId="77777777" w:rsidR="00374AF0" w:rsidRDefault="002A7B2C">
            <w:pPr>
              <w:pStyle w:val="Compact"/>
              <w:jc w:val="left"/>
            </w:pPr>
            <w:r>
              <w:t>GDP per capita, population, urban share</w:t>
            </w:r>
          </w:p>
        </w:tc>
        <w:tc>
          <w:tcPr>
            <w:tcW w:w="0" w:type="auto"/>
          </w:tcPr>
          <w:p w14:paraId="715303C8" w14:textId="77777777" w:rsidR="00374AF0" w:rsidRDefault="002A7B2C">
            <w:pPr>
              <w:pStyle w:val="Compact"/>
              <w:jc w:val="left"/>
            </w:pPr>
            <w:r>
              <w:t>1960 to 2024</w:t>
            </w:r>
          </w:p>
        </w:tc>
        <w:tc>
          <w:tcPr>
            <w:tcW w:w="0" w:type="auto"/>
          </w:tcPr>
          <w:p w14:paraId="18C504FF" w14:textId="77777777" w:rsidR="00374AF0" w:rsidRDefault="002A7B2C">
            <w:pPr>
              <w:pStyle w:val="Compact"/>
              <w:jc w:val="left"/>
            </w:pPr>
            <w:r>
              <w:t>World Bank (2024)</w:t>
            </w:r>
          </w:p>
        </w:tc>
      </w:tr>
      <w:tr w:rsidR="00374AF0" w14:paraId="09926E0A" w14:textId="77777777">
        <w:tc>
          <w:tcPr>
            <w:tcW w:w="0" w:type="auto"/>
          </w:tcPr>
          <w:p w14:paraId="708B3233" w14:textId="77777777" w:rsidR="00374AF0" w:rsidRDefault="002A7B2C">
            <w:pPr>
              <w:pStyle w:val="Compact"/>
              <w:jc w:val="left"/>
            </w:pPr>
            <w:r>
              <w:t>Our World in Data (Global Carbon Project)</w:t>
            </w:r>
          </w:p>
        </w:tc>
        <w:tc>
          <w:tcPr>
            <w:tcW w:w="0" w:type="auto"/>
          </w:tcPr>
          <w:p w14:paraId="2711D147" w14:textId="77777777" w:rsidR="00374AF0" w:rsidRDefault="002A7B2C">
            <w:pPr>
              <w:pStyle w:val="Compact"/>
              <w:jc w:val="left"/>
            </w:pPr>
            <w:r>
              <w:t>CO2 per capita</w:t>
            </w:r>
          </w:p>
        </w:tc>
        <w:tc>
          <w:tcPr>
            <w:tcW w:w="0" w:type="auto"/>
          </w:tcPr>
          <w:p w14:paraId="71966948" w14:textId="77777777" w:rsidR="00374AF0" w:rsidRDefault="002A7B2C">
            <w:pPr>
              <w:pStyle w:val="Compact"/>
              <w:jc w:val="left"/>
            </w:pPr>
            <w:r>
              <w:t>1750 to 2023</w:t>
            </w:r>
          </w:p>
        </w:tc>
        <w:tc>
          <w:tcPr>
            <w:tcW w:w="0" w:type="auto"/>
          </w:tcPr>
          <w:p w14:paraId="3251DCDA" w14:textId="77777777" w:rsidR="00374AF0" w:rsidRDefault="002A7B2C">
            <w:pPr>
              <w:pStyle w:val="Compact"/>
              <w:jc w:val="left"/>
            </w:pPr>
            <w:r>
              <w:t>Our World in Data (2024)</w:t>
            </w:r>
          </w:p>
        </w:tc>
      </w:tr>
      <w:tr w:rsidR="00374AF0" w14:paraId="1214C215" w14:textId="77777777">
        <w:tc>
          <w:tcPr>
            <w:tcW w:w="0" w:type="auto"/>
          </w:tcPr>
          <w:p w14:paraId="51943D1D" w14:textId="77777777" w:rsidR="00374AF0" w:rsidRDefault="002A7B2C">
            <w:pPr>
              <w:pStyle w:val="Compact"/>
              <w:jc w:val="left"/>
            </w:pPr>
            <w:r>
              <w:t>V-Dem v16</w:t>
            </w:r>
          </w:p>
        </w:tc>
        <w:tc>
          <w:tcPr>
            <w:tcW w:w="0" w:type="auto"/>
          </w:tcPr>
          <w:p w14:paraId="3EF96650" w14:textId="77777777" w:rsidR="00374AF0" w:rsidRDefault="002A7B2C">
            <w:pPr>
              <w:pStyle w:val="Compact"/>
              <w:jc w:val="left"/>
            </w:pPr>
            <w:r>
              <w:t>electoral democracy, regime type</w:t>
            </w:r>
          </w:p>
        </w:tc>
        <w:tc>
          <w:tcPr>
            <w:tcW w:w="0" w:type="auto"/>
          </w:tcPr>
          <w:p w14:paraId="00D6F0AB" w14:textId="77777777" w:rsidR="00374AF0" w:rsidRDefault="002A7B2C">
            <w:pPr>
              <w:pStyle w:val="Compact"/>
              <w:jc w:val="left"/>
            </w:pPr>
            <w:r>
              <w:t>1789 to 2025</w:t>
            </w:r>
          </w:p>
        </w:tc>
        <w:tc>
          <w:tcPr>
            <w:tcW w:w="0" w:type="auto"/>
          </w:tcPr>
          <w:p w14:paraId="50DB8F49" w14:textId="77777777" w:rsidR="00374AF0" w:rsidRDefault="002A7B2C">
            <w:pPr>
              <w:pStyle w:val="Compact"/>
              <w:jc w:val="left"/>
            </w:pPr>
            <w:r>
              <w:t>Coppedge et al. (2026)</w:t>
            </w:r>
          </w:p>
        </w:tc>
      </w:tr>
      <w:tr w:rsidR="00374AF0" w14:paraId="2D7201D1" w14:textId="77777777" w:rsidTr="00C31E9F">
        <w:tc>
          <w:tcPr>
            <w:tcW w:w="0" w:type="auto"/>
            <w:tcBorders>
              <w:bottom w:val="single" w:sz="4" w:space="0" w:color="auto"/>
            </w:tcBorders>
          </w:tcPr>
          <w:p w14:paraId="41666769" w14:textId="77777777" w:rsidR="00374AF0" w:rsidRDefault="002A7B2C">
            <w:pPr>
              <w:pStyle w:val="Compact"/>
              <w:jc w:val="left"/>
            </w:pPr>
            <w:r>
              <w:t xml:space="preserve">KOF </w:t>
            </w:r>
            <w:proofErr w:type="spellStart"/>
            <w:r>
              <w:t>Globalisation</w:t>
            </w:r>
            <w:proofErr w:type="spellEnd"/>
            <w:r>
              <w:t xml:space="preserve"> Index</w:t>
            </w:r>
          </w:p>
        </w:tc>
        <w:tc>
          <w:tcPr>
            <w:tcW w:w="0" w:type="auto"/>
            <w:tcBorders>
              <w:bottom w:val="single" w:sz="4" w:space="0" w:color="auto"/>
            </w:tcBorders>
          </w:tcPr>
          <w:p w14:paraId="109A0170" w14:textId="77777777" w:rsidR="00374AF0" w:rsidRDefault="002A7B2C">
            <w:pPr>
              <w:pStyle w:val="Compact"/>
              <w:jc w:val="left"/>
            </w:pPr>
            <w:r>
              <w:t>political globalization</w:t>
            </w:r>
          </w:p>
        </w:tc>
        <w:tc>
          <w:tcPr>
            <w:tcW w:w="0" w:type="auto"/>
            <w:tcBorders>
              <w:bottom w:val="single" w:sz="4" w:space="0" w:color="auto"/>
            </w:tcBorders>
          </w:tcPr>
          <w:p w14:paraId="7F35D470" w14:textId="77777777" w:rsidR="00374AF0" w:rsidRDefault="002A7B2C">
            <w:pPr>
              <w:pStyle w:val="Compact"/>
              <w:jc w:val="left"/>
            </w:pPr>
            <w:r>
              <w:t>1970 to 2023</w:t>
            </w:r>
          </w:p>
        </w:tc>
        <w:tc>
          <w:tcPr>
            <w:tcW w:w="0" w:type="auto"/>
            <w:tcBorders>
              <w:bottom w:val="single" w:sz="4" w:space="0" w:color="auto"/>
            </w:tcBorders>
          </w:tcPr>
          <w:p w14:paraId="4F23DA14" w14:textId="77777777" w:rsidR="00374AF0" w:rsidRDefault="002A7B2C">
            <w:pPr>
              <w:pStyle w:val="Compact"/>
              <w:jc w:val="left"/>
            </w:pPr>
            <w:proofErr w:type="spellStart"/>
            <w:r>
              <w:t>Gygli</w:t>
            </w:r>
            <w:proofErr w:type="spellEnd"/>
            <w:r>
              <w:t xml:space="preserve"> et al. (2019)</w:t>
            </w:r>
          </w:p>
        </w:tc>
      </w:tr>
    </w:tbl>
    <w:p w14:paraId="09BC6C85" w14:textId="77777777" w:rsidR="00C31E9F" w:rsidRDefault="00C31E9F">
      <w:pPr>
        <w:pStyle w:val="Heading2"/>
      </w:pPr>
      <w:bookmarkStart w:id="8" w:name="references"/>
      <w:bookmarkEnd w:id="7"/>
    </w:p>
    <w:p w14:paraId="1C9BE9A2" w14:textId="77777777" w:rsidR="00C31E9F" w:rsidRDefault="00C31E9F">
      <w:pPr>
        <w:rPr>
          <w:b/>
          <w:bCs/>
          <w:color w:val="000000"/>
          <w:sz w:val="28"/>
          <w:szCs w:val="28"/>
        </w:rPr>
      </w:pPr>
      <w:r>
        <w:br w:type="page"/>
      </w:r>
    </w:p>
    <w:p w14:paraId="245EB1FD" w14:textId="77777777" w:rsidR="00374AF0" w:rsidRPr="00C31E9F" w:rsidRDefault="002A7B2C" w:rsidP="00C31E9F">
      <w:pPr>
        <w:rPr>
          <w:b/>
        </w:rPr>
      </w:pPr>
      <w:r w:rsidRPr="00C31E9F">
        <w:rPr>
          <w:b/>
        </w:rPr>
        <w:lastRenderedPageBreak/>
        <w:t>References</w:t>
      </w:r>
    </w:p>
    <w:p w14:paraId="5FDEEAFC" w14:textId="77777777" w:rsidR="00374AF0" w:rsidRDefault="002A7B2C">
      <w:pPr>
        <w:pStyle w:val="FirstParagraph"/>
      </w:pPr>
      <w:r>
        <w:t>Cameron, A.C., Miller, D.L., 2015. A practitioner’s guide to cluster-robust inference. Journal of Human Resources 50 (2), 317-372. https://doi.org/10.3368/jhr.50.2.317</w:t>
      </w:r>
    </w:p>
    <w:p w14:paraId="05E9A89B" w14:textId="77777777" w:rsidR="00374AF0" w:rsidRDefault="002A7B2C">
      <w:pPr>
        <w:pStyle w:val="BodyText"/>
      </w:pPr>
      <w:r>
        <w:t xml:space="preserve">de </w:t>
      </w:r>
      <w:proofErr w:type="spellStart"/>
      <w:r>
        <w:t>Chaisemartin</w:t>
      </w:r>
      <w:proofErr w:type="spellEnd"/>
      <w:r>
        <w:t xml:space="preserve">, C., </w:t>
      </w:r>
      <w:proofErr w:type="spellStart"/>
      <w:r>
        <w:t>D’Haultfœuille</w:t>
      </w:r>
      <w:proofErr w:type="spellEnd"/>
      <w:r>
        <w:t>, X., 2020. Two-way fixed effects estimators with heterogeneous treatment effects. American Economic Review 110 (9), 2964-2996. https://doi.org/10.1257/aer.20181169</w:t>
      </w:r>
    </w:p>
    <w:p w14:paraId="6FF5FABA" w14:textId="77777777" w:rsidR="00374AF0" w:rsidRDefault="002A7B2C">
      <w:pPr>
        <w:pStyle w:val="BodyText"/>
      </w:pPr>
      <w:r>
        <w:t>Chen, C., Noble, I., Hellmann, J., Coffee, J., Murillo, M., Chawla, N., 2015. University of Notre Dame Global Adaptation Index: Country Index Technical Report. University of Notre Dame Global Adaptation Initiative, Notre Dame, IN.</w:t>
      </w:r>
    </w:p>
    <w:p w14:paraId="4AA0A928" w14:textId="77777777" w:rsidR="00374AF0" w:rsidRDefault="002A7B2C">
      <w:pPr>
        <w:pStyle w:val="BodyText"/>
      </w:pPr>
      <w:r>
        <w:t xml:space="preserve">Coppedge, M., Gerring, J., Knutsen, C.H., Lindberg, S.I., </w:t>
      </w:r>
      <w:proofErr w:type="spellStart"/>
      <w:r>
        <w:t>Teorell</w:t>
      </w:r>
      <w:proofErr w:type="spellEnd"/>
      <w:r>
        <w:t>, J., et al., 2026. V-Dem Country-Year Dataset v16. Varieties of Democracy (V-Dem) Project. https://doi.org/10.23696/vdemds26</w:t>
      </w:r>
    </w:p>
    <w:p w14:paraId="1086397A" w14:textId="77777777" w:rsidR="00374AF0" w:rsidRDefault="002A7B2C">
      <w:pPr>
        <w:pStyle w:val="BodyText"/>
      </w:pPr>
      <w:r>
        <w:t>Jordà, Ò., 2005. Estimation and inference of impulse responses by local projections. American Economic Review 95 (1), 161-182. https://doi.org/10.1257/0002828053828518</w:t>
      </w:r>
    </w:p>
    <w:p w14:paraId="0857BDEA" w14:textId="77777777" w:rsidR="00374AF0" w:rsidRDefault="002A7B2C">
      <w:pPr>
        <w:pStyle w:val="BodyText"/>
      </w:pPr>
      <w:r>
        <w:t>Rambachan, A., Roth, J., 2023. A more credible approach to parallel trends. Review of Economic Studies 90 (5), 2555-2591. https://doi.org/10.1093/restud/rdad018</w:t>
      </w:r>
    </w:p>
    <w:p w14:paraId="291D5D27" w14:textId="77777777" w:rsidR="00374AF0" w:rsidRDefault="002A7B2C">
      <w:pPr>
        <w:pStyle w:val="BodyText"/>
      </w:pPr>
      <w:r>
        <w:t>Sun, L., Abraham, S., 2021. Estimating dynamic treatment effects in event studies with heterogeneous treatment effects. Journal of Econometrics 225 (2), 175-199. https://doi.org/10.1016/j.jeconom.2020.09.006</w:t>
      </w:r>
    </w:p>
    <w:p w14:paraId="668B5BE9" w14:textId="77777777" w:rsidR="00374AF0" w:rsidRDefault="002A7B2C">
      <w:pPr>
        <w:pStyle w:val="BodyText"/>
      </w:pPr>
      <w:r>
        <w:t xml:space="preserve">EM-DAT, 2024. The Emergency Events Database. Centre for Research on the Epidemiology of Disasters (CRED), </w:t>
      </w:r>
      <w:proofErr w:type="spellStart"/>
      <w:r>
        <w:t>UCLouvain</w:t>
      </w:r>
      <w:proofErr w:type="spellEnd"/>
      <w:r>
        <w:t>, Brussels. https://www.emdat.be</w:t>
      </w:r>
    </w:p>
    <w:p w14:paraId="0B51E312" w14:textId="77777777" w:rsidR="00374AF0" w:rsidRDefault="002A7B2C">
      <w:pPr>
        <w:pStyle w:val="BodyText"/>
      </w:pPr>
      <w:r>
        <w:t>Grantham Research Institute and Sabin Center for Climate Change Law, 2024. Climate Change Laws of the World. London School of Economics and Columbia Law School, distributed by Climate Policy Radar. https://climate-laws.org</w:t>
      </w:r>
    </w:p>
    <w:p w14:paraId="5F80F2D1" w14:textId="77777777" w:rsidR="00374AF0" w:rsidRDefault="002A7B2C">
      <w:pPr>
        <w:pStyle w:val="BodyText"/>
      </w:pPr>
      <w:r>
        <w:t xml:space="preserve">Gygli, S., </w:t>
      </w:r>
      <w:proofErr w:type="spellStart"/>
      <w:r>
        <w:t>Haelg</w:t>
      </w:r>
      <w:proofErr w:type="spellEnd"/>
      <w:r>
        <w:t xml:space="preserve">, F., </w:t>
      </w:r>
      <w:proofErr w:type="spellStart"/>
      <w:r>
        <w:t>Potrafke</w:t>
      </w:r>
      <w:proofErr w:type="spellEnd"/>
      <w:r>
        <w:t xml:space="preserve">, N., Sturm, J.-E., 2019. The KOF </w:t>
      </w:r>
      <w:proofErr w:type="spellStart"/>
      <w:r>
        <w:t>Globalisation</w:t>
      </w:r>
      <w:proofErr w:type="spellEnd"/>
      <w:r>
        <w:t xml:space="preserve"> Index, revisited. Review of International Organizations 14 (3), 543-574. https://doi.org/10.1007/s11558-019-09344-2</w:t>
      </w:r>
    </w:p>
    <w:p w14:paraId="70F02E7D" w14:textId="77777777" w:rsidR="00374AF0" w:rsidRDefault="002A7B2C">
      <w:pPr>
        <w:pStyle w:val="BodyText"/>
      </w:pPr>
      <w:proofErr w:type="spellStart"/>
      <w:r>
        <w:t>Gahtan</w:t>
      </w:r>
      <w:proofErr w:type="spellEnd"/>
      <w:r>
        <w:t>, J., Knapp, K.R., Schreck, C.J., Diamond, H.J., Kossin, J.P., Kruk, M.C., 2024. International Best Track Archive for Climate Stewardship (</w:t>
      </w:r>
      <w:proofErr w:type="spellStart"/>
      <w:r>
        <w:t>IBTrACS</w:t>
      </w:r>
      <w:proofErr w:type="spellEnd"/>
      <w:r>
        <w:t>) Project, Version 4r01. NOAA National Centers for Environmental Information. https://doi.org/10.25921/82ty-9e16</w:t>
      </w:r>
    </w:p>
    <w:p w14:paraId="49346732" w14:textId="77777777" w:rsidR="00374AF0" w:rsidRDefault="002A7B2C">
      <w:pPr>
        <w:pStyle w:val="BodyText"/>
      </w:pPr>
      <w:r>
        <w:lastRenderedPageBreak/>
        <w:t>Knapp, K.R., Kruk, M.C., Levinson, D.H., Diamond, H.J., Neumann, C.J., 2010. The International Best Track Archive for Climate Stewardship (</w:t>
      </w:r>
      <w:proofErr w:type="spellStart"/>
      <w:r>
        <w:t>IBTrACS</w:t>
      </w:r>
      <w:proofErr w:type="spellEnd"/>
      <w:r>
        <w:t>): unifying tropical cyclone data. Bulletin of the American Meteorological Society 91 (3), 363-376. https://doi.org/10.1175/2009BAMS2755.1</w:t>
      </w:r>
    </w:p>
    <w:p w14:paraId="7A67D7AE" w14:textId="77777777" w:rsidR="00374AF0" w:rsidRDefault="002A7B2C">
      <w:pPr>
        <w:pStyle w:val="BodyText"/>
      </w:pPr>
      <w:r>
        <w:t>Our World in Data, 2024. Data on CO2 and Greenhouse Gas Emissions, built on the Global Carbon Project. https://github.com/owid/co2-data</w:t>
      </w:r>
    </w:p>
    <w:p w14:paraId="7CCA2B56" w14:textId="77777777" w:rsidR="00374AF0" w:rsidRDefault="002A7B2C">
      <w:pPr>
        <w:pStyle w:val="BodyText"/>
      </w:pPr>
      <w:r>
        <w:t>World Bank, 2024. World Development Indicators. World Bank, Washington, DC.</w:t>
      </w:r>
      <w:bookmarkEnd w:id="0"/>
      <w:bookmarkEnd w:id="8"/>
    </w:p>
    <w:sectPr w:rsidR="00374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70F9" w14:textId="77777777" w:rsidR="00C65E78" w:rsidRDefault="00C65E78">
      <w:pPr>
        <w:spacing w:after="0"/>
      </w:pPr>
      <w:r>
        <w:separator/>
      </w:r>
    </w:p>
  </w:endnote>
  <w:endnote w:type="continuationSeparator" w:id="0">
    <w:p w14:paraId="6871E071" w14:textId="77777777" w:rsidR="00C65E78" w:rsidRDefault="00C65E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58B24" w14:textId="77777777" w:rsidR="00C65E78" w:rsidRDefault="00C65E78">
      <w:r>
        <w:separator/>
      </w:r>
    </w:p>
  </w:footnote>
  <w:footnote w:type="continuationSeparator" w:id="0">
    <w:p w14:paraId="3D574443" w14:textId="77777777" w:rsidR="00C65E78" w:rsidRDefault="00C65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614D74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2045448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4AF0"/>
    <w:rsid w:val="001F1992"/>
    <w:rsid w:val="002A7B2C"/>
    <w:rsid w:val="00374AF0"/>
    <w:rsid w:val="00610E5A"/>
    <w:rsid w:val="00676399"/>
    <w:rsid w:val="008E6028"/>
    <w:rsid w:val="00B61368"/>
    <w:rsid w:val="00C31E9F"/>
    <w:rsid w:val="00C65E78"/>
    <w:rsid w:val="00E11F3E"/>
    <w:rsid w:val="00E122B6"/>
    <w:rsid w:val="00E62DE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BA9C5"/>
  <w15:docId w15:val="{8201B727-98D5-44BE-B3E8-62E811EE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b/>
      <w:bCs/>
      <w:color w:val="000000"/>
      <w:sz w:val="32"/>
      <w:szCs w:val="32"/>
    </w:rPr>
  </w:style>
  <w:style w:type="paragraph" w:styleId="Heading2">
    <w:name w:val="heading 2"/>
    <w:basedOn w:val="Normal"/>
    <w:next w:val="BodyText"/>
    <w:uiPriority w:val="9"/>
    <w:unhideWhenUsed/>
    <w:qFormat/>
    <w:pPr>
      <w:keepNext/>
      <w:keepLines/>
      <w:spacing w:before="200" w:after="0"/>
      <w:outlineLvl w:val="1"/>
    </w:pPr>
    <w:rPr>
      <w:b/>
      <w:bCs/>
      <w:color w:val="000000"/>
      <w:sz w:val="28"/>
      <w:szCs w:val="28"/>
    </w:rPr>
  </w:style>
  <w:style w:type="paragraph" w:styleId="Heading3">
    <w:name w:val="heading 3"/>
    <w:basedOn w:val="Normal"/>
    <w:next w:val="BodyText"/>
    <w:uiPriority w:val="9"/>
    <w:unhideWhenUsed/>
    <w:qFormat/>
    <w:pPr>
      <w:keepNext/>
      <w:keepLines/>
      <w:spacing w:before="200" w:after="0"/>
      <w:outlineLvl w:val="2"/>
    </w:pPr>
    <w:rPr>
      <w:b/>
      <w:bCs/>
      <w:color w:val="000000"/>
    </w:rPr>
  </w:style>
  <w:style w:type="paragraph" w:styleId="Heading4">
    <w:name w:val="heading 4"/>
    <w:basedOn w:val="Normal"/>
    <w:next w:val="BodyText"/>
    <w:uiPriority w:val="9"/>
    <w:unhideWhenUsed/>
    <w:qFormat/>
    <w:pPr>
      <w:keepNext/>
      <w:keepLines/>
      <w:spacing w:before="200" w:after="0"/>
      <w:outlineLvl w:val="3"/>
    </w:pPr>
    <w:rPr>
      <w:bCs/>
      <w:i/>
      <w:color w:val="000000"/>
    </w:rPr>
  </w:style>
  <w:style w:type="paragraph" w:styleId="Heading5">
    <w:name w:val="heading 5"/>
    <w:basedOn w:val="Normal"/>
    <w:next w:val="BodyText"/>
    <w:uiPriority w:val="9"/>
    <w:unhideWhenUsed/>
    <w:qFormat/>
    <w:pPr>
      <w:keepNext/>
      <w:keepLines/>
      <w:spacing w:before="200" w:after="0"/>
      <w:outlineLvl w:val="4"/>
    </w:pPr>
    <w:rPr>
      <w:iCs/>
      <w:color w:val="000000"/>
    </w:rPr>
  </w:style>
  <w:style w:type="paragraph" w:styleId="Heading6">
    <w:name w:val="heading 6"/>
    <w:basedOn w:val="Normal"/>
    <w:next w:val="BodyText"/>
    <w:uiPriority w:val="9"/>
    <w:unhideWhenUsed/>
    <w:qFormat/>
    <w:pPr>
      <w:keepNext/>
      <w:keepLines/>
      <w:spacing w:before="200" w:after="0"/>
      <w:outlineLvl w:val="5"/>
    </w:pPr>
    <w:rPr>
      <w:color w:val="000000"/>
    </w:rPr>
  </w:style>
  <w:style w:type="paragraph" w:styleId="Heading7">
    <w:name w:val="heading 7"/>
    <w:basedOn w:val="Normal"/>
    <w:next w:val="BodyText"/>
    <w:uiPriority w:val="9"/>
    <w:unhideWhenUsed/>
    <w:qFormat/>
    <w:pPr>
      <w:keepNext/>
      <w:keepLines/>
      <w:spacing w:before="200" w:after="0"/>
      <w:outlineLvl w:val="6"/>
    </w:pPr>
    <w:rPr>
      <w:color w:val="000000"/>
    </w:rPr>
  </w:style>
  <w:style w:type="paragraph" w:styleId="Heading8">
    <w:name w:val="heading 8"/>
    <w:basedOn w:val="Normal"/>
    <w:next w:val="BodyText"/>
    <w:uiPriority w:val="9"/>
    <w:unhideWhenUsed/>
    <w:qFormat/>
    <w:pPr>
      <w:keepNext/>
      <w:keepLines/>
      <w:spacing w:before="200" w:after="0"/>
      <w:outlineLvl w:val="7"/>
    </w:pPr>
    <w:rPr>
      <w:color w:val="000000"/>
    </w:rPr>
  </w:style>
  <w:style w:type="paragraph" w:styleId="Heading9">
    <w:name w:val="heading 9"/>
    <w:basedOn w:val="Normal"/>
    <w:next w:val="BodyText"/>
    <w:uiPriority w:val="9"/>
    <w:unhideWhenUsed/>
    <w:qFormat/>
    <w:pPr>
      <w:keepNext/>
      <w:keepLines/>
      <w:spacing w:before="200" w:after="0"/>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line="360" w:lineRule="auto"/>
      <w:jc w:val="both"/>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000000"/>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semiHidden/>
    <w:unhideWhenUsed/>
    <w:rsid w:val="008E6028"/>
    <w:pPr>
      <w:spacing w:before="100" w:beforeAutospacing="1" w:after="100" w:afterAutospacing="1"/>
    </w:pPr>
    <w:rPr>
      <w:lang w:val="en-IN" w:eastAsia="en-IN"/>
    </w:rPr>
  </w:style>
  <w:style w:type="character" w:styleId="Strong">
    <w:name w:val="Strong"/>
    <w:basedOn w:val="DefaultParagraphFont"/>
    <w:uiPriority w:val="22"/>
    <w:qFormat/>
    <w:rsid w:val="008E6028"/>
    <w:rPr>
      <w:b/>
      <w:bCs/>
    </w:rPr>
  </w:style>
  <w:style w:type="character" w:styleId="Emphasis">
    <w:name w:val="Emphasis"/>
    <w:basedOn w:val="DefaultParagraphFont"/>
    <w:uiPriority w:val="20"/>
    <w:qFormat/>
    <w:rsid w:val="008E6028"/>
    <w:rPr>
      <w:i/>
      <w:iCs/>
    </w:rPr>
  </w:style>
  <w:style w:type="paragraph" w:customStyle="1" w:styleId="isselectedend">
    <w:name w:val="isselectedend"/>
    <w:basedOn w:val="Normal"/>
    <w:rsid w:val="00E11F3E"/>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960934">
      <w:bodyDiv w:val="1"/>
      <w:marLeft w:val="0"/>
      <w:marRight w:val="0"/>
      <w:marTop w:val="0"/>
      <w:marBottom w:val="0"/>
      <w:divBdr>
        <w:top w:val="none" w:sz="0" w:space="0" w:color="auto"/>
        <w:left w:val="none" w:sz="0" w:space="0" w:color="auto"/>
        <w:bottom w:val="none" w:sz="0" w:space="0" w:color="auto"/>
        <w:right w:val="none" w:sz="0" w:space="0" w:color="auto"/>
      </w:divBdr>
    </w:div>
    <w:div w:id="897012294">
      <w:bodyDiv w:val="1"/>
      <w:marLeft w:val="0"/>
      <w:marRight w:val="0"/>
      <w:marTop w:val="0"/>
      <w:marBottom w:val="0"/>
      <w:divBdr>
        <w:top w:val="none" w:sz="0" w:space="0" w:color="auto"/>
        <w:left w:val="none" w:sz="0" w:space="0" w:color="auto"/>
        <w:bottom w:val="none" w:sz="0" w:space="0" w:color="auto"/>
        <w:right w:val="none" w:sz="0" w:space="0" w:color="auto"/>
      </w:divBdr>
    </w:div>
    <w:div w:id="10623710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2933</Words>
  <Characters>16722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Kamal Sharma</cp:lastModifiedBy>
  <cp:revision>6</cp:revision>
  <dcterms:created xsi:type="dcterms:W3CDTF">2026-06-16T17:43:00Z</dcterms:created>
  <dcterms:modified xsi:type="dcterms:W3CDTF">2026-06-29T09:37:00Z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a659911c-8797-4dc3-b1bb-187e0359cefd</vt:lpwstr>
  </property>
</Properties>
</file>