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A1B59">
      <w:pPr>
        <w:keepNext/>
        <w:keepLines/>
        <w:widowControl/>
        <w:spacing w:before="100" w:after="163" w:afterLines="50" w:line="360" w:lineRule="auto"/>
        <w:jc w:val="center"/>
        <w:rPr>
          <w:rFonts w:eastAsia="宋体" w:cs="Times New Roman"/>
          <w:b/>
          <w:bCs w:val="0"/>
          <w:kern w:val="44"/>
          <w:sz w:val="32"/>
          <w:szCs w:val="24"/>
          <w:lang w:val="en-US"/>
        </w:rPr>
      </w:pPr>
      <w:bookmarkStart w:id="0" w:name="_Toc8539"/>
      <w:bookmarkEnd w:id="0"/>
      <w:bookmarkStart w:id="1" w:name="_Toc11788"/>
      <w:bookmarkEnd w:id="1"/>
      <w:bookmarkStart w:id="2" w:name="_Toc1784"/>
      <w:bookmarkEnd w:id="2"/>
      <w:bookmarkStart w:id="3" w:name="_Toc17150"/>
      <w:bookmarkEnd w:id="3"/>
    </w:p>
    <w:p w14:paraId="39ABAD70">
      <w:pPr>
        <w:keepNext/>
        <w:keepLines/>
        <w:widowControl/>
        <w:spacing w:before="100" w:after="163" w:afterLines="50" w:line="360" w:lineRule="auto"/>
        <w:jc w:val="center"/>
        <w:rPr>
          <w:rFonts w:eastAsia="宋体" w:cs="Times New Roman"/>
          <w:b/>
          <w:bCs w:val="0"/>
          <w:kern w:val="44"/>
          <w:sz w:val="32"/>
          <w:szCs w:val="24"/>
          <w:lang w:val="en-US"/>
        </w:rPr>
      </w:pPr>
    </w:p>
    <w:p w14:paraId="37612343">
      <w:pPr>
        <w:keepNext/>
        <w:keepLines/>
        <w:widowControl/>
        <w:spacing w:before="100" w:after="163" w:afterLines="50" w:line="360" w:lineRule="auto"/>
        <w:jc w:val="center"/>
        <w:outlineLvl w:val="0"/>
        <w:rPr>
          <w:rFonts w:eastAsia="宋体" w:cs="Times New Roman"/>
          <w:b/>
          <w:bCs w:val="0"/>
          <w:kern w:val="44"/>
          <w:sz w:val="32"/>
          <w:szCs w:val="24"/>
          <w:lang w:val="en-US"/>
        </w:rPr>
      </w:pPr>
      <w:bookmarkStart w:id="4" w:name="_Toc1294090543"/>
      <w:bookmarkStart w:id="5" w:name="_Toc1966566745"/>
      <w:bookmarkStart w:id="6" w:name="_Toc17818"/>
      <w:bookmarkStart w:id="7" w:name="_Toc22514"/>
      <w:bookmarkStart w:id="8" w:name="_Toc1065607641"/>
      <w:bookmarkStart w:id="9" w:name="_Toc2805"/>
      <w:bookmarkStart w:id="10" w:name="_Toc787785133"/>
      <w:bookmarkStart w:id="11" w:name="_Toc971729810"/>
      <w:bookmarkStart w:id="12" w:name="_Toc240613294"/>
      <w:bookmarkStart w:id="13" w:name="_Toc66106533"/>
      <w:bookmarkStart w:id="14" w:name="_Toc13359"/>
      <w:r>
        <w:rPr>
          <w:rFonts w:hint="eastAsia" w:eastAsia="宋体" w:cs="Times New Roman"/>
          <w:b/>
          <w:bCs w:val="0"/>
          <w:kern w:val="44"/>
          <w:sz w:val="32"/>
          <w:szCs w:val="24"/>
          <w:lang w:val="en-US"/>
        </w:rPr>
        <w:t>Supplementary appendix</w:t>
      </w:r>
      <w:bookmarkEnd w:id="4"/>
      <w:bookmarkEnd w:id="5"/>
      <w:bookmarkEnd w:id="6"/>
      <w:bookmarkEnd w:id="7"/>
      <w:bookmarkEnd w:id="8"/>
      <w:bookmarkEnd w:id="9"/>
      <w:bookmarkEnd w:id="10"/>
      <w:bookmarkEnd w:id="11"/>
      <w:bookmarkEnd w:id="12"/>
      <w:bookmarkEnd w:id="13"/>
      <w:bookmarkEnd w:id="14"/>
    </w:p>
    <w:p w14:paraId="35ECB813">
      <w:pPr>
        <w:keepNext/>
        <w:keepLines/>
        <w:widowControl/>
        <w:spacing w:before="100" w:after="163" w:afterLines="50" w:line="360" w:lineRule="auto"/>
        <w:jc w:val="both"/>
        <w:rPr>
          <w:rFonts w:eastAsia="宋体" w:cs="Times New Roman"/>
          <w:b/>
          <w:bCs w:val="0"/>
          <w:kern w:val="44"/>
          <w:sz w:val="24"/>
          <w:szCs w:val="24"/>
          <w:lang w:val="en-US"/>
        </w:rPr>
      </w:pPr>
    </w:p>
    <w:p w14:paraId="20250A83">
      <w:pPr>
        <w:keepNext/>
        <w:keepLines/>
        <w:widowControl/>
        <w:spacing w:before="100" w:after="163" w:afterLines="50" w:line="360" w:lineRule="auto"/>
        <w:jc w:val="both"/>
        <w:rPr>
          <w:rFonts w:eastAsia="宋体" w:cs="Times New Roman"/>
          <w:bCs/>
          <w:kern w:val="44"/>
          <w:sz w:val="24"/>
          <w:szCs w:val="24"/>
          <w:lang w:val="en-US"/>
        </w:rPr>
      </w:pPr>
      <w:r>
        <w:rPr>
          <w:rFonts w:hint="eastAsia" w:eastAsia="宋体" w:cs="Times New Roman"/>
          <w:b/>
          <w:bCs w:val="0"/>
          <w:kern w:val="44"/>
          <w:sz w:val="24"/>
          <w:szCs w:val="24"/>
          <w:lang w:val="en-US"/>
        </w:rPr>
        <w:t>Supplement to:</w:t>
      </w:r>
      <w:r>
        <w:rPr>
          <w:rFonts w:hint="eastAsia" w:eastAsia="宋体" w:cs="Times New Roman"/>
          <w:bCs/>
          <w:kern w:val="44"/>
          <w:sz w:val="24"/>
          <w:szCs w:val="24"/>
          <w:lang w:val="en-US"/>
        </w:rPr>
        <w:t xml:space="preserve"> </w:t>
      </w:r>
    </w:p>
    <w:p w14:paraId="62E01F9F">
      <w:pPr>
        <w:keepNext/>
        <w:keepLines/>
        <w:widowControl/>
        <w:spacing w:before="100" w:after="164" w:afterLines="50" w:line="360" w:lineRule="auto"/>
        <w:jc w:val="center"/>
        <w:outlineLvl w:val="9"/>
        <w:rPr>
          <w:rFonts w:ascii="Times New Roman" w:hAnsi="Times New Roman" w:eastAsia="宋体" w:cs="Times New Roman"/>
          <w:b/>
          <w:kern w:val="44"/>
          <w:sz w:val="24"/>
          <w:szCs w:val="21"/>
          <w:lang w:val="en-US" w:eastAsia="zh-CN" w:bidi="ar-SA"/>
        </w:rPr>
      </w:pPr>
      <w:bookmarkStart w:id="59" w:name="_GoBack"/>
      <w:bookmarkEnd w:id="59"/>
      <w:r>
        <w:rPr>
          <w:rFonts w:hint="default" w:ascii="Times New Roman Regular" w:hAnsi="Times New Roman Regular" w:eastAsia="宋体" w:cs="Times New Roman Regular"/>
          <w:b/>
          <w:bCs/>
          <w:kern w:val="0"/>
          <w:sz w:val="24"/>
          <w:szCs w:val="24"/>
          <w:lang w:val="zh-CN" w:eastAsia="zh-CN" w:bidi="ar-SA"/>
        </w:rPr>
        <w:t>Methodological quality and clinical applicability of obesity-related disease risk prediction models: a systematic review and meta-analysis</w:t>
      </w:r>
    </w:p>
    <w:p w14:paraId="74F8340C">
      <w:pPr>
        <w:widowControl/>
        <w:spacing w:after="164" w:afterLines="50" w:line="360" w:lineRule="auto"/>
        <w:jc w:val="left"/>
        <w:rPr>
          <w:rFonts w:ascii="Times New Roman Bold" w:hAnsi="Times New Roman Bold" w:eastAsia="宋体" w:cs="Times New Roman Bold"/>
          <w:b/>
          <w:kern w:val="2"/>
          <w:sz w:val="21"/>
          <w:szCs w:val="21"/>
          <w:lang w:val="en-US"/>
        </w:rPr>
      </w:pPr>
      <w:r>
        <w:rPr>
          <w:rFonts w:ascii="Times New Roman Bold" w:hAnsi="Times New Roman Bold" w:eastAsia="宋体" w:cs="Times New Roman Bold"/>
          <w:b/>
          <w:kern w:val="2"/>
          <w:sz w:val="21"/>
          <w:szCs w:val="21"/>
          <w:lang w:val="en-US"/>
        </w:rPr>
        <w:t>Limin Wang</w:t>
      </w:r>
      <w:r>
        <w:rPr>
          <w:rFonts w:ascii="Times New Roman Bold" w:hAnsi="Times New Roman Bold" w:eastAsia="宋体" w:cs="Times New Roman Bold"/>
          <w:b/>
          <w:kern w:val="2"/>
          <w:sz w:val="21"/>
          <w:szCs w:val="21"/>
          <w:vertAlign w:val="superscript"/>
          <w:lang w:val="en-US"/>
        </w:rPr>
        <w:t>1&amp;</w:t>
      </w:r>
      <w:r>
        <w:rPr>
          <w:rFonts w:ascii="Times New Roman Bold" w:hAnsi="Times New Roman Bold" w:eastAsia="宋体" w:cs="Times New Roman Bold"/>
          <w:b/>
          <w:kern w:val="2"/>
          <w:sz w:val="21"/>
          <w:szCs w:val="21"/>
          <w:lang w:val="en-US"/>
        </w:rPr>
        <w:t>, Mengfan Wang</w:t>
      </w:r>
      <w:r>
        <w:rPr>
          <w:rFonts w:ascii="Times New Roman Bold" w:hAnsi="Times New Roman Bold" w:eastAsia="宋体" w:cs="Times New Roman Bold"/>
          <w:b/>
          <w:kern w:val="2"/>
          <w:sz w:val="21"/>
          <w:szCs w:val="21"/>
          <w:vertAlign w:val="superscript"/>
          <w:lang w:val="en-US"/>
        </w:rPr>
        <w:t>1&amp;</w:t>
      </w:r>
      <w:r>
        <w:rPr>
          <w:rFonts w:ascii="Times New Roman Bold" w:hAnsi="Times New Roman Bold" w:eastAsia="宋体" w:cs="Times New Roman Bold"/>
          <w:b/>
          <w:kern w:val="2"/>
          <w:sz w:val="21"/>
          <w:szCs w:val="21"/>
          <w:lang w:val="en-US"/>
        </w:rPr>
        <w:t>, Zhuo Chen</w:t>
      </w:r>
      <w:r>
        <w:rPr>
          <w:rFonts w:ascii="Times New Roman Bold" w:hAnsi="Times New Roman Bold" w:eastAsia="宋体" w:cs="Times New Roman Bold"/>
          <w:b/>
          <w:kern w:val="2"/>
          <w:sz w:val="21"/>
          <w:szCs w:val="21"/>
          <w:vertAlign w:val="superscript"/>
          <w:lang w:val="en-US"/>
        </w:rPr>
        <w:t>1</w:t>
      </w:r>
      <w:r>
        <w:rPr>
          <w:rFonts w:ascii="Times New Roman Bold" w:hAnsi="Times New Roman Bold" w:eastAsia="宋体" w:cs="Times New Roman Bold"/>
          <w:b/>
          <w:kern w:val="2"/>
          <w:sz w:val="21"/>
          <w:szCs w:val="21"/>
          <w:lang w:val="en-US"/>
        </w:rPr>
        <w:t>, Chuanlin Cao</w:t>
      </w:r>
      <w:r>
        <w:rPr>
          <w:rFonts w:ascii="Times New Roman Bold" w:hAnsi="Times New Roman Bold" w:eastAsia="宋体" w:cs="Times New Roman Bold"/>
          <w:b/>
          <w:kern w:val="2"/>
          <w:sz w:val="21"/>
          <w:szCs w:val="21"/>
          <w:vertAlign w:val="superscript"/>
          <w:lang w:val="en-US"/>
        </w:rPr>
        <w:t>2</w:t>
      </w:r>
      <w:r>
        <w:rPr>
          <w:rFonts w:ascii="Times New Roman Bold" w:hAnsi="Times New Roman Bold" w:eastAsia="宋体" w:cs="Times New Roman Bold"/>
          <w:b/>
          <w:kern w:val="2"/>
          <w:sz w:val="21"/>
          <w:szCs w:val="21"/>
          <w:lang w:val="en-US"/>
        </w:rPr>
        <w:t>, Yuxiang Ma</w:t>
      </w:r>
      <w:r>
        <w:rPr>
          <w:rFonts w:ascii="Times New Roman Bold" w:hAnsi="Times New Roman Bold" w:eastAsia="宋体" w:cs="Times New Roman Bold"/>
          <w:b/>
          <w:kern w:val="2"/>
          <w:sz w:val="21"/>
          <w:szCs w:val="21"/>
          <w:vertAlign w:val="superscript"/>
          <w:lang w:val="en-US"/>
        </w:rPr>
        <w:t>2</w:t>
      </w:r>
      <w:r>
        <w:rPr>
          <w:rFonts w:ascii="Times New Roman Bold" w:hAnsi="Times New Roman Bold" w:eastAsia="宋体" w:cs="Times New Roman Bold"/>
          <w:b/>
          <w:kern w:val="2"/>
          <w:sz w:val="21"/>
          <w:szCs w:val="21"/>
          <w:lang w:val="en-US"/>
        </w:rPr>
        <w:t xml:space="preserve">, </w:t>
      </w:r>
      <w:r>
        <w:rPr>
          <w:rFonts w:hint="eastAsia" w:ascii="Times New Roman Bold" w:hAnsi="Times New Roman Bold" w:eastAsia="宋体" w:cs="Times New Roman Bold"/>
          <w:b/>
          <w:kern w:val="2"/>
          <w:sz w:val="22"/>
          <w:lang w:val="en-GB"/>
        </w:rPr>
        <w:t>Mengyun Sui</w:t>
      </w:r>
      <w:r>
        <w:rPr>
          <w:rFonts w:ascii="Times New Roman Bold" w:hAnsi="Times New Roman Bold" w:eastAsia="宋体" w:cs="Times New Roman Bold"/>
          <w:b/>
          <w:kern w:val="2"/>
          <w:sz w:val="22"/>
          <w:vertAlign w:val="superscript"/>
          <w:lang w:val="en-US"/>
        </w:rPr>
        <w:t>3</w:t>
      </w:r>
      <w:r>
        <w:rPr>
          <w:rFonts w:ascii="Times New Roman Bold" w:hAnsi="Times New Roman Bold" w:eastAsia="宋体" w:cs="Times New Roman Bold"/>
          <w:b/>
          <w:kern w:val="2"/>
          <w:sz w:val="22"/>
          <w:vertAlign w:val="superscript"/>
          <w:lang w:val="en-GB"/>
        </w:rPr>
        <w:t>,*</w:t>
      </w:r>
      <w:r>
        <w:rPr>
          <w:rFonts w:hint="default" w:ascii="Times New Roman Bold" w:hAnsi="Times New Roman Bold" w:eastAsia="宋体" w:cs="Times New Roman Bold"/>
          <w:b/>
          <w:kern w:val="2"/>
          <w:sz w:val="21"/>
          <w:szCs w:val="21"/>
          <w:lang w:val="en-US" w:eastAsia="zh-CN"/>
        </w:rPr>
        <w:t xml:space="preserve">, </w:t>
      </w:r>
      <w:r>
        <w:rPr>
          <w:rFonts w:ascii="Times New Roman Bold" w:hAnsi="Times New Roman Bold" w:eastAsia="宋体" w:cs="Times New Roman Bold"/>
          <w:b/>
          <w:kern w:val="2"/>
          <w:sz w:val="21"/>
          <w:szCs w:val="21"/>
          <w:lang w:val="en-US"/>
        </w:rPr>
        <w:t>Xiaohua Ying</w:t>
      </w:r>
      <w:r>
        <w:rPr>
          <w:rFonts w:ascii="Times New Roman Bold" w:hAnsi="Times New Roman Bold" w:eastAsia="宋体" w:cs="Times New Roman Bold"/>
          <w:b/>
          <w:kern w:val="2"/>
          <w:sz w:val="21"/>
          <w:szCs w:val="21"/>
          <w:vertAlign w:val="superscript"/>
          <w:lang w:val="en-US"/>
        </w:rPr>
        <w:t>1,*</w:t>
      </w:r>
    </w:p>
    <w:p w14:paraId="0B68063E">
      <w:pPr>
        <w:widowControl/>
        <w:spacing w:line="360" w:lineRule="auto"/>
        <w:jc w:val="left"/>
        <w:rPr>
          <w:rFonts w:ascii="Times New Roman Regular" w:hAnsi="Times New Roman Regular" w:eastAsia="宋体" w:cs="Times New Roman Regular"/>
          <w:bCs/>
          <w:kern w:val="2"/>
          <w:sz w:val="21"/>
          <w:szCs w:val="21"/>
          <w:lang w:val="en-US"/>
        </w:rPr>
      </w:pPr>
      <w:r>
        <w:rPr>
          <w:rFonts w:ascii="Times New Roman Regular" w:hAnsi="Times New Roman Regular" w:eastAsia="宋体" w:cs="Times New Roman Regular"/>
          <w:bCs/>
          <w:kern w:val="2"/>
          <w:sz w:val="21"/>
          <w:szCs w:val="21"/>
          <w:vertAlign w:val="superscript"/>
          <w:lang w:val="en-US"/>
        </w:rPr>
        <w:t>1</w:t>
      </w:r>
      <w:r>
        <w:rPr>
          <w:rFonts w:ascii="Times New Roman Regular" w:hAnsi="Times New Roman Regular" w:eastAsia="宋体" w:cs="Times New Roman Regular"/>
          <w:bCs/>
          <w:kern w:val="2"/>
          <w:sz w:val="21"/>
          <w:szCs w:val="21"/>
          <w:lang w:val="en-US"/>
        </w:rPr>
        <w:t xml:space="preserve"> Department of Health Economics, School of Public Health, Fudan University, Shanghai 200032, China</w:t>
      </w:r>
    </w:p>
    <w:p w14:paraId="433BA6AD">
      <w:pPr>
        <w:widowControl/>
        <w:spacing w:line="360" w:lineRule="auto"/>
        <w:jc w:val="left"/>
        <w:rPr>
          <w:rFonts w:ascii="Times New Roman Regular" w:hAnsi="Times New Roman Regular" w:eastAsia="宋体" w:cs="Times New Roman Regular"/>
          <w:bCs/>
          <w:kern w:val="2"/>
          <w:sz w:val="21"/>
          <w:szCs w:val="21"/>
          <w:lang w:val="en-US"/>
        </w:rPr>
      </w:pPr>
      <w:r>
        <w:rPr>
          <w:rFonts w:ascii="Times New Roman Regular" w:hAnsi="Times New Roman Regular" w:eastAsia="宋体" w:cs="Times New Roman Regular"/>
          <w:bCs/>
          <w:kern w:val="2"/>
          <w:sz w:val="21"/>
          <w:szCs w:val="21"/>
          <w:vertAlign w:val="superscript"/>
          <w:lang w:val="en-US"/>
        </w:rPr>
        <w:t>2</w:t>
      </w:r>
      <w:r>
        <w:rPr>
          <w:rFonts w:ascii="Times New Roman Regular" w:hAnsi="Times New Roman Regular" w:eastAsia="宋体" w:cs="Times New Roman Regular"/>
          <w:bCs/>
          <w:kern w:val="2"/>
          <w:sz w:val="21"/>
          <w:szCs w:val="21"/>
          <w:lang w:val="en-US"/>
        </w:rPr>
        <w:t xml:space="preserve"> School of Public Health, Fudan University, Shanghai 200032, China</w:t>
      </w:r>
    </w:p>
    <w:p w14:paraId="582486A4">
      <w:pPr>
        <w:widowControl/>
        <w:spacing w:line="360" w:lineRule="auto"/>
        <w:jc w:val="left"/>
        <w:rPr>
          <w:rFonts w:ascii="Times New Roman Regular" w:hAnsi="Times New Roman Regular" w:eastAsia="宋体" w:cs="Times New Roman Regular"/>
          <w:bCs/>
          <w:kern w:val="2"/>
          <w:sz w:val="21"/>
          <w:szCs w:val="21"/>
          <w:lang w:val="en-US"/>
        </w:rPr>
      </w:pPr>
      <w:r>
        <w:rPr>
          <w:rFonts w:ascii="Times New Roman Regular" w:hAnsi="Times New Roman Regular" w:eastAsia="宋体" w:cs="Times New Roman Regular"/>
          <w:bCs/>
          <w:kern w:val="2"/>
          <w:sz w:val="22"/>
          <w:vertAlign w:val="superscript"/>
          <w:lang w:val="en-GB"/>
        </w:rPr>
        <w:t>3</w:t>
      </w:r>
      <w:r>
        <w:rPr>
          <w:rFonts w:ascii="Times New Roman Regular" w:hAnsi="Times New Roman Regular" w:eastAsia="宋体" w:cs="Times New Roman Regular"/>
          <w:bCs/>
          <w:kern w:val="2"/>
          <w:sz w:val="22"/>
          <w:lang w:val="en-GB"/>
        </w:rPr>
        <w:t xml:space="preserve"> </w:t>
      </w:r>
      <w:r>
        <w:rPr>
          <w:rFonts w:ascii="Times New Roman Regular" w:hAnsi="Times New Roman Regular" w:eastAsia="宋体" w:cs="Times New Roman Regular"/>
          <w:bCs/>
          <w:kern w:val="2"/>
          <w:sz w:val="21"/>
          <w:szCs w:val="21"/>
          <w:lang w:val="en-US"/>
        </w:rPr>
        <w:t>Division of Chronic Non-communicable Diseases and Injury, Shanghai Municipal Center for Disease Control and Prevention, Shanghai, China</w:t>
      </w:r>
    </w:p>
    <w:p w14:paraId="5A443C3A">
      <w:pPr>
        <w:widowControl/>
        <w:spacing w:line="360" w:lineRule="auto"/>
        <w:jc w:val="left"/>
        <w:rPr>
          <w:rFonts w:ascii="Times New Roman" w:hAnsi="Times New Roman" w:cs="Times New Roman" w:eastAsiaTheme="minorEastAsia"/>
          <w:bCs/>
          <w:kern w:val="2"/>
          <w:sz w:val="21"/>
          <w:szCs w:val="21"/>
          <w:lang w:val="en-US"/>
        </w:rPr>
      </w:pPr>
      <w:r>
        <w:rPr>
          <w:rFonts w:ascii="Times New Roman" w:hAnsi="Times New Roman" w:cs="Times New Roman" w:eastAsiaTheme="minorEastAsia"/>
          <w:bCs/>
          <w:kern w:val="2"/>
          <w:sz w:val="21"/>
          <w:szCs w:val="21"/>
          <w:vertAlign w:val="superscript"/>
          <w:lang w:val="en-US"/>
        </w:rPr>
        <w:t>&amp;</w:t>
      </w:r>
      <w:r>
        <w:rPr>
          <w:rFonts w:hint="eastAsia" w:ascii="Times New Roman" w:hAnsi="Times New Roman" w:cs="Times New Roman" w:eastAsiaTheme="minorEastAsia"/>
          <w:bCs/>
          <w:kern w:val="2"/>
          <w:sz w:val="21"/>
          <w:szCs w:val="21"/>
          <w:vertAlign w:val="superscript"/>
          <w:lang w:val="en-US"/>
        </w:rPr>
        <w:t xml:space="preserve"> </w:t>
      </w:r>
      <w:r>
        <w:rPr>
          <w:rFonts w:hint="eastAsia" w:ascii="Times New Roman" w:hAnsi="Times New Roman" w:cs="Times New Roman" w:eastAsiaTheme="minorEastAsia"/>
          <w:bCs/>
          <w:kern w:val="2"/>
          <w:sz w:val="21"/>
          <w:szCs w:val="21"/>
          <w:lang w:val="en-US"/>
        </w:rPr>
        <w:t xml:space="preserve">Limin Wang, Mengfan Wang </w:t>
      </w:r>
      <w:r>
        <w:rPr>
          <w:rFonts w:ascii="Times New Roman" w:hAnsi="Times New Roman" w:cs="Times New Roman" w:eastAsiaTheme="minorEastAsia"/>
          <w:bCs/>
          <w:kern w:val="2"/>
          <w:sz w:val="21"/>
          <w:szCs w:val="21"/>
          <w:lang w:val="en-US"/>
        </w:rPr>
        <w:t>contributed equally to this work</w:t>
      </w:r>
    </w:p>
    <w:p w14:paraId="74DB3CF3">
      <w:pPr>
        <w:widowControl/>
        <w:spacing w:line="360" w:lineRule="auto"/>
        <w:jc w:val="left"/>
        <w:rPr>
          <w:rFonts w:ascii="Times New Roman Bold" w:hAnsi="Times New Roman Bold" w:cs="Times New Roman Bold" w:eastAsiaTheme="minorEastAsia"/>
          <w:b/>
          <w:kern w:val="2"/>
          <w:sz w:val="21"/>
          <w:szCs w:val="21"/>
          <w:lang w:val="en-US"/>
        </w:rPr>
      </w:pPr>
      <w:r>
        <w:rPr>
          <w:rFonts w:ascii="Times New Roman Bold" w:hAnsi="Times New Roman Bold" w:cs="Times New Roman Bold" w:eastAsiaTheme="minorEastAsia"/>
          <w:b/>
          <w:kern w:val="2"/>
          <w:sz w:val="21"/>
          <w:szCs w:val="21"/>
          <w:lang w:val="en-US"/>
        </w:rPr>
        <w:t>* Corresponding authors:</w:t>
      </w:r>
    </w:p>
    <w:p w14:paraId="1AD8756B">
      <w:pPr>
        <w:widowControl/>
        <w:spacing w:line="360" w:lineRule="auto"/>
        <w:jc w:val="left"/>
        <w:rPr>
          <w:rFonts w:ascii="Times New Roman" w:hAnsi="Times New Roman" w:cs="Times New Roman" w:eastAsiaTheme="minorEastAsia"/>
          <w:bCs/>
          <w:kern w:val="2"/>
          <w:sz w:val="21"/>
          <w:szCs w:val="21"/>
          <w:lang w:val="en-US"/>
        </w:rPr>
      </w:pPr>
      <w:r>
        <w:rPr>
          <w:rFonts w:ascii="Times New Roman" w:hAnsi="Times New Roman" w:cs="Times New Roman" w:eastAsiaTheme="minorEastAsia"/>
          <w:bCs/>
          <w:kern w:val="2"/>
          <w:sz w:val="21"/>
          <w:szCs w:val="21"/>
          <w:lang w:val="en-US"/>
        </w:rPr>
        <w:t xml:space="preserve">Xiaohua Ying, PhD (E-mail: </w:t>
      </w:r>
      <w:r>
        <w:rPr>
          <w:rFonts w:ascii="Times New Roman" w:hAnsi="Times New Roman" w:eastAsia="Songti SC"/>
          <w:sz w:val="22"/>
          <w:szCs w:val="21"/>
        </w:rPr>
        <w:fldChar w:fldCharType="begin"/>
      </w:r>
      <w:r>
        <w:rPr>
          <w:rFonts w:ascii="Times New Roman" w:hAnsi="Times New Roman" w:eastAsia="Songti SC"/>
          <w:sz w:val="22"/>
          <w:szCs w:val="21"/>
        </w:rPr>
        <w:instrText xml:space="preserve"> HYPERLINK "mailto:xhying@fudan.edu.cn" </w:instrText>
      </w:r>
      <w:r>
        <w:rPr>
          <w:rFonts w:ascii="Times New Roman" w:hAnsi="Times New Roman" w:eastAsia="Songti SC"/>
          <w:sz w:val="22"/>
          <w:szCs w:val="21"/>
        </w:rPr>
        <w:fldChar w:fldCharType="separate"/>
      </w:r>
      <w:r>
        <w:rPr>
          <w:rFonts w:ascii="Times New Roman" w:hAnsi="Times New Roman" w:cs="Times New Roman" w:eastAsiaTheme="minorEastAsia"/>
          <w:bCs/>
          <w:kern w:val="2"/>
          <w:sz w:val="21"/>
          <w:szCs w:val="21"/>
          <w:lang w:val="en-US"/>
        </w:rPr>
        <w:t>xhying@fudan.edu.cn</w:t>
      </w:r>
      <w:r>
        <w:rPr>
          <w:rFonts w:ascii="Times New Roman" w:hAnsi="Times New Roman" w:cs="Times New Roman" w:eastAsiaTheme="minorEastAsia"/>
          <w:bCs/>
          <w:kern w:val="2"/>
          <w:sz w:val="21"/>
          <w:szCs w:val="21"/>
          <w:lang w:val="en-US"/>
        </w:rPr>
        <w:fldChar w:fldCharType="end"/>
      </w:r>
      <w:r>
        <w:rPr>
          <w:rFonts w:ascii="Times New Roman" w:hAnsi="Times New Roman" w:cs="Times New Roman" w:eastAsiaTheme="minorEastAsia"/>
          <w:bCs/>
          <w:kern w:val="2"/>
          <w:sz w:val="21"/>
          <w:szCs w:val="21"/>
          <w:lang w:val="en-US"/>
        </w:rPr>
        <w:t>)</w:t>
      </w:r>
    </w:p>
    <w:p w14:paraId="7FEEC5C4">
      <w:pPr>
        <w:keepNext/>
        <w:keepLines/>
        <w:widowControl/>
        <w:spacing w:before="100" w:after="163" w:afterLines="50" w:line="360" w:lineRule="auto"/>
        <w:jc w:val="both"/>
        <w:rPr>
          <w:rFonts w:ascii="Times New Roman" w:hAnsi="Times New Roman" w:eastAsia="KaiTi_GB2312" w:cstheme="minorBidi"/>
          <w:sz w:val="28"/>
          <w:szCs w:val="32"/>
          <w:lang w:val="zh-CN" w:eastAsia="zh-CN" w:bidi="ar-SA"/>
        </w:rPr>
      </w:pPr>
      <w:r>
        <w:rPr>
          <w:rFonts w:ascii="Times New Roman" w:hAnsi="Times New Roman" w:eastAsia="宋体" w:cs="Times New Roman"/>
          <w:bCs/>
          <w:kern w:val="2"/>
          <w:sz w:val="22"/>
          <w:lang w:val="it-IT"/>
        </w:rPr>
        <w:t xml:space="preserve">Mengyun Sui, PhD (E-mail: </w:t>
      </w:r>
      <w:r>
        <w:rPr>
          <w:rFonts w:ascii="Times New Roman" w:hAnsi="Times New Roman" w:eastAsia="Songti SC"/>
          <w:sz w:val="24"/>
        </w:rPr>
        <w:fldChar w:fldCharType="begin"/>
      </w:r>
      <w:r>
        <w:rPr>
          <w:rFonts w:ascii="Times New Roman" w:hAnsi="Times New Roman" w:eastAsia="Songti SC"/>
          <w:sz w:val="24"/>
        </w:rPr>
        <w:instrText xml:space="preserve"> HYPERLINK "mailto:smy19916542392@163.com)" </w:instrText>
      </w:r>
      <w:r>
        <w:rPr>
          <w:rFonts w:ascii="Times New Roman" w:hAnsi="Times New Roman" w:eastAsia="Songti SC"/>
          <w:sz w:val="24"/>
        </w:rPr>
        <w:fldChar w:fldCharType="separate"/>
      </w:r>
      <w:r>
        <w:rPr>
          <w:rFonts w:ascii="Times New Roman" w:hAnsi="Times New Roman" w:eastAsia="宋体" w:cs="Times New Roman"/>
          <w:bCs/>
          <w:color w:val="0000FF"/>
          <w:kern w:val="2"/>
          <w:sz w:val="22"/>
          <w:u w:val="single"/>
          <w:lang w:val="it-IT"/>
        </w:rPr>
        <w:t>smy19916542392@163.com)</w:t>
      </w:r>
      <w:r>
        <w:rPr>
          <w:rFonts w:ascii="Times New Roman" w:hAnsi="Times New Roman" w:eastAsia="宋体" w:cs="Times New Roman"/>
          <w:bCs/>
          <w:color w:val="0000FF"/>
          <w:kern w:val="2"/>
          <w:sz w:val="22"/>
          <w:u w:val="single"/>
          <w:lang w:val="it-IT"/>
        </w:rPr>
        <w:fldChar w:fldCharType="end"/>
      </w:r>
      <w:r>
        <w:rPr>
          <w:rFonts w:hint="eastAsia"/>
          <w:lang w:val="en-US" w:eastAsia="zh-CN"/>
        </w:rPr>
        <w:br w:type="page"/>
      </w:r>
      <w:r>
        <w:rPr>
          <w:sz w:val="28"/>
          <w:szCs w:val="32"/>
        </w:rPr>
        <w:fldChar w:fldCharType="begin"/>
      </w:r>
      <w:r>
        <w:rPr>
          <w:sz w:val="28"/>
          <w:szCs w:val="32"/>
        </w:rPr>
        <w:instrText xml:space="preserve">TOC \o "1-4" \h \u </w:instrText>
      </w:r>
      <w:r>
        <w:rPr>
          <w:sz w:val="28"/>
          <w:szCs w:val="32"/>
        </w:rPr>
        <w:fldChar w:fldCharType="separate"/>
      </w:r>
    </w:p>
    <w:p w14:paraId="4D897A3B">
      <w:pPr>
        <w:spacing w:line="360" w:lineRule="auto"/>
      </w:pPr>
    </w:p>
    <w:p w14:paraId="41E2B4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 w:val="28"/>
          <w:szCs w:val="32"/>
        </w:rPr>
      </w:pPr>
      <w:r>
        <w:rPr>
          <w:sz w:val="28"/>
          <w:szCs w:val="32"/>
        </w:rPr>
        <w:fldChar w:fldCharType="end"/>
      </w:r>
      <w:bookmarkStart w:id="15" w:name="_Toc1053558426"/>
      <w:bookmarkStart w:id="16" w:name="_Toc249781235"/>
      <w:bookmarkStart w:id="17" w:name="_Toc7739"/>
      <w:bookmarkStart w:id="18" w:name="OLE_LINK1"/>
    </w:p>
    <w:sdt>
      <w:sdtPr>
        <w:rPr>
          <w:rFonts w:ascii="宋体" w:hAnsi="宋体" w:eastAsia="宋体" w:cstheme="minorBidi"/>
          <w:sz w:val="21"/>
          <w:szCs w:val="22"/>
          <w:lang w:val="zh-CN" w:eastAsia="zh-CN" w:bidi="ar-SA"/>
        </w:rPr>
        <w:id w:val="128808743"/>
        <w15:color w:val="DBDBDB"/>
        <w:docPartObj>
          <w:docPartGallery w:val="Table of Contents"/>
          <w:docPartUnique/>
        </w:docPartObj>
      </w:sdtPr>
      <w:sdtEndPr>
        <w:rPr>
          <w:rFonts w:ascii="宋体" w:hAnsi="宋体" w:eastAsia="宋体" w:cstheme="minorBidi"/>
          <w:sz w:val="21"/>
          <w:szCs w:val="22"/>
          <w:lang w:val="zh-CN" w:eastAsia="zh-CN" w:bidi="ar-SA"/>
        </w:rPr>
      </w:sdtEndPr>
      <w:sdtContent>
        <w:p w14:paraId="7DD19C1D">
          <w:pPr>
            <w:spacing w:before="0" w:beforeLines="0" w:after="0" w:afterLines="0" w:line="360" w:lineRule="auto"/>
            <w:ind w:left="0" w:leftChars="0" w:right="0" w:rightChars="0" w:firstLine="0" w:firstLineChars="0"/>
            <w:jc w:val="center"/>
          </w:pPr>
          <w:r>
            <w:rPr>
              <w:rFonts w:eastAsia="宋体" w:cs="Times New Roman"/>
              <w:b/>
              <w:bCs w:val="0"/>
              <w:kern w:val="2"/>
              <w:sz w:val="28"/>
              <w:szCs w:val="28"/>
              <w:lang w:val="en-US" w:eastAsia="zh-CN" w:bidi="ar-SA"/>
            </w:rPr>
            <w:t>TABLE OF CONTENTS</w:t>
          </w:r>
        </w:p>
        <w:p w14:paraId="146CAC3F">
          <w:pPr>
            <w:pStyle w:val="14"/>
            <w:tabs>
              <w:tab w:val="right" w:leader="dot" w:pos="8306"/>
            </w:tabs>
            <w:spacing w:line="360" w:lineRule="auto"/>
          </w:pPr>
          <w:r>
            <w:fldChar w:fldCharType="begin"/>
          </w:r>
          <w:r>
            <w:instrText xml:space="preserve">TOC \o "1-3" \h \u </w:instrText>
          </w:r>
          <w:r>
            <w:fldChar w:fldCharType="separate"/>
          </w:r>
        </w:p>
        <w:p w14:paraId="192DA1E9">
          <w:pPr>
            <w:pStyle w:val="17"/>
            <w:tabs>
              <w:tab w:val="right" w:leader="dot" w:pos="8306"/>
            </w:tabs>
            <w:spacing w:line="360" w:lineRule="auto"/>
            <w:ind w:left="0" w:leftChars="0" w:firstLine="0" w:firstLineChars="0"/>
            <w:rPr>
              <w:rFonts w:hint="default" w:ascii="Times New Roman Bold" w:hAnsi="Times New Roman Bold" w:cs="Times New Roman Bold"/>
              <w:b/>
              <w:bCs/>
            </w:rPr>
          </w:pP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HYPERLINK \l _Toc1068046576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lang w:val="en-US" w:eastAsia="zh-CN"/>
            </w:rPr>
            <w:t>SUPPLEMENTARY TABLES</w:t>
          </w:r>
          <w:r>
            <w:rPr>
              <w:rFonts w:hint="default" w:ascii="Times New Roman Bold" w:hAnsi="Times New Roman Bold" w:cs="Times New Roman Bold"/>
              <w:b/>
              <w:bCs/>
            </w:rPr>
            <w:tab/>
          </w: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PAGEREF _Toc1068046576 \h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rPr>
            <w:t>3</w:t>
          </w:r>
          <w:r>
            <w:rPr>
              <w:rFonts w:hint="default" w:ascii="Times New Roman Bold" w:hAnsi="Times New Roman Bold" w:cs="Times New Roman Bold"/>
              <w:b/>
              <w:bCs/>
            </w:rPr>
            <w:fldChar w:fldCharType="end"/>
          </w:r>
          <w:r>
            <w:rPr>
              <w:rFonts w:hint="default" w:ascii="Times New Roman Bold" w:hAnsi="Times New Roman Bold" w:cs="Times New Roman Bold"/>
              <w:b/>
              <w:bCs/>
            </w:rPr>
            <w:fldChar w:fldCharType="end"/>
          </w:r>
        </w:p>
        <w:p w14:paraId="47CCD30C">
          <w:pPr>
            <w:pStyle w:val="10"/>
            <w:tabs>
              <w:tab w:val="right" w:leader="dot" w:pos="8306"/>
            </w:tabs>
            <w:spacing w:line="360" w:lineRule="auto"/>
            <w:ind w:left="0" w:leftChars="0" w:firstLine="0" w:firstLineChars="0"/>
          </w:pPr>
          <w:r>
            <w:fldChar w:fldCharType="begin"/>
          </w:r>
          <w:r>
            <w:instrText xml:space="preserve"> HYPERLINK \l _Toc1990481206 </w:instrText>
          </w:r>
          <w:r>
            <w:fldChar w:fldCharType="separate"/>
          </w:r>
          <w:r>
            <w:rPr>
              <w:lang w:val="en-US" w:eastAsia="zh-CN"/>
            </w:rPr>
            <w:t>Table S1</w:t>
          </w:r>
          <w:r>
            <w:rPr>
              <w:rFonts w:hint="eastAsia"/>
              <w:lang w:val="en-US" w:eastAsia="zh-CN"/>
            </w:rPr>
            <w:t xml:space="preserve"> PRISMA 2020 Checklist</w:t>
          </w:r>
          <w:r>
            <w:tab/>
          </w:r>
          <w:r>
            <w:fldChar w:fldCharType="begin"/>
          </w:r>
          <w:r>
            <w:instrText xml:space="preserve"> PAGEREF _Toc1990481206 \h </w:instrText>
          </w:r>
          <w:r>
            <w:fldChar w:fldCharType="separate"/>
          </w:r>
          <w:r>
            <w:t>3</w:t>
          </w:r>
          <w:r>
            <w:fldChar w:fldCharType="end"/>
          </w:r>
          <w:r>
            <w:fldChar w:fldCharType="end"/>
          </w:r>
        </w:p>
        <w:p w14:paraId="5A6CA57A">
          <w:pPr>
            <w:pStyle w:val="10"/>
            <w:tabs>
              <w:tab w:val="right" w:leader="dot" w:pos="8306"/>
            </w:tabs>
            <w:spacing w:line="360" w:lineRule="auto"/>
            <w:ind w:left="0" w:leftChars="0" w:firstLine="0" w:firstLineChars="0"/>
          </w:pPr>
          <w:r>
            <w:fldChar w:fldCharType="begin"/>
          </w:r>
          <w:r>
            <w:instrText xml:space="preserve"> HYPERLINK \l _Toc517376276 </w:instrText>
          </w:r>
          <w:r>
            <w:fldChar w:fldCharType="separate"/>
          </w:r>
          <w:r>
            <w:t xml:space="preserve">Table S2 </w:t>
          </w:r>
          <w:r>
            <w:rPr>
              <w:rFonts w:hint="eastAsia"/>
            </w:rPr>
            <w:t>Search Strategy and Retrieval Results in CNKI Database (February 1, 2026)</w:t>
          </w:r>
          <w:r>
            <w:tab/>
          </w:r>
          <w:r>
            <w:fldChar w:fldCharType="begin"/>
          </w:r>
          <w:r>
            <w:instrText xml:space="preserve"> PAGEREF _Toc517376276 \h </w:instrText>
          </w:r>
          <w:r>
            <w:fldChar w:fldCharType="separate"/>
          </w:r>
          <w:r>
            <w:t>7</w:t>
          </w:r>
          <w:r>
            <w:fldChar w:fldCharType="end"/>
          </w:r>
          <w:r>
            <w:fldChar w:fldCharType="end"/>
          </w:r>
        </w:p>
        <w:p w14:paraId="289F3C04">
          <w:pPr>
            <w:pStyle w:val="10"/>
            <w:tabs>
              <w:tab w:val="right" w:leader="dot" w:pos="8306"/>
            </w:tabs>
            <w:spacing w:line="360" w:lineRule="auto"/>
            <w:ind w:left="0" w:leftChars="0" w:firstLine="0" w:firstLineChars="0"/>
          </w:pPr>
          <w:r>
            <w:fldChar w:fldCharType="begin"/>
          </w:r>
          <w:r>
            <w:instrText xml:space="preserve"> HYPERLINK \l _Toc381784029 </w:instrText>
          </w:r>
          <w:r>
            <w:fldChar w:fldCharType="separate"/>
          </w:r>
          <w:r>
            <w:t>Table S3</w:t>
          </w:r>
          <w:r>
            <w:rPr>
              <w:rFonts w:hint="eastAsia"/>
              <w:lang w:val="en-US" w:eastAsia="zh-CN"/>
            </w:rPr>
            <w:t xml:space="preserve"> Search Strategy and Retrieval Results in PubMed Database (February 1, 2026)</w:t>
          </w:r>
          <w:r>
            <w:tab/>
          </w:r>
          <w:r>
            <w:fldChar w:fldCharType="begin"/>
          </w:r>
          <w:r>
            <w:instrText xml:space="preserve"> PAGEREF _Toc381784029 \h </w:instrText>
          </w:r>
          <w:r>
            <w:fldChar w:fldCharType="separate"/>
          </w:r>
          <w:r>
            <w:t>8</w:t>
          </w:r>
          <w:r>
            <w:fldChar w:fldCharType="end"/>
          </w:r>
          <w:r>
            <w:fldChar w:fldCharType="end"/>
          </w:r>
        </w:p>
        <w:p w14:paraId="7A4C7AD3">
          <w:pPr>
            <w:pStyle w:val="10"/>
            <w:tabs>
              <w:tab w:val="right" w:leader="dot" w:pos="8306"/>
            </w:tabs>
            <w:spacing w:line="360" w:lineRule="auto"/>
            <w:ind w:left="0" w:leftChars="0" w:firstLine="0" w:firstLineChars="0"/>
          </w:pPr>
          <w:r>
            <w:fldChar w:fldCharType="begin"/>
          </w:r>
          <w:r>
            <w:instrText xml:space="preserve"> HYPERLINK \l _Toc2110521814 </w:instrText>
          </w:r>
          <w:r>
            <w:fldChar w:fldCharType="separate"/>
          </w:r>
          <w:r>
            <w:t xml:space="preserve">Table S4 </w:t>
          </w:r>
          <w:r>
            <w:rPr>
              <w:rFonts w:hint="eastAsia"/>
            </w:rPr>
            <w:t>Search Strategy and Retrieval Results in Web of Science Database (February 1, 2026)</w:t>
          </w:r>
          <w:r>
            <w:tab/>
          </w:r>
          <w:r>
            <w:fldChar w:fldCharType="begin"/>
          </w:r>
          <w:r>
            <w:instrText xml:space="preserve"> PAGEREF _Toc2110521814 \h </w:instrText>
          </w:r>
          <w:r>
            <w:fldChar w:fldCharType="separate"/>
          </w:r>
          <w:r>
            <w:t>9</w:t>
          </w:r>
          <w:r>
            <w:fldChar w:fldCharType="end"/>
          </w:r>
          <w:r>
            <w:fldChar w:fldCharType="end"/>
          </w:r>
        </w:p>
        <w:p w14:paraId="313025F8">
          <w:pPr>
            <w:pStyle w:val="10"/>
            <w:tabs>
              <w:tab w:val="right" w:leader="dot" w:pos="8306"/>
            </w:tabs>
            <w:spacing w:line="360" w:lineRule="auto"/>
            <w:ind w:left="0" w:leftChars="0" w:firstLine="0" w:firstLineChars="0"/>
          </w:pPr>
          <w:r>
            <w:fldChar w:fldCharType="begin"/>
          </w:r>
          <w:r>
            <w:instrText xml:space="preserve"> HYPERLINK \l _Toc1552730399 </w:instrText>
          </w:r>
          <w:r>
            <w:fldChar w:fldCharType="separate"/>
          </w:r>
          <w:r>
            <w:t>Table S5</w:t>
          </w:r>
          <w:r>
            <w:rPr>
              <w:rFonts w:hint="eastAsia"/>
              <w:lang w:val="en-US" w:eastAsia="zh-CN"/>
            </w:rPr>
            <w:t xml:space="preserve"> </w:t>
          </w:r>
          <w:r>
            <w:rPr>
              <w:rFonts w:hint="eastAsia"/>
            </w:rPr>
            <w:t>Search Strategy and Retrieval Results in Embase Database (February 1, 2026)</w:t>
          </w:r>
          <w:r>
            <w:tab/>
          </w:r>
          <w:r>
            <w:fldChar w:fldCharType="begin"/>
          </w:r>
          <w:r>
            <w:instrText xml:space="preserve"> PAGEREF _Toc1552730399 \h </w:instrText>
          </w:r>
          <w:r>
            <w:fldChar w:fldCharType="separate"/>
          </w:r>
          <w:r>
            <w:t>10</w:t>
          </w:r>
          <w:r>
            <w:fldChar w:fldCharType="end"/>
          </w:r>
          <w:r>
            <w:fldChar w:fldCharType="end"/>
          </w:r>
        </w:p>
        <w:p w14:paraId="72176043">
          <w:pPr>
            <w:pStyle w:val="10"/>
            <w:tabs>
              <w:tab w:val="right" w:leader="dot" w:pos="8306"/>
            </w:tabs>
            <w:spacing w:line="360" w:lineRule="auto"/>
            <w:ind w:left="0" w:leftChars="0" w:firstLine="0" w:firstLineChars="0"/>
          </w:pPr>
          <w:r>
            <w:fldChar w:fldCharType="begin"/>
          </w:r>
          <w:r>
            <w:instrText xml:space="preserve"> HYPERLINK \l _Toc518537649 </w:instrText>
          </w:r>
          <w:r>
            <w:fldChar w:fldCharType="separate"/>
          </w:r>
          <w:r>
            <w:t>Table S6</w:t>
          </w:r>
          <w:r>
            <w:rPr>
              <w:rFonts w:hint="eastAsia"/>
              <w:lang w:val="en-US" w:eastAsia="zh-CN"/>
            </w:rPr>
            <w:t xml:space="preserve"> List of Excluded Studies After Full-Text Screening</w:t>
          </w:r>
          <w:r>
            <w:rPr>
              <w:rFonts w:hint="default"/>
              <w:lang w:val="en-US" w:eastAsia="zh-CN"/>
            </w:rPr>
            <w:t>(27)</w:t>
          </w:r>
          <w:r>
            <w:tab/>
          </w:r>
          <w:r>
            <w:fldChar w:fldCharType="begin"/>
          </w:r>
          <w:r>
            <w:instrText xml:space="preserve"> PAGEREF _Toc518537649 \h </w:instrText>
          </w:r>
          <w:r>
            <w:fldChar w:fldCharType="separate"/>
          </w:r>
          <w:r>
            <w:t>11</w:t>
          </w:r>
          <w:r>
            <w:fldChar w:fldCharType="end"/>
          </w:r>
          <w:r>
            <w:fldChar w:fldCharType="end"/>
          </w:r>
        </w:p>
        <w:p w14:paraId="1AAC199C">
          <w:pPr>
            <w:pStyle w:val="10"/>
            <w:tabs>
              <w:tab w:val="right" w:leader="dot" w:pos="8306"/>
            </w:tabs>
            <w:spacing w:line="360" w:lineRule="auto"/>
            <w:ind w:left="0" w:leftChars="0" w:firstLine="0" w:firstLineChars="0"/>
          </w:pPr>
          <w:r>
            <w:fldChar w:fldCharType="begin"/>
          </w:r>
          <w:r>
            <w:instrText xml:space="preserve"> HYPERLINK \l _Toc573627217 </w:instrText>
          </w:r>
          <w:r>
            <w:fldChar w:fldCharType="separate"/>
          </w:r>
          <w:r>
            <w:t>Table S7</w:t>
          </w:r>
          <w:r>
            <w:rPr>
              <w:rFonts w:hint="eastAsia"/>
              <w:lang w:val="en-US" w:eastAsia="zh-CN"/>
            </w:rPr>
            <w:t xml:space="preserve"> Basic characteristics of the risk prediction models included in the study</w:t>
          </w:r>
          <w:r>
            <w:tab/>
          </w:r>
          <w:r>
            <w:fldChar w:fldCharType="begin"/>
          </w:r>
          <w:r>
            <w:instrText xml:space="preserve"> PAGEREF _Toc573627217 \h </w:instrText>
          </w:r>
          <w:r>
            <w:fldChar w:fldCharType="separate"/>
          </w:r>
          <w:r>
            <w:t>14</w:t>
          </w:r>
          <w:r>
            <w:fldChar w:fldCharType="end"/>
          </w:r>
          <w:r>
            <w:fldChar w:fldCharType="end"/>
          </w:r>
        </w:p>
        <w:p w14:paraId="46BB4469">
          <w:pPr>
            <w:pStyle w:val="10"/>
            <w:tabs>
              <w:tab w:val="right" w:leader="dot" w:pos="8306"/>
            </w:tabs>
            <w:spacing w:line="360" w:lineRule="auto"/>
            <w:ind w:left="0" w:leftChars="0" w:firstLine="0" w:firstLineChars="0"/>
          </w:pPr>
          <w:r>
            <w:fldChar w:fldCharType="begin"/>
          </w:r>
          <w:r>
            <w:instrText xml:space="preserve"> HYPERLINK \l _Toc898544736 </w:instrText>
          </w:r>
          <w:r>
            <w:fldChar w:fldCharType="separate"/>
          </w:r>
          <w:r>
            <w:t>Table S8</w:t>
          </w:r>
          <w:r>
            <w:rPr>
              <w:rFonts w:hint="eastAsia"/>
              <w:lang w:val="en-US" w:eastAsia="zh-CN"/>
            </w:rPr>
            <w:t xml:space="preserve"> Full Information of Model Performance</w:t>
          </w:r>
          <w:r>
            <w:tab/>
          </w:r>
          <w:r>
            <w:fldChar w:fldCharType="begin"/>
          </w:r>
          <w:r>
            <w:instrText xml:space="preserve"> PAGEREF _Toc898544736 \h </w:instrText>
          </w:r>
          <w:r>
            <w:fldChar w:fldCharType="separate"/>
          </w:r>
          <w:r>
            <w:t>27</w:t>
          </w:r>
          <w:r>
            <w:fldChar w:fldCharType="end"/>
          </w:r>
          <w:r>
            <w:fldChar w:fldCharType="end"/>
          </w:r>
        </w:p>
        <w:p w14:paraId="3D58C575">
          <w:pPr>
            <w:pStyle w:val="10"/>
            <w:tabs>
              <w:tab w:val="right" w:leader="dot" w:pos="8306"/>
            </w:tabs>
            <w:spacing w:line="360" w:lineRule="auto"/>
            <w:ind w:left="0" w:leftChars="0" w:firstLine="0" w:firstLineChars="0"/>
          </w:pPr>
          <w:r>
            <w:fldChar w:fldCharType="begin"/>
          </w:r>
          <w:r>
            <w:instrText xml:space="preserve"> HYPERLINK \l _Toc736372248 </w:instrText>
          </w:r>
          <w:r>
            <w:fldChar w:fldCharType="separate"/>
          </w:r>
          <w:r>
            <w:t>Table S9</w:t>
          </w:r>
          <w:r>
            <w:rPr>
              <w:rFonts w:hint="eastAsia"/>
              <w:lang w:val="en-US" w:eastAsia="zh-CN"/>
            </w:rPr>
            <w:t xml:space="preserve"> Distribution of Predictors According to Included Studies</w:t>
          </w:r>
          <w:r>
            <w:tab/>
          </w:r>
          <w:r>
            <w:fldChar w:fldCharType="begin"/>
          </w:r>
          <w:r>
            <w:instrText xml:space="preserve"> PAGEREF _Toc736372248 \h </w:instrText>
          </w:r>
          <w:r>
            <w:fldChar w:fldCharType="separate"/>
          </w:r>
          <w:r>
            <w:t>33</w:t>
          </w:r>
          <w:r>
            <w:fldChar w:fldCharType="end"/>
          </w:r>
          <w:r>
            <w:fldChar w:fldCharType="end"/>
          </w:r>
        </w:p>
        <w:p w14:paraId="5C871EE0">
          <w:pPr>
            <w:pStyle w:val="10"/>
            <w:tabs>
              <w:tab w:val="right" w:leader="dot" w:pos="8306"/>
            </w:tabs>
            <w:spacing w:line="360" w:lineRule="auto"/>
            <w:ind w:left="0" w:leftChars="0" w:firstLine="0" w:firstLineChars="0"/>
          </w:pPr>
          <w:r>
            <w:fldChar w:fldCharType="begin"/>
          </w:r>
          <w:r>
            <w:instrText xml:space="preserve"> HYPERLINK \l _Toc260114475 </w:instrText>
          </w:r>
          <w:r>
            <w:fldChar w:fldCharType="separate"/>
          </w:r>
          <w:r>
            <w:t>Table S10</w:t>
          </w:r>
          <w:r>
            <w:rPr>
              <w:rFonts w:hint="eastAsia"/>
              <w:lang w:val="en-US" w:eastAsia="zh-CN"/>
            </w:rPr>
            <w:t xml:space="preserve"> Frequency Distribution of Predictors by Study</w:t>
          </w:r>
          <w:r>
            <w:tab/>
          </w:r>
          <w:r>
            <w:fldChar w:fldCharType="begin"/>
          </w:r>
          <w:r>
            <w:instrText xml:space="preserve"> PAGEREF _Toc260114475 \h </w:instrText>
          </w:r>
          <w:r>
            <w:fldChar w:fldCharType="separate"/>
          </w:r>
          <w:r>
            <w:t>39</w:t>
          </w:r>
          <w:r>
            <w:fldChar w:fldCharType="end"/>
          </w:r>
          <w:r>
            <w:fldChar w:fldCharType="end"/>
          </w:r>
        </w:p>
        <w:p w14:paraId="36B9CAA2">
          <w:pPr>
            <w:pStyle w:val="10"/>
            <w:tabs>
              <w:tab w:val="right" w:leader="dot" w:pos="8306"/>
            </w:tabs>
            <w:spacing w:line="360" w:lineRule="auto"/>
            <w:ind w:left="0" w:leftChars="0" w:firstLine="0" w:firstLineChars="0"/>
          </w:pPr>
          <w:r>
            <w:fldChar w:fldCharType="begin"/>
          </w:r>
          <w:r>
            <w:instrText xml:space="preserve"> HYPERLINK \l _Toc1614759680 </w:instrText>
          </w:r>
          <w:r>
            <w:fldChar w:fldCharType="separate"/>
          </w:r>
          <w:r>
            <w:t>Table S11</w:t>
          </w:r>
          <w:r>
            <w:rPr>
              <w:rFonts w:hint="default"/>
              <w:lang w:val="en-US" w:eastAsia="zh-CN"/>
            </w:rPr>
            <w:t xml:space="preserve"> </w:t>
          </w:r>
          <w:r>
            <w:rPr>
              <w:rFonts w:hint="eastAsia"/>
              <w:lang w:val="en-US" w:eastAsia="zh-CN"/>
            </w:rPr>
            <w:t>Risk of Bias and Applicability Assessment for Machine Learning Prediction Models Part I: Model Development Evaluation</w:t>
          </w:r>
          <w:r>
            <w:tab/>
          </w:r>
          <w:r>
            <w:fldChar w:fldCharType="begin"/>
          </w:r>
          <w:r>
            <w:instrText xml:space="preserve"> PAGEREF _Toc1614759680 \h </w:instrText>
          </w:r>
          <w:r>
            <w:fldChar w:fldCharType="separate"/>
          </w:r>
          <w:r>
            <w:t>41</w:t>
          </w:r>
          <w:r>
            <w:fldChar w:fldCharType="end"/>
          </w:r>
          <w:r>
            <w:fldChar w:fldCharType="end"/>
          </w:r>
        </w:p>
        <w:p w14:paraId="40F832D8">
          <w:pPr>
            <w:pStyle w:val="10"/>
            <w:tabs>
              <w:tab w:val="right" w:leader="dot" w:pos="8306"/>
            </w:tabs>
            <w:spacing w:line="360" w:lineRule="auto"/>
            <w:ind w:left="0" w:leftChars="0" w:firstLine="0" w:firstLineChars="0"/>
          </w:pPr>
          <w:r>
            <w:fldChar w:fldCharType="begin"/>
          </w:r>
          <w:r>
            <w:instrText xml:space="preserve"> HYPERLINK \l _Toc1515094621 </w:instrText>
          </w:r>
          <w:r>
            <w:fldChar w:fldCharType="separate"/>
          </w:r>
          <w:r>
            <w:t>Table S12</w:t>
          </w:r>
          <w:r>
            <w:rPr>
              <w:rFonts w:hint="default"/>
              <w:lang w:val="en-US"/>
            </w:rPr>
            <w:t xml:space="preserve"> </w:t>
          </w:r>
          <w:r>
            <w:rPr>
              <w:rFonts w:hint="eastAsia"/>
              <w:lang w:val="en-US" w:eastAsia="zh-CN"/>
            </w:rPr>
            <w:t>Risk of Bias and Applicability Assessment for Machine Learning Prediction Models Part II: Model Validation Evaluation</w:t>
          </w:r>
          <w:r>
            <w:tab/>
          </w:r>
          <w:r>
            <w:fldChar w:fldCharType="begin"/>
          </w:r>
          <w:r>
            <w:instrText xml:space="preserve"> PAGEREF _Toc1515094621 \h </w:instrText>
          </w:r>
          <w:r>
            <w:fldChar w:fldCharType="separate"/>
          </w:r>
          <w:r>
            <w:t>44</w:t>
          </w:r>
          <w:r>
            <w:fldChar w:fldCharType="end"/>
          </w:r>
          <w:r>
            <w:fldChar w:fldCharType="end"/>
          </w:r>
        </w:p>
        <w:p w14:paraId="2454D22B">
          <w:pPr>
            <w:pStyle w:val="17"/>
            <w:tabs>
              <w:tab w:val="right" w:leader="dot" w:pos="8306"/>
            </w:tabs>
            <w:spacing w:line="360" w:lineRule="auto"/>
            <w:ind w:left="0" w:leftChars="0" w:firstLine="0" w:firstLineChars="0"/>
            <w:rPr>
              <w:rFonts w:hint="default" w:ascii="Times New Roman Bold" w:hAnsi="Times New Roman Bold" w:cs="Times New Roman Bold"/>
              <w:b/>
              <w:bCs/>
            </w:rPr>
          </w:pP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HYPERLINK \l _Toc1481692668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lang w:val="en-US" w:eastAsia="zh-CN"/>
            </w:rPr>
            <w:t>SUPPLEMENTARY TABLES</w:t>
          </w:r>
          <w:r>
            <w:rPr>
              <w:rFonts w:hint="default" w:ascii="Times New Roman Bold" w:hAnsi="Times New Roman Bold" w:cs="Times New Roman Bold"/>
              <w:b/>
              <w:bCs/>
            </w:rPr>
            <w:tab/>
          </w: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PAGEREF _Toc1481692668 \h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rPr>
            <w:t>47</w:t>
          </w:r>
          <w:r>
            <w:rPr>
              <w:rFonts w:hint="default" w:ascii="Times New Roman Bold" w:hAnsi="Times New Roman Bold" w:cs="Times New Roman Bold"/>
              <w:b/>
              <w:bCs/>
            </w:rPr>
            <w:fldChar w:fldCharType="end"/>
          </w:r>
          <w:r>
            <w:rPr>
              <w:rFonts w:hint="default" w:ascii="Times New Roman Bold" w:hAnsi="Times New Roman Bold" w:cs="Times New Roman Bold"/>
              <w:b/>
              <w:bCs/>
            </w:rPr>
            <w:fldChar w:fldCharType="end"/>
          </w:r>
        </w:p>
        <w:p w14:paraId="5A8862E0">
          <w:pPr>
            <w:pStyle w:val="10"/>
            <w:tabs>
              <w:tab w:val="right" w:leader="dot" w:pos="8306"/>
            </w:tabs>
            <w:spacing w:line="360" w:lineRule="auto"/>
            <w:ind w:left="0" w:leftChars="0" w:firstLine="0" w:firstLineChars="0"/>
          </w:pPr>
          <w:r>
            <w:fldChar w:fldCharType="begin"/>
          </w:r>
          <w:r>
            <w:instrText xml:space="preserve"> HYPERLINK \l _Toc588300464 </w:instrText>
          </w:r>
          <w:r>
            <w:fldChar w:fldCharType="separate"/>
          </w:r>
          <w:r>
            <w:t>Figure S1</w:t>
          </w:r>
          <w:r>
            <w:rPr>
              <w:lang w:val="en-US" w:eastAsia="zh-CN"/>
            </w:rPr>
            <w:t xml:space="preserve"> PRISMA flow diagram of study selection</w:t>
          </w:r>
          <w:r>
            <w:tab/>
          </w:r>
          <w:r>
            <w:fldChar w:fldCharType="begin"/>
          </w:r>
          <w:r>
            <w:instrText xml:space="preserve"> PAGEREF _Toc588300464 \h </w:instrText>
          </w:r>
          <w:r>
            <w:fldChar w:fldCharType="separate"/>
          </w:r>
          <w:r>
            <w:t>47</w:t>
          </w:r>
          <w:r>
            <w:fldChar w:fldCharType="end"/>
          </w:r>
          <w:r>
            <w:fldChar w:fldCharType="end"/>
          </w:r>
        </w:p>
        <w:p w14:paraId="0DED1018">
          <w:pPr>
            <w:pStyle w:val="10"/>
            <w:tabs>
              <w:tab w:val="right" w:leader="dot" w:pos="8306"/>
            </w:tabs>
            <w:spacing w:line="360" w:lineRule="auto"/>
            <w:ind w:left="0" w:leftChars="0" w:firstLine="0" w:firstLineChars="0"/>
          </w:pPr>
          <w:r>
            <w:fldChar w:fldCharType="begin"/>
          </w:r>
          <w:r>
            <w:instrText xml:space="preserve"> HYPERLINK \l _Toc551187660 </w:instrText>
          </w:r>
          <w:r>
            <w:fldChar w:fldCharType="separate"/>
          </w:r>
          <w:r>
            <w:t>Figure S2</w:t>
          </w:r>
          <w:r>
            <w:rPr>
              <w:rFonts w:hint="eastAsia"/>
              <w:lang w:val="en-US" w:eastAsia="zh-CN"/>
            </w:rPr>
            <w:t xml:space="preserve"> </w:t>
          </w:r>
          <w:r>
            <w:rPr>
              <w:lang w:val="en-US" w:eastAsia="zh-CN"/>
            </w:rPr>
            <w:t>Risk of bias and applicability assessment of included prediction models.</w:t>
          </w:r>
          <w:r>
            <w:tab/>
          </w:r>
          <w:r>
            <w:fldChar w:fldCharType="begin"/>
          </w:r>
          <w:r>
            <w:instrText xml:space="preserve"> PAGEREF _Toc551187660 \h </w:instrText>
          </w:r>
          <w:r>
            <w:fldChar w:fldCharType="separate"/>
          </w:r>
          <w:r>
            <w:t>49</w:t>
          </w:r>
          <w:r>
            <w:fldChar w:fldCharType="end"/>
          </w:r>
          <w:r>
            <w:fldChar w:fldCharType="end"/>
          </w:r>
        </w:p>
        <w:p w14:paraId="5B7CC8D1">
          <w:pPr>
            <w:pStyle w:val="17"/>
            <w:tabs>
              <w:tab w:val="right" w:leader="dot" w:pos="8306"/>
            </w:tabs>
            <w:spacing w:line="360" w:lineRule="auto"/>
            <w:ind w:left="0" w:leftChars="0" w:firstLine="0" w:firstLineChars="0"/>
            <w:rPr>
              <w:rFonts w:hint="default" w:ascii="Times New Roman Bold" w:hAnsi="Times New Roman Bold" w:cs="Times New Roman Bold"/>
              <w:b/>
              <w:bCs/>
            </w:rPr>
          </w:pP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HYPERLINK \l _Toc1714032109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szCs w:val="28"/>
            </w:rPr>
            <w:t>Reference</w:t>
          </w:r>
          <w:r>
            <w:rPr>
              <w:rFonts w:hint="default" w:ascii="Times New Roman Bold" w:hAnsi="Times New Roman Bold" w:cs="Times New Roman Bold"/>
              <w:b/>
              <w:bCs/>
            </w:rPr>
            <w:tab/>
          </w:r>
          <w:r>
            <w:rPr>
              <w:rFonts w:hint="default" w:ascii="Times New Roman Bold" w:hAnsi="Times New Roman Bold" w:cs="Times New Roman Bold"/>
              <w:b/>
              <w:bCs/>
            </w:rPr>
            <w:fldChar w:fldCharType="begin"/>
          </w:r>
          <w:r>
            <w:rPr>
              <w:rFonts w:hint="default" w:ascii="Times New Roman Bold" w:hAnsi="Times New Roman Bold" w:cs="Times New Roman Bold"/>
              <w:b/>
              <w:bCs/>
            </w:rPr>
            <w:instrText xml:space="preserve"> PAGEREF _Toc1714032109 \h </w:instrText>
          </w:r>
          <w:r>
            <w:rPr>
              <w:rFonts w:hint="default" w:ascii="Times New Roman Bold" w:hAnsi="Times New Roman Bold" w:cs="Times New Roman Bold"/>
              <w:b/>
              <w:bCs/>
            </w:rPr>
            <w:fldChar w:fldCharType="separate"/>
          </w:r>
          <w:r>
            <w:rPr>
              <w:rFonts w:hint="default" w:ascii="Times New Roman Bold" w:hAnsi="Times New Roman Bold" w:cs="Times New Roman Bold"/>
              <w:b/>
              <w:bCs/>
            </w:rPr>
            <w:t>50</w:t>
          </w:r>
          <w:r>
            <w:rPr>
              <w:rFonts w:hint="default" w:ascii="Times New Roman Bold" w:hAnsi="Times New Roman Bold" w:cs="Times New Roman Bold"/>
              <w:b/>
              <w:bCs/>
            </w:rPr>
            <w:fldChar w:fldCharType="end"/>
          </w:r>
          <w:r>
            <w:rPr>
              <w:rFonts w:hint="default" w:ascii="Times New Roman Bold" w:hAnsi="Times New Roman Bold" w:cs="Times New Roman Bold"/>
              <w:b/>
              <w:bCs/>
            </w:rPr>
            <w:fldChar w:fldCharType="end"/>
          </w:r>
        </w:p>
        <w:p w14:paraId="7DE4872F">
          <w:pPr>
            <w:spacing w:line="360" w:lineRule="auto"/>
            <w:sectPr>
              <w:footerReference r:id="rId5" w:type="default"/>
              <w:endnotePr>
                <w:numFmt w:val="decimal"/>
              </w:endnotePr>
              <w:pgSz w:w="11906" w:h="16838"/>
              <w:pgMar w:top="1440" w:right="1800" w:bottom="1440" w:left="1800" w:header="851" w:footer="992" w:gutter="0"/>
              <w:pgNumType w:fmt="decimal"/>
              <w:cols w:space="425" w:num="1"/>
              <w:docGrid w:type="lines" w:linePitch="312" w:charSpace="0"/>
            </w:sectPr>
          </w:pPr>
          <w:r>
            <w:fldChar w:fldCharType="end"/>
          </w:r>
        </w:p>
      </w:sdtContent>
    </w:sdt>
    <w:p w14:paraId="5DA6A72E">
      <w:pPr>
        <w:spacing w:line="360" w:lineRule="auto"/>
      </w:pPr>
    </w:p>
    <w:p w14:paraId="4924DEA7">
      <w:pPr>
        <w:pStyle w:val="3"/>
        <w:bidi w:val="0"/>
        <w:spacing w:line="360" w:lineRule="auto"/>
        <w:rPr>
          <w:rFonts w:hint="eastAsia"/>
          <w:lang w:val="en-US" w:eastAsia="zh-CN"/>
        </w:rPr>
      </w:pPr>
      <w:bookmarkStart w:id="19" w:name="_Toc1068046576"/>
      <w:r>
        <w:rPr>
          <w:rFonts w:hint="eastAsia"/>
          <w:lang w:val="en-US" w:eastAsia="zh-CN"/>
        </w:rPr>
        <w:t>SUPPLEMENTARY TABLES</w:t>
      </w:r>
      <w:bookmarkEnd w:id="15"/>
      <w:bookmarkEnd w:id="16"/>
      <w:bookmarkEnd w:id="19"/>
    </w:p>
    <w:p w14:paraId="6A516BAB">
      <w:pPr>
        <w:pStyle w:val="4"/>
        <w:bidi w:val="0"/>
        <w:spacing w:line="360" w:lineRule="auto"/>
        <w:rPr>
          <w:rFonts w:hint="eastAsia"/>
          <w:lang w:val="en-US" w:eastAsia="zh-CN"/>
        </w:rPr>
      </w:pPr>
      <w:bookmarkStart w:id="20" w:name="_Toc1990481206"/>
      <w:bookmarkStart w:id="21" w:name="_Toc1153796267"/>
      <w:r>
        <w:rPr>
          <w:lang w:val="en-US" w:eastAsia="zh-CN"/>
        </w:rPr>
        <w:t>Table S</w:t>
      </w:r>
      <w:r>
        <w:rPr>
          <w:lang w:val="en-US" w:eastAsia="zh-CN"/>
        </w:rPr>
        <w:fldChar w:fldCharType="begin"/>
      </w:r>
      <w:r>
        <w:rPr>
          <w:lang w:val="en-US" w:eastAsia="zh-CN"/>
        </w:rPr>
        <w:instrText xml:space="preserve"> SEQ Table_S \* ARABIC </w:instrText>
      </w:r>
      <w:r>
        <w:rPr>
          <w:lang w:val="en-US" w:eastAsia="zh-CN"/>
        </w:rPr>
        <w:fldChar w:fldCharType="separate"/>
      </w:r>
      <w:r>
        <w:rPr>
          <w:lang w:val="en-US" w:eastAsia="zh-CN"/>
        </w:rPr>
        <w:t>1</w:t>
      </w:r>
      <w:r>
        <w:rPr>
          <w:lang w:val="en-US" w:eastAsia="zh-CN"/>
        </w:rPr>
        <w:fldChar w:fldCharType="end"/>
      </w:r>
      <w:r>
        <w:rPr>
          <w:rFonts w:hint="eastAsia"/>
          <w:lang w:val="en-US" w:eastAsia="zh-CN"/>
        </w:rPr>
        <w:t xml:space="preserve"> PRISMA 2020 Checklist</w:t>
      </w:r>
      <w:bookmarkEnd w:id="20"/>
    </w:p>
    <w:tbl>
      <w:tblPr>
        <w:tblStyle w:val="21"/>
        <w:tblW w:w="83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4922"/>
        <w:gridCol w:w="1200"/>
      </w:tblGrid>
      <w:tr w14:paraId="034B5AFC">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Item #</w:t>
            </w:r>
          </w:p>
        </w:tc>
        <w:tc>
          <w:tcPr>
            <w:tcW w:w="4922"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Location where item is reported </w:t>
            </w:r>
          </w:p>
        </w:tc>
      </w:tr>
      <w:tr w14:paraId="693A08DF">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spacing w:line="240" w:lineRule="auto"/>
              <w:rPr>
                <w:rFonts w:hint="default" w:ascii="Times New Roman Regular" w:hAnsi="Times New Roman Regular" w:cs="Times New Roman Regular"/>
                <w:lang w:val="en-US" w:eastAsia="zh-CN"/>
              </w:rPr>
            </w:pPr>
          </w:p>
        </w:tc>
      </w:tr>
      <w:tr w14:paraId="389042E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w:t>
            </w:r>
          </w:p>
        </w:tc>
        <w:tc>
          <w:tcPr>
            <w:tcW w:w="4922" w:type="dxa"/>
            <w:tcBorders>
              <w:top w:val="single" w:color="000000" w:sz="4" w:space="0"/>
              <w:left w:val="single" w:color="000000" w:sz="4" w:space="0"/>
              <w:bottom w:val="double" w:color="000000" w:sz="4" w:space="0"/>
              <w:right w:val="single" w:color="000000" w:sz="4" w:space="0"/>
            </w:tcBorders>
          </w:tcPr>
          <w:p w14:paraId="6E5E223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w:t>
            </w:r>
          </w:p>
        </w:tc>
      </w:tr>
      <w:tr w14:paraId="341419BF">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spacing w:line="240" w:lineRule="auto"/>
              <w:rPr>
                <w:rFonts w:hint="default" w:ascii="Times New Roman Regular" w:hAnsi="Times New Roman Regular" w:cs="Times New Roman Regular"/>
                <w:lang w:val="en-US" w:eastAsia="zh-CN"/>
              </w:rPr>
            </w:pPr>
          </w:p>
        </w:tc>
      </w:tr>
      <w:tr w14:paraId="62930444">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w:t>
            </w:r>
          </w:p>
        </w:tc>
        <w:tc>
          <w:tcPr>
            <w:tcW w:w="4922" w:type="dxa"/>
            <w:tcBorders>
              <w:top w:val="single" w:color="000000" w:sz="4" w:space="0"/>
              <w:left w:val="single" w:color="000000" w:sz="4" w:space="0"/>
              <w:bottom w:val="double" w:color="000000" w:sz="4" w:space="0"/>
              <w:right w:val="single" w:color="000000" w:sz="4" w:space="0"/>
            </w:tcBorders>
          </w:tcPr>
          <w:p w14:paraId="5712AD6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P4</w:t>
            </w:r>
          </w:p>
        </w:tc>
      </w:tr>
      <w:tr w14:paraId="51385559">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spacing w:line="240" w:lineRule="auto"/>
              <w:rPr>
                <w:rFonts w:hint="default" w:ascii="Times New Roman Regular" w:hAnsi="Times New Roman Regular" w:cs="Times New Roman Regular"/>
                <w:lang w:val="en-US" w:eastAsia="zh-CN"/>
              </w:rPr>
            </w:pPr>
          </w:p>
        </w:tc>
      </w:tr>
      <w:tr w14:paraId="1613F84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3</w:t>
            </w:r>
          </w:p>
        </w:tc>
        <w:tc>
          <w:tcPr>
            <w:tcW w:w="4922" w:type="dxa"/>
            <w:tcBorders>
              <w:top w:val="single" w:color="000000" w:sz="4" w:space="0"/>
              <w:left w:val="single" w:color="000000" w:sz="4" w:space="0"/>
              <w:bottom w:val="single" w:color="000000" w:sz="4" w:space="0"/>
              <w:right w:val="single" w:color="000000" w:sz="4" w:space="0"/>
            </w:tcBorders>
          </w:tcPr>
          <w:p w14:paraId="6ADA125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P7-8</w:t>
            </w:r>
          </w:p>
        </w:tc>
      </w:tr>
      <w:tr w14:paraId="126BB502">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4</w:t>
            </w:r>
          </w:p>
        </w:tc>
        <w:tc>
          <w:tcPr>
            <w:tcW w:w="4922" w:type="dxa"/>
            <w:tcBorders>
              <w:top w:val="single" w:color="000000" w:sz="4" w:space="0"/>
              <w:left w:val="single" w:color="000000" w:sz="4" w:space="0"/>
              <w:bottom w:val="double" w:color="000000" w:sz="4" w:space="0"/>
              <w:right w:val="single" w:color="000000" w:sz="4" w:space="0"/>
            </w:tcBorders>
          </w:tcPr>
          <w:p w14:paraId="34103CE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P9</w:t>
            </w:r>
          </w:p>
        </w:tc>
      </w:tr>
      <w:tr w14:paraId="324F24F7">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spacing w:line="240" w:lineRule="auto"/>
              <w:rPr>
                <w:rFonts w:hint="default" w:ascii="Times New Roman Regular" w:hAnsi="Times New Roman Regular" w:cs="Times New Roman Regular"/>
                <w:lang w:val="en-US" w:eastAsia="zh-CN"/>
              </w:rPr>
            </w:pPr>
          </w:p>
        </w:tc>
      </w:tr>
      <w:tr w14:paraId="0A3C979C">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5</w:t>
            </w:r>
          </w:p>
        </w:tc>
        <w:tc>
          <w:tcPr>
            <w:tcW w:w="4922" w:type="dxa"/>
            <w:tcBorders>
              <w:top w:val="single" w:color="000000" w:sz="4" w:space="0"/>
              <w:left w:val="single" w:color="000000" w:sz="4" w:space="0"/>
              <w:bottom w:val="single" w:color="000000" w:sz="4" w:space="0"/>
              <w:right w:val="single" w:color="000000" w:sz="4" w:space="0"/>
            </w:tcBorders>
          </w:tcPr>
          <w:p w14:paraId="044876D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P10</w:t>
            </w:r>
          </w:p>
        </w:tc>
      </w:tr>
      <w:tr w14:paraId="16FE4FE0">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6</w:t>
            </w:r>
          </w:p>
        </w:tc>
        <w:tc>
          <w:tcPr>
            <w:tcW w:w="4922" w:type="dxa"/>
            <w:tcBorders>
              <w:top w:val="single" w:color="000000" w:sz="4" w:space="0"/>
              <w:left w:val="single" w:color="000000" w:sz="4" w:space="0"/>
              <w:bottom w:val="single" w:color="000000" w:sz="4" w:space="0"/>
              <w:right w:val="single" w:color="000000" w:sz="4" w:space="0"/>
            </w:tcBorders>
          </w:tcPr>
          <w:p w14:paraId="57B9F4B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P10</w:t>
            </w:r>
          </w:p>
        </w:tc>
      </w:tr>
      <w:tr w14:paraId="442A4EF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7</w:t>
            </w:r>
          </w:p>
        </w:tc>
        <w:tc>
          <w:tcPr>
            <w:tcW w:w="4922" w:type="dxa"/>
            <w:tcBorders>
              <w:top w:val="single" w:color="000000" w:sz="4" w:space="0"/>
              <w:left w:val="single" w:color="000000" w:sz="4" w:space="0"/>
              <w:bottom w:val="single" w:color="000000" w:sz="4" w:space="0"/>
              <w:right w:val="single" w:color="000000" w:sz="4" w:space="0"/>
            </w:tcBorders>
          </w:tcPr>
          <w:p w14:paraId="21DED44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P11, TableS2-S5</w:t>
            </w:r>
          </w:p>
        </w:tc>
      </w:tr>
      <w:tr w14:paraId="1CB7C6B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8</w:t>
            </w:r>
          </w:p>
        </w:tc>
        <w:tc>
          <w:tcPr>
            <w:tcW w:w="4922" w:type="dxa"/>
            <w:tcBorders>
              <w:top w:val="single" w:color="000000" w:sz="4" w:space="0"/>
              <w:left w:val="single" w:color="000000" w:sz="4" w:space="0"/>
              <w:bottom w:val="single" w:color="000000" w:sz="4" w:space="0"/>
              <w:right w:val="single" w:color="000000" w:sz="4" w:space="0"/>
            </w:tcBorders>
          </w:tcPr>
          <w:p w14:paraId="3410B90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Figure S1</w:t>
            </w:r>
          </w:p>
        </w:tc>
      </w:tr>
      <w:tr w14:paraId="28607B6E">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9</w:t>
            </w:r>
          </w:p>
        </w:tc>
        <w:tc>
          <w:tcPr>
            <w:tcW w:w="4922" w:type="dxa"/>
            <w:tcBorders>
              <w:top w:val="single" w:color="000000" w:sz="4" w:space="0"/>
              <w:left w:val="single" w:color="000000" w:sz="4" w:space="0"/>
              <w:bottom w:val="single" w:color="000000" w:sz="4" w:space="0"/>
              <w:right w:val="single" w:color="000000" w:sz="4" w:space="0"/>
            </w:tcBorders>
          </w:tcPr>
          <w:p w14:paraId="55FB2B2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P12</w:t>
            </w:r>
          </w:p>
        </w:tc>
      </w:tr>
      <w:tr w14:paraId="4DC352A3">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10a</w:t>
            </w:r>
          </w:p>
        </w:tc>
        <w:tc>
          <w:tcPr>
            <w:tcW w:w="4922" w:type="dxa"/>
            <w:tcBorders>
              <w:top w:val="single" w:color="000000" w:sz="4" w:space="0"/>
              <w:left w:val="single" w:color="000000" w:sz="4" w:space="0"/>
              <w:bottom w:val="single" w:color="000000" w:sz="4" w:space="0"/>
              <w:right w:val="single" w:color="000000" w:sz="4" w:space="0"/>
            </w:tcBorders>
          </w:tcPr>
          <w:p w14:paraId="6A77D27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TableS7,8</w:t>
            </w:r>
          </w:p>
        </w:tc>
      </w:tr>
      <w:tr w14:paraId="35FABA56">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10b</w:t>
            </w:r>
          </w:p>
        </w:tc>
        <w:tc>
          <w:tcPr>
            <w:tcW w:w="4922" w:type="dxa"/>
            <w:tcBorders>
              <w:top w:val="single" w:color="000000" w:sz="4" w:space="0"/>
              <w:left w:val="single" w:color="000000" w:sz="4" w:space="0"/>
              <w:bottom w:val="single" w:color="000000" w:sz="4" w:space="0"/>
              <w:right w:val="single" w:color="000000" w:sz="4" w:space="0"/>
            </w:tcBorders>
          </w:tcPr>
          <w:p w14:paraId="101A3B3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Table1</w:t>
            </w:r>
          </w:p>
        </w:tc>
      </w:tr>
      <w:tr w14:paraId="0276A1D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11</w:t>
            </w:r>
          </w:p>
        </w:tc>
        <w:tc>
          <w:tcPr>
            <w:tcW w:w="4922" w:type="dxa"/>
            <w:tcBorders>
              <w:top w:val="single" w:color="000000" w:sz="4" w:space="0"/>
              <w:left w:val="single" w:color="000000" w:sz="4" w:space="0"/>
              <w:bottom w:val="single" w:color="000000" w:sz="4" w:space="0"/>
              <w:right w:val="single" w:color="000000" w:sz="4" w:space="0"/>
            </w:tcBorders>
          </w:tcPr>
          <w:p w14:paraId="5C7277A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P13</w:t>
            </w:r>
          </w:p>
        </w:tc>
      </w:tr>
      <w:tr w14:paraId="578BE62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12</w:t>
            </w:r>
          </w:p>
        </w:tc>
        <w:tc>
          <w:tcPr>
            <w:tcW w:w="4922" w:type="dxa"/>
            <w:tcBorders>
              <w:top w:val="single" w:color="000000" w:sz="4" w:space="0"/>
              <w:left w:val="single" w:color="000000" w:sz="4" w:space="0"/>
              <w:bottom w:val="single" w:color="000000" w:sz="4" w:space="0"/>
              <w:right w:val="single" w:color="000000" w:sz="4" w:space="0"/>
            </w:tcBorders>
          </w:tcPr>
          <w:p w14:paraId="014B552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Figure3, TableS8</w:t>
            </w:r>
          </w:p>
        </w:tc>
      </w:tr>
      <w:tr w14:paraId="3AC3457E">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13a</w:t>
            </w:r>
          </w:p>
        </w:tc>
        <w:tc>
          <w:tcPr>
            <w:tcW w:w="4922" w:type="dxa"/>
            <w:tcBorders>
              <w:top w:val="single" w:color="000000" w:sz="4" w:space="0"/>
              <w:left w:val="single" w:color="000000" w:sz="4" w:space="0"/>
              <w:bottom w:val="single" w:color="000000" w:sz="4" w:space="0"/>
              <w:right w:val="single" w:color="000000" w:sz="4" w:space="0"/>
            </w:tcBorders>
          </w:tcPr>
          <w:p w14:paraId="1521797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P15</w:t>
            </w:r>
          </w:p>
        </w:tc>
      </w:tr>
      <w:tr w14:paraId="1778E3B8">
        <w:trPr>
          <w:trHeight w:val="48" w:hRule="atLeast"/>
        </w:trPr>
        <w:tc>
          <w:tcPr>
            <w:tcW w:w="1668" w:type="dxa"/>
            <w:vMerge w:val="continue"/>
            <w:tcBorders>
              <w:left w:val="single" w:color="000000" w:sz="4" w:space="0"/>
              <w:right w:val="single" w:color="000000" w:sz="4" w:space="0"/>
            </w:tcBorders>
          </w:tcPr>
          <w:p w14:paraId="23FF4436">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13b</w:t>
            </w:r>
          </w:p>
        </w:tc>
        <w:tc>
          <w:tcPr>
            <w:tcW w:w="4922" w:type="dxa"/>
            <w:tcBorders>
              <w:top w:val="single" w:color="000000" w:sz="4" w:space="0"/>
              <w:left w:val="single" w:color="000000" w:sz="4" w:space="0"/>
              <w:bottom w:val="single" w:color="000000" w:sz="4" w:space="0"/>
              <w:right w:val="single" w:color="000000" w:sz="4" w:space="0"/>
            </w:tcBorders>
          </w:tcPr>
          <w:p w14:paraId="009F1C8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P14-16</w:t>
            </w:r>
          </w:p>
        </w:tc>
      </w:tr>
      <w:tr w14:paraId="4FF6FFA4">
        <w:trPr>
          <w:trHeight w:val="48" w:hRule="atLeast"/>
        </w:trPr>
        <w:tc>
          <w:tcPr>
            <w:tcW w:w="1668" w:type="dxa"/>
            <w:vMerge w:val="continue"/>
            <w:tcBorders>
              <w:left w:val="single" w:color="000000" w:sz="4" w:space="0"/>
              <w:right w:val="single" w:color="000000" w:sz="4" w:space="0"/>
            </w:tcBorders>
          </w:tcPr>
          <w:p w14:paraId="0AC6B0CC">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13c</w:t>
            </w:r>
          </w:p>
        </w:tc>
        <w:tc>
          <w:tcPr>
            <w:tcW w:w="4922" w:type="dxa"/>
            <w:tcBorders>
              <w:top w:val="single" w:color="000000" w:sz="4" w:space="0"/>
              <w:left w:val="single" w:color="000000" w:sz="4" w:space="0"/>
              <w:bottom w:val="single" w:color="000000" w:sz="4" w:space="0"/>
              <w:right w:val="single" w:color="000000" w:sz="4" w:space="0"/>
            </w:tcBorders>
          </w:tcPr>
          <w:p w14:paraId="5C7C87F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P14-16</w:t>
            </w:r>
          </w:p>
        </w:tc>
      </w:tr>
      <w:tr w14:paraId="45A10003">
        <w:trPr>
          <w:trHeight w:val="48" w:hRule="atLeast"/>
        </w:trPr>
        <w:tc>
          <w:tcPr>
            <w:tcW w:w="1668" w:type="dxa"/>
            <w:vMerge w:val="continue"/>
            <w:tcBorders>
              <w:left w:val="single" w:color="000000" w:sz="4" w:space="0"/>
              <w:right w:val="single" w:color="000000" w:sz="4" w:space="0"/>
            </w:tcBorders>
          </w:tcPr>
          <w:p w14:paraId="78DE9F90">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13d</w:t>
            </w:r>
          </w:p>
        </w:tc>
        <w:tc>
          <w:tcPr>
            <w:tcW w:w="4922" w:type="dxa"/>
            <w:tcBorders>
              <w:top w:val="single" w:color="000000" w:sz="4" w:space="0"/>
              <w:left w:val="single" w:color="000000" w:sz="4" w:space="0"/>
              <w:bottom w:val="single" w:color="000000" w:sz="4" w:space="0"/>
              <w:right w:val="single" w:color="000000" w:sz="4" w:space="0"/>
            </w:tcBorders>
          </w:tcPr>
          <w:p w14:paraId="788EDA7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P14-16</w:t>
            </w:r>
          </w:p>
        </w:tc>
      </w:tr>
      <w:tr w14:paraId="678F791C">
        <w:trPr>
          <w:trHeight w:val="48" w:hRule="atLeast"/>
        </w:trPr>
        <w:tc>
          <w:tcPr>
            <w:tcW w:w="1668" w:type="dxa"/>
            <w:vMerge w:val="continue"/>
            <w:tcBorders>
              <w:left w:val="single" w:color="000000" w:sz="4" w:space="0"/>
              <w:right w:val="single" w:color="000000" w:sz="4" w:space="0"/>
            </w:tcBorders>
          </w:tcPr>
          <w:p w14:paraId="61CA026E">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13e</w:t>
            </w:r>
          </w:p>
        </w:tc>
        <w:tc>
          <w:tcPr>
            <w:tcW w:w="4922" w:type="dxa"/>
            <w:tcBorders>
              <w:top w:val="single" w:color="000000" w:sz="4" w:space="0"/>
              <w:left w:val="single" w:color="000000" w:sz="4" w:space="0"/>
              <w:bottom w:val="single" w:color="000000" w:sz="4" w:space="0"/>
              <w:right w:val="single" w:color="000000" w:sz="4" w:space="0"/>
            </w:tcBorders>
          </w:tcPr>
          <w:p w14:paraId="39C60EC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P14-16</w:t>
            </w:r>
          </w:p>
        </w:tc>
      </w:tr>
      <w:tr w14:paraId="0EF9DC20">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13f</w:t>
            </w:r>
          </w:p>
        </w:tc>
        <w:tc>
          <w:tcPr>
            <w:tcW w:w="4922" w:type="dxa"/>
            <w:tcBorders>
              <w:top w:val="single" w:color="000000" w:sz="4" w:space="0"/>
              <w:left w:val="single" w:color="000000" w:sz="4" w:space="0"/>
              <w:bottom w:val="single" w:color="000000" w:sz="4" w:space="0"/>
              <w:right w:val="single" w:color="000000" w:sz="4" w:space="0"/>
            </w:tcBorders>
          </w:tcPr>
          <w:p w14:paraId="32B204F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56821A26">
            <w:pPr>
              <w:pStyle w:val="7"/>
              <w:spacing w:line="240" w:lineRule="auto"/>
              <w:rPr>
                <w:rFonts w:hint="default"/>
                <w:lang w:val="en-US" w:eastAsia="zh-CN"/>
              </w:rPr>
            </w:pPr>
            <w:r>
              <w:rPr>
                <w:rFonts w:hint="default" w:ascii="Times New Roman Regular" w:hAnsi="Times New Roman Regular" w:cs="Times New Roman Regular"/>
                <w:lang w:val="en-US" w:eastAsia="zh-CN"/>
              </w:rPr>
              <w:t>-</w:t>
            </w:r>
          </w:p>
        </w:tc>
      </w:tr>
      <w:tr w14:paraId="2C372E04">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14</w:t>
            </w:r>
          </w:p>
        </w:tc>
        <w:tc>
          <w:tcPr>
            <w:tcW w:w="4922" w:type="dxa"/>
            <w:tcBorders>
              <w:top w:val="single" w:color="000000" w:sz="4" w:space="0"/>
              <w:left w:val="single" w:color="000000" w:sz="4" w:space="0"/>
              <w:bottom w:val="single" w:color="000000" w:sz="4" w:space="0"/>
              <w:right w:val="single" w:color="000000" w:sz="4" w:space="0"/>
            </w:tcBorders>
          </w:tcPr>
          <w:p w14:paraId="6353979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w:t>
            </w:r>
          </w:p>
        </w:tc>
      </w:tr>
      <w:tr w14:paraId="56CA3C3F">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15</w:t>
            </w:r>
          </w:p>
        </w:tc>
        <w:tc>
          <w:tcPr>
            <w:tcW w:w="4922" w:type="dxa"/>
            <w:tcBorders>
              <w:top w:val="single" w:color="000000" w:sz="4" w:space="0"/>
              <w:left w:val="single" w:color="000000" w:sz="4" w:space="0"/>
              <w:bottom w:val="single" w:color="000000" w:sz="4" w:space="0"/>
              <w:right w:val="single" w:color="000000" w:sz="4" w:space="0"/>
            </w:tcBorders>
          </w:tcPr>
          <w:p w14:paraId="1861BBF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w:t>
            </w:r>
          </w:p>
        </w:tc>
      </w:tr>
      <w:tr w14:paraId="1ABEFF8A">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spacing w:line="240" w:lineRule="auto"/>
              <w:rPr>
                <w:rFonts w:hint="default" w:ascii="Times New Roman Regular" w:hAnsi="Times New Roman Regular" w:cs="Times New Roman Regular"/>
                <w:lang w:val="en-US" w:eastAsia="zh-CN"/>
              </w:rPr>
            </w:pPr>
          </w:p>
        </w:tc>
      </w:tr>
      <w:tr w14:paraId="783BADEB">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16a</w:t>
            </w:r>
          </w:p>
        </w:tc>
        <w:tc>
          <w:tcPr>
            <w:tcW w:w="4922" w:type="dxa"/>
            <w:tcBorders>
              <w:top w:val="single" w:color="000000" w:sz="4" w:space="0"/>
              <w:left w:val="single" w:color="000000" w:sz="4" w:space="0"/>
              <w:bottom w:val="single" w:color="000000" w:sz="4" w:space="0"/>
              <w:right w:val="single" w:color="000000" w:sz="4" w:space="0"/>
            </w:tcBorders>
          </w:tcPr>
          <w:p w14:paraId="465FDF7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P17</w:t>
            </w:r>
          </w:p>
        </w:tc>
      </w:tr>
      <w:tr w14:paraId="1BA22A88">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16b</w:t>
            </w:r>
          </w:p>
        </w:tc>
        <w:tc>
          <w:tcPr>
            <w:tcW w:w="4922" w:type="dxa"/>
            <w:tcBorders>
              <w:top w:val="single" w:color="000000" w:sz="4" w:space="0"/>
              <w:left w:val="single" w:color="000000" w:sz="4" w:space="0"/>
              <w:bottom w:val="single" w:color="000000" w:sz="4" w:space="0"/>
              <w:right w:val="single" w:color="000000" w:sz="4" w:space="0"/>
            </w:tcBorders>
          </w:tcPr>
          <w:p w14:paraId="7C33FBE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TableS6</w:t>
            </w:r>
          </w:p>
        </w:tc>
      </w:tr>
      <w:tr w14:paraId="5BCDF56D">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17</w:t>
            </w:r>
          </w:p>
        </w:tc>
        <w:tc>
          <w:tcPr>
            <w:tcW w:w="4922" w:type="dxa"/>
            <w:tcBorders>
              <w:top w:val="single" w:color="000000" w:sz="4" w:space="0"/>
              <w:left w:val="single" w:color="000000" w:sz="4" w:space="0"/>
              <w:bottom w:val="single" w:color="000000" w:sz="4" w:space="0"/>
              <w:right w:val="single" w:color="000000" w:sz="4" w:space="0"/>
            </w:tcBorders>
          </w:tcPr>
          <w:p w14:paraId="07DC5B5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P17-18</w:t>
            </w:r>
          </w:p>
        </w:tc>
      </w:tr>
      <w:tr w14:paraId="79DAC67A">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18</w:t>
            </w:r>
          </w:p>
        </w:tc>
        <w:tc>
          <w:tcPr>
            <w:tcW w:w="4922" w:type="dxa"/>
            <w:tcBorders>
              <w:top w:val="single" w:color="000000" w:sz="4" w:space="0"/>
              <w:left w:val="single" w:color="000000" w:sz="4" w:space="0"/>
              <w:bottom w:val="single" w:color="000000" w:sz="4" w:space="0"/>
              <w:right w:val="single" w:color="000000" w:sz="4" w:space="0"/>
            </w:tcBorders>
          </w:tcPr>
          <w:p w14:paraId="2E1F0F3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P21-22</w:t>
            </w:r>
          </w:p>
        </w:tc>
      </w:tr>
      <w:tr w14:paraId="3D378A4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19</w:t>
            </w:r>
          </w:p>
        </w:tc>
        <w:tc>
          <w:tcPr>
            <w:tcW w:w="4922" w:type="dxa"/>
            <w:tcBorders>
              <w:top w:val="single" w:color="000000" w:sz="4" w:space="0"/>
              <w:left w:val="single" w:color="000000" w:sz="4" w:space="0"/>
              <w:bottom w:val="single" w:color="000000" w:sz="4" w:space="0"/>
              <w:right w:val="single" w:color="000000" w:sz="4" w:space="0"/>
            </w:tcBorders>
          </w:tcPr>
          <w:p w14:paraId="77D5105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P18-P20</w:t>
            </w:r>
          </w:p>
        </w:tc>
      </w:tr>
      <w:tr w14:paraId="58431A59">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20a</w:t>
            </w:r>
          </w:p>
        </w:tc>
        <w:tc>
          <w:tcPr>
            <w:tcW w:w="4922" w:type="dxa"/>
            <w:tcBorders>
              <w:top w:val="single" w:color="000000" w:sz="4" w:space="0"/>
              <w:left w:val="single" w:color="000000" w:sz="4" w:space="0"/>
              <w:bottom w:val="single" w:color="000000" w:sz="4" w:space="0"/>
              <w:right w:val="single" w:color="000000" w:sz="4" w:space="0"/>
            </w:tcBorders>
          </w:tcPr>
          <w:p w14:paraId="0E91347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P21-22</w:t>
            </w:r>
          </w:p>
        </w:tc>
      </w:tr>
      <w:tr w14:paraId="29B5C9A7">
        <w:trPr>
          <w:trHeight w:val="203" w:hRule="atLeast"/>
        </w:trPr>
        <w:tc>
          <w:tcPr>
            <w:tcW w:w="1668" w:type="dxa"/>
            <w:vMerge w:val="continue"/>
            <w:tcBorders>
              <w:left w:val="single" w:color="000000" w:sz="4" w:space="0"/>
              <w:right w:val="single" w:color="000000" w:sz="4" w:space="0"/>
            </w:tcBorders>
          </w:tcPr>
          <w:p w14:paraId="4760E726">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20b</w:t>
            </w:r>
          </w:p>
        </w:tc>
        <w:tc>
          <w:tcPr>
            <w:tcW w:w="4922" w:type="dxa"/>
            <w:tcBorders>
              <w:top w:val="single" w:color="000000" w:sz="4" w:space="0"/>
              <w:left w:val="single" w:color="000000" w:sz="4" w:space="0"/>
              <w:bottom w:val="single" w:color="000000" w:sz="4" w:space="0"/>
              <w:right w:val="single" w:color="000000" w:sz="4" w:space="0"/>
            </w:tcBorders>
          </w:tcPr>
          <w:p w14:paraId="214F5C2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P20-21</w:t>
            </w:r>
          </w:p>
        </w:tc>
      </w:tr>
      <w:tr w14:paraId="4D409E67">
        <w:trPr>
          <w:trHeight w:val="48" w:hRule="atLeast"/>
        </w:trPr>
        <w:tc>
          <w:tcPr>
            <w:tcW w:w="1668" w:type="dxa"/>
            <w:vMerge w:val="continue"/>
            <w:tcBorders>
              <w:left w:val="single" w:color="000000" w:sz="4" w:space="0"/>
              <w:right w:val="single" w:color="000000" w:sz="4" w:space="0"/>
            </w:tcBorders>
          </w:tcPr>
          <w:p w14:paraId="1B863B38">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20c</w:t>
            </w:r>
          </w:p>
        </w:tc>
        <w:tc>
          <w:tcPr>
            <w:tcW w:w="4922" w:type="dxa"/>
            <w:tcBorders>
              <w:top w:val="single" w:color="000000" w:sz="4" w:space="0"/>
              <w:left w:val="single" w:color="000000" w:sz="4" w:space="0"/>
              <w:bottom w:val="single" w:color="000000" w:sz="4" w:space="0"/>
              <w:right w:val="single" w:color="000000" w:sz="4" w:space="0"/>
            </w:tcBorders>
          </w:tcPr>
          <w:p w14:paraId="52AB047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P20-21</w:t>
            </w:r>
          </w:p>
        </w:tc>
      </w:tr>
      <w:tr w14:paraId="71188ED2">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20d</w:t>
            </w:r>
          </w:p>
        </w:tc>
        <w:tc>
          <w:tcPr>
            <w:tcW w:w="4922" w:type="dxa"/>
            <w:tcBorders>
              <w:top w:val="single" w:color="000000" w:sz="4" w:space="0"/>
              <w:left w:val="single" w:color="000000" w:sz="4" w:space="0"/>
              <w:bottom w:val="single" w:color="000000" w:sz="4" w:space="0"/>
              <w:right w:val="single" w:color="000000" w:sz="4" w:space="0"/>
            </w:tcBorders>
          </w:tcPr>
          <w:p w14:paraId="45824D6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P20-21</w:t>
            </w:r>
          </w:p>
        </w:tc>
      </w:tr>
      <w:tr w14:paraId="24A249B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21</w:t>
            </w:r>
          </w:p>
        </w:tc>
        <w:tc>
          <w:tcPr>
            <w:tcW w:w="4922" w:type="dxa"/>
            <w:tcBorders>
              <w:top w:val="single" w:color="000000" w:sz="4" w:space="0"/>
              <w:left w:val="single" w:color="000000" w:sz="4" w:space="0"/>
              <w:bottom w:val="single" w:color="000000" w:sz="4" w:space="0"/>
              <w:right w:val="single" w:color="000000" w:sz="4" w:space="0"/>
            </w:tcBorders>
          </w:tcPr>
          <w:p w14:paraId="5A87793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w:t>
            </w:r>
          </w:p>
        </w:tc>
      </w:tr>
      <w:tr w14:paraId="0FF31967">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22</w:t>
            </w:r>
          </w:p>
        </w:tc>
        <w:tc>
          <w:tcPr>
            <w:tcW w:w="4922" w:type="dxa"/>
            <w:tcBorders>
              <w:top w:val="single" w:color="000000" w:sz="4" w:space="0"/>
              <w:left w:val="single" w:color="000000" w:sz="4" w:space="0"/>
              <w:bottom w:val="single" w:color="000000" w:sz="4" w:space="0"/>
              <w:right w:val="single" w:color="000000" w:sz="4" w:space="0"/>
            </w:tcBorders>
          </w:tcPr>
          <w:p w14:paraId="31892DC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w:t>
            </w:r>
          </w:p>
        </w:tc>
      </w:tr>
      <w:tr w14:paraId="6CE3625C">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spacing w:line="240" w:lineRule="auto"/>
              <w:rPr>
                <w:rFonts w:hint="default" w:ascii="Times New Roman Regular" w:hAnsi="Times New Roman Regular" w:cs="Times New Roman Regular"/>
                <w:lang w:val="en-US" w:eastAsia="zh-CN"/>
              </w:rPr>
            </w:pPr>
          </w:p>
        </w:tc>
      </w:tr>
      <w:tr w14:paraId="44C0D626">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23a</w:t>
            </w:r>
          </w:p>
        </w:tc>
        <w:tc>
          <w:tcPr>
            <w:tcW w:w="4922" w:type="dxa"/>
            <w:tcBorders>
              <w:top w:val="single" w:color="000000" w:sz="4" w:space="0"/>
              <w:left w:val="single" w:color="000000" w:sz="4" w:space="0"/>
              <w:bottom w:val="single" w:color="000000" w:sz="4" w:space="0"/>
              <w:right w:val="single" w:color="000000" w:sz="4" w:space="0"/>
            </w:tcBorders>
          </w:tcPr>
          <w:p w14:paraId="3180C0B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P22</w:t>
            </w:r>
          </w:p>
        </w:tc>
      </w:tr>
      <w:tr w14:paraId="0A24CE29">
        <w:trPr>
          <w:trHeight w:val="48" w:hRule="atLeast"/>
        </w:trPr>
        <w:tc>
          <w:tcPr>
            <w:tcW w:w="1668" w:type="dxa"/>
            <w:vMerge w:val="continue"/>
            <w:tcBorders>
              <w:left w:val="single" w:color="000000" w:sz="4" w:space="0"/>
              <w:right w:val="single" w:color="000000" w:sz="4" w:space="0"/>
            </w:tcBorders>
          </w:tcPr>
          <w:p w14:paraId="34E4593B">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23b</w:t>
            </w:r>
          </w:p>
        </w:tc>
        <w:tc>
          <w:tcPr>
            <w:tcW w:w="4922" w:type="dxa"/>
            <w:tcBorders>
              <w:top w:val="single" w:color="000000" w:sz="4" w:space="0"/>
              <w:left w:val="single" w:color="000000" w:sz="4" w:space="0"/>
              <w:bottom w:val="single" w:color="000000" w:sz="4" w:space="0"/>
              <w:right w:val="single" w:color="000000" w:sz="4" w:space="0"/>
            </w:tcBorders>
          </w:tcPr>
          <w:p w14:paraId="2BC239A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P23</w:t>
            </w:r>
          </w:p>
        </w:tc>
      </w:tr>
      <w:tr w14:paraId="1CBB3F4F">
        <w:trPr>
          <w:trHeight w:val="48" w:hRule="atLeast"/>
        </w:trPr>
        <w:tc>
          <w:tcPr>
            <w:tcW w:w="1668" w:type="dxa"/>
            <w:vMerge w:val="continue"/>
            <w:tcBorders>
              <w:left w:val="single" w:color="000000" w:sz="4" w:space="0"/>
              <w:right w:val="single" w:color="000000" w:sz="4" w:space="0"/>
            </w:tcBorders>
          </w:tcPr>
          <w:p w14:paraId="3276A062">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23c</w:t>
            </w:r>
          </w:p>
        </w:tc>
        <w:tc>
          <w:tcPr>
            <w:tcW w:w="4922" w:type="dxa"/>
            <w:tcBorders>
              <w:top w:val="single" w:color="000000" w:sz="4" w:space="0"/>
              <w:left w:val="single" w:color="000000" w:sz="4" w:space="0"/>
              <w:bottom w:val="single" w:color="000000" w:sz="4" w:space="0"/>
              <w:right w:val="single" w:color="000000" w:sz="4" w:space="0"/>
            </w:tcBorders>
          </w:tcPr>
          <w:p w14:paraId="1ADE069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P27</w:t>
            </w:r>
          </w:p>
        </w:tc>
      </w:tr>
      <w:tr w14:paraId="52BD6520">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line="240" w:lineRule="auto"/>
              <w:rPr>
                <w:rFonts w:hint="default" w:ascii="Times New Roman Regular" w:hAnsi="Times New Roman Regular" w:cs="Times New Roman Regular"/>
                <w:lang w:val="en-US" w:eastAsia="zh-CN"/>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23d</w:t>
            </w:r>
          </w:p>
        </w:tc>
        <w:tc>
          <w:tcPr>
            <w:tcW w:w="4922" w:type="dxa"/>
            <w:tcBorders>
              <w:top w:val="single" w:color="000000" w:sz="4" w:space="0"/>
              <w:left w:val="single" w:color="auto" w:sz="4" w:space="0"/>
              <w:bottom w:val="double" w:color="000000" w:sz="4" w:space="0"/>
              <w:right w:val="single" w:color="000000" w:sz="4" w:space="0"/>
            </w:tcBorders>
          </w:tcPr>
          <w:p w14:paraId="5FA0A2F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P23-25</w:t>
            </w:r>
          </w:p>
        </w:tc>
      </w:tr>
      <w:tr w14:paraId="51341A5A">
        <w:trPr>
          <w:trHeight w:val="24" w:hRule="atLeast"/>
        </w:trPr>
        <w:tc>
          <w:tcPr>
            <w:tcW w:w="717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spacing w:line="240" w:lineRule="auto"/>
              <w:rPr>
                <w:rFonts w:hint="default" w:ascii="Times New Roman Regular" w:hAnsi="Times New Roman Regular" w:cs="Times New Roman Regular"/>
                <w:lang w:val="en-US" w:eastAsia="zh-CN"/>
              </w:rPr>
            </w:pPr>
          </w:p>
        </w:tc>
      </w:tr>
      <w:tr w14:paraId="5CF94E2D">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24a</w:t>
            </w:r>
          </w:p>
        </w:tc>
        <w:tc>
          <w:tcPr>
            <w:tcW w:w="4922" w:type="dxa"/>
            <w:tcBorders>
              <w:top w:val="single" w:color="000000" w:sz="4" w:space="0"/>
              <w:left w:val="single" w:color="000000" w:sz="4" w:space="0"/>
              <w:bottom w:val="single" w:color="000000" w:sz="4" w:space="0"/>
              <w:right w:val="single" w:color="000000" w:sz="4" w:space="0"/>
            </w:tcBorders>
          </w:tcPr>
          <w:p w14:paraId="16AABB8D">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P10</w:t>
            </w:r>
          </w:p>
        </w:tc>
      </w:tr>
      <w:tr w14:paraId="4C3E51C1">
        <w:trPr>
          <w:trHeight w:val="57" w:hRule="atLeast"/>
        </w:trPr>
        <w:tc>
          <w:tcPr>
            <w:tcW w:w="1668" w:type="dxa"/>
            <w:vMerge w:val="continue"/>
            <w:tcBorders>
              <w:left w:val="single" w:color="000000" w:sz="4" w:space="0"/>
              <w:right w:val="single" w:color="000000" w:sz="4" w:space="0"/>
            </w:tcBorders>
          </w:tcPr>
          <w:p w14:paraId="038F19BF">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24b</w:t>
            </w:r>
          </w:p>
        </w:tc>
        <w:tc>
          <w:tcPr>
            <w:tcW w:w="4922" w:type="dxa"/>
            <w:tcBorders>
              <w:top w:val="single" w:color="000000" w:sz="4" w:space="0"/>
              <w:left w:val="single" w:color="000000" w:sz="4" w:space="0"/>
              <w:bottom w:val="single" w:color="000000" w:sz="4" w:space="0"/>
              <w:right w:val="single" w:color="000000" w:sz="4" w:space="0"/>
            </w:tcBorders>
          </w:tcPr>
          <w:p w14:paraId="30E4D53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P10</w:t>
            </w:r>
          </w:p>
        </w:tc>
      </w:tr>
      <w:tr w14:paraId="131EC413">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line="240" w:lineRule="auto"/>
              <w:rPr>
                <w:rFonts w:hint="default" w:ascii="Times New Roman Regular" w:hAnsi="Times New Roman Regular" w:cs="Times New Roman Regular"/>
                <w:lang w:val="en-US" w:eastAsia="zh-CN"/>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24c</w:t>
            </w:r>
          </w:p>
        </w:tc>
        <w:tc>
          <w:tcPr>
            <w:tcW w:w="4922" w:type="dxa"/>
            <w:tcBorders>
              <w:top w:val="single" w:color="000000" w:sz="4" w:space="0"/>
              <w:left w:val="single" w:color="000000" w:sz="4" w:space="0"/>
              <w:bottom w:val="single" w:color="000000" w:sz="4" w:space="0"/>
              <w:right w:val="single" w:color="000000" w:sz="4" w:space="0"/>
            </w:tcBorders>
          </w:tcPr>
          <w:p w14:paraId="0EA5EF40">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w:t>
            </w:r>
          </w:p>
        </w:tc>
      </w:tr>
      <w:tr w14:paraId="10B09DA9">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25</w:t>
            </w:r>
          </w:p>
        </w:tc>
        <w:tc>
          <w:tcPr>
            <w:tcW w:w="4922" w:type="dxa"/>
            <w:tcBorders>
              <w:top w:val="single" w:color="000000" w:sz="4" w:space="0"/>
              <w:left w:val="single" w:color="000000" w:sz="4" w:space="0"/>
              <w:bottom w:val="single" w:color="000000" w:sz="4" w:space="0"/>
              <w:right w:val="single" w:color="000000" w:sz="4" w:space="0"/>
            </w:tcBorders>
          </w:tcPr>
          <w:p w14:paraId="3D202DC4">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P29</w:t>
            </w:r>
          </w:p>
        </w:tc>
      </w:tr>
      <w:tr w14:paraId="30333012">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26</w:t>
            </w:r>
          </w:p>
        </w:tc>
        <w:tc>
          <w:tcPr>
            <w:tcW w:w="4922" w:type="dxa"/>
            <w:tcBorders>
              <w:top w:val="single" w:color="000000" w:sz="4" w:space="0"/>
              <w:left w:val="single" w:color="000000" w:sz="4" w:space="0"/>
              <w:bottom w:val="single" w:color="000000" w:sz="4" w:space="0"/>
              <w:right w:val="single" w:color="000000" w:sz="4" w:space="0"/>
            </w:tcBorders>
          </w:tcPr>
          <w:p w14:paraId="6C50B7A3">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P29</w:t>
            </w:r>
          </w:p>
        </w:tc>
      </w:tr>
      <w:tr w14:paraId="7E1A8D23">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27</w:t>
            </w:r>
          </w:p>
        </w:tc>
        <w:tc>
          <w:tcPr>
            <w:tcW w:w="4922" w:type="dxa"/>
            <w:tcBorders>
              <w:top w:val="single" w:color="000000" w:sz="4" w:space="0"/>
              <w:left w:val="single" w:color="000000" w:sz="4" w:space="0"/>
              <w:bottom w:val="double" w:color="000000" w:sz="4" w:space="0"/>
              <w:right w:val="single" w:color="000000" w:sz="4" w:space="0"/>
            </w:tcBorders>
          </w:tcPr>
          <w:p w14:paraId="619249F8">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P29</w:t>
            </w:r>
          </w:p>
        </w:tc>
      </w:tr>
    </w:tbl>
    <w:p w14:paraId="57802FB1">
      <w:pPr>
        <w:pStyle w:val="7"/>
        <w:spacing w:line="360" w:lineRule="auto"/>
      </w:pPr>
      <w:r>
        <w:br w:type="page"/>
      </w:r>
    </w:p>
    <w:p w14:paraId="2B2D080F">
      <w:pPr>
        <w:pStyle w:val="4"/>
        <w:bidi w:val="0"/>
        <w:spacing w:line="360" w:lineRule="auto"/>
      </w:pPr>
      <w:bookmarkStart w:id="22" w:name="_Toc517376276"/>
      <w:r>
        <w:t>Table S</w:t>
      </w:r>
      <w:r>
        <w:fldChar w:fldCharType="begin"/>
      </w:r>
      <w:r>
        <w:instrText xml:space="preserve"> SEQ Table_S \* ARABIC </w:instrText>
      </w:r>
      <w:r>
        <w:fldChar w:fldCharType="separate"/>
      </w:r>
      <w:r>
        <w:t>2</w:t>
      </w:r>
      <w:r>
        <w:fldChar w:fldCharType="end"/>
      </w:r>
      <w:r>
        <w:t xml:space="preserve"> </w:t>
      </w:r>
      <w:r>
        <w:rPr>
          <w:rFonts w:hint="eastAsia"/>
        </w:rPr>
        <w:t>Search Strategy and Retrieval Results in CNKI Database (February 1, 2026)</w:t>
      </w:r>
      <w:bookmarkEnd w:id="17"/>
      <w:bookmarkEnd w:id="21"/>
      <w:bookmarkEnd w:id="22"/>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5"/>
        <w:gridCol w:w="6087"/>
        <w:gridCol w:w="1390"/>
      </w:tblGrid>
      <w:tr w14:paraId="5841B99C">
        <w:tc>
          <w:tcPr>
            <w:tcW w:w="916" w:type="dxa"/>
            <w:tcBorders>
              <w:top w:val="single" w:color="000000" w:sz="12" w:space="0"/>
              <w:left w:val="nil"/>
              <w:bottom w:val="single" w:color="000000" w:sz="4" w:space="0"/>
              <w:right w:val="nil"/>
              <w:tl2br w:val="nil"/>
            </w:tcBorders>
          </w:tcPr>
          <w:p w14:paraId="168FAA92">
            <w:pPr>
              <w:spacing w:line="240" w:lineRule="auto"/>
              <w:jc w:val="center"/>
              <w:rPr>
                <w:rFonts w:cs="Times New Roman"/>
                <w:b/>
                <w:bCs/>
                <w:color w:val="000000"/>
                <w:lang w:val="en-US"/>
              </w:rPr>
            </w:pPr>
            <w:r>
              <w:rPr>
                <w:rFonts w:hint="eastAsia" w:cs="Times New Roman"/>
                <w:b/>
                <w:bCs/>
                <w:color w:val="000000"/>
                <w:lang w:val="en-US"/>
              </w:rPr>
              <w:t>Database</w:t>
            </w:r>
          </w:p>
        </w:tc>
        <w:tc>
          <w:tcPr>
            <w:tcW w:w="6095" w:type="dxa"/>
            <w:tcBorders>
              <w:top w:val="single" w:color="000000" w:sz="12" w:space="0"/>
              <w:left w:val="nil"/>
              <w:bottom w:val="single" w:color="000000" w:sz="4" w:space="0"/>
              <w:right w:val="nil"/>
            </w:tcBorders>
          </w:tcPr>
          <w:p w14:paraId="489F5CD5">
            <w:pPr>
              <w:spacing w:line="240" w:lineRule="auto"/>
              <w:jc w:val="center"/>
              <w:rPr>
                <w:rFonts w:cs="Times New Roman"/>
                <w:b/>
                <w:bCs/>
                <w:color w:val="000000"/>
                <w:lang w:val="en-US"/>
              </w:rPr>
            </w:pPr>
            <w:r>
              <w:rPr>
                <w:rFonts w:hint="eastAsia" w:cs="Times New Roman"/>
                <w:b/>
                <w:bCs/>
                <w:color w:val="000000"/>
                <w:lang w:val="en-US"/>
              </w:rPr>
              <w:t>Search Query</w:t>
            </w:r>
          </w:p>
        </w:tc>
        <w:tc>
          <w:tcPr>
            <w:tcW w:w="1391" w:type="dxa"/>
            <w:tcBorders>
              <w:top w:val="single" w:color="000000" w:sz="12" w:space="0"/>
              <w:left w:val="nil"/>
              <w:bottom w:val="single" w:color="000000" w:sz="4" w:space="0"/>
              <w:right w:val="nil"/>
            </w:tcBorders>
          </w:tcPr>
          <w:p w14:paraId="09BC7285">
            <w:pPr>
              <w:spacing w:line="240" w:lineRule="auto"/>
              <w:jc w:val="center"/>
              <w:rPr>
                <w:rFonts w:cs="Times New Roman"/>
                <w:b/>
                <w:bCs/>
                <w:color w:val="000000"/>
                <w:lang w:val="en-US"/>
              </w:rPr>
            </w:pPr>
            <w:r>
              <w:rPr>
                <w:rFonts w:ascii="Times New Roman Regular" w:hAnsi="Times New Roman Regular" w:eastAsia="Kaiti SC Regular" w:cs="Times New Roman Regular"/>
                <w:b/>
                <w:bCs/>
                <w:sz w:val="18"/>
                <w:szCs w:val="18"/>
              </w:rPr>
              <w:t>Results</w:t>
            </w:r>
          </w:p>
        </w:tc>
      </w:tr>
      <w:tr w14:paraId="593E424B">
        <w:tc>
          <w:tcPr>
            <w:tcW w:w="916" w:type="dxa"/>
            <w:tcBorders>
              <w:top w:val="single" w:color="000000" w:sz="4" w:space="0"/>
              <w:left w:val="nil"/>
              <w:bottom w:val="single" w:color="000000" w:sz="12" w:space="0"/>
              <w:right w:val="nil"/>
            </w:tcBorders>
          </w:tcPr>
          <w:p w14:paraId="6AB57452">
            <w:pPr>
              <w:spacing w:line="240" w:lineRule="auto"/>
              <w:jc w:val="center"/>
              <w:rPr>
                <w:rFonts w:cs="Times New Roman"/>
                <w:color w:val="000000"/>
                <w:lang w:val="en-US"/>
              </w:rPr>
            </w:pPr>
            <w:r>
              <w:rPr>
                <w:rFonts w:cs="Times New Roman"/>
                <w:color w:val="000000"/>
                <w:lang w:val="en-US"/>
              </w:rPr>
              <w:t>CNKI</w:t>
            </w:r>
          </w:p>
        </w:tc>
        <w:tc>
          <w:tcPr>
            <w:tcW w:w="6095" w:type="dxa"/>
            <w:tcBorders>
              <w:top w:val="single" w:color="000000" w:sz="4" w:space="0"/>
              <w:left w:val="nil"/>
              <w:bottom w:val="single" w:color="000000" w:sz="12" w:space="0"/>
              <w:right w:val="nil"/>
            </w:tcBorders>
          </w:tcPr>
          <w:p w14:paraId="2FBE61AB">
            <w:pPr>
              <w:spacing w:line="240" w:lineRule="auto"/>
              <w:rPr>
                <w:rFonts w:cs="Times New Roman"/>
                <w:color w:val="000000"/>
                <w:lang w:val="en-US"/>
              </w:rPr>
            </w:pPr>
            <w:r>
              <w:rPr>
                <w:rFonts w:cs="Times New Roman"/>
                <w:color w:val="000000"/>
                <w:lang w:val="en-US"/>
              </w:rPr>
              <w:t>（主题：肥胖 + 超重或肥胖 + 超重与肥胖 + ’超重/肥胖’ + 超重和肥胖 + 超重及肥胖）AND（主题：风险模型 + 风险模型建立 + 风险模型预测 + 风险模型构架）</w:t>
            </w:r>
          </w:p>
        </w:tc>
        <w:tc>
          <w:tcPr>
            <w:tcW w:w="1391" w:type="dxa"/>
            <w:tcBorders>
              <w:top w:val="single" w:color="000000" w:sz="4" w:space="0"/>
              <w:left w:val="nil"/>
              <w:bottom w:val="single" w:color="000000" w:sz="12" w:space="0"/>
              <w:right w:val="nil"/>
            </w:tcBorders>
          </w:tcPr>
          <w:p w14:paraId="0C52EB2B">
            <w:pPr>
              <w:spacing w:line="240" w:lineRule="auto"/>
              <w:rPr>
                <w:rFonts w:cs="Times New Roman"/>
                <w:color w:val="000000"/>
                <w:lang w:val="en-US"/>
              </w:rPr>
            </w:pPr>
            <w:r>
              <w:rPr>
                <w:rFonts w:cs="Times New Roman"/>
                <w:color w:val="000000"/>
                <w:lang w:val="en-US"/>
              </w:rPr>
              <w:t>218</w:t>
            </w:r>
          </w:p>
        </w:tc>
      </w:tr>
    </w:tbl>
    <w:p w14:paraId="1966E3B7">
      <w:pPr>
        <w:spacing w:line="360" w:lineRule="auto"/>
        <w:rPr>
          <w:rFonts w:hint="eastAsia"/>
          <w:lang w:val="en-US" w:eastAsia="zh-CN"/>
        </w:rPr>
      </w:pPr>
      <w:bookmarkStart w:id="23" w:name="_Toc31197"/>
      <w:r>
        <w:rPr>
          <w:rFonts w:hint="eastAsia"/>
          <w:lang w:val="en-US" w:eastAsia="zh-CN"/>
        </w:rPr>
        <w:br w:type="page"/>
      </w:r>
    </w:p>
    <w:p w14:paraId="3F7BBCB5">
      <w:pPr>
        <w:pStyle w:val="4"/>
        <w:bidi w:val="0"/>
        <w:spacing w:line="360" w:lineRule="auto"/>
      </w:pPr>
      <w:bookmarkStart w:id="24" w:name="_Toc76527059"/>
      <w:bookmarkStart w:id="25" w:name="_Toc381784029"/>
      <w:r>
        <w:t>Table S</w:t>
      </w:r>
      <w:r>
        <w:fldChar w:fldCharType="begin"/>
      </w:r>
      <w:r>
        <w:instrText xml:space="preserve"> SEQ Table_S \* ARABIC </w:instrText>
      </w:r>
      <w:r>
        <w:fldChar w:fldCharType="separate"/>
      </w:r>
      <w:r>
        <w:t>3</w:t>
      </w:r>
      <w:r>
        <w:fldChar w:fldCharType="end"/>
      </w:r>
      <w:r>
        <w:rPr>
          <w:rFonts w:hint="eastAsia"/>
          <w:lang w:val="en-US" w:eastAsia="zh-CN"/>
        </w:rPr>
        <w:t xml:space="preserve"> Search Strategy and Retrieval Results in PubMed Database (February 1, 2026)</w:t>
      </w:r>
      <w:bookmarkEnd w:id="23"/>
      <w:bookmarkEnd w:id="24"/>
      <w:bookmarkEnd w:id="25"/>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6095"/>
        <w:gridCol w:w="1391"/>
      </w:tblGrid>
      <w:tr w14:paraId="7D955404">
        <w:tc>
          <w:tcPr>
            <w:tcW w:w="916" w:type="dxa"/>
            <w:tcBorders>
              <w:top w:val="single" w:color="000000" w:sz="12" w:space="0"/>
              <w:left w:val="nil"/>
              <w:bottom w:val="single" w:color="000000" w:sz="4" w:space="0"/>
              <w:right w:val="nil"/>
              <w:tl2br w:val="nil"/>
            </w:tcBorders>
          </w:tcPr>
          <w:p w14:paraId="75FF9DBB">
            <w:pPr>
              <w:spacing w:line="240" w:lineRule="auto"/>
              <w:jc w:val="center"/>
              <w:rPr>
                <w:rFonts w:cs="Times New Roman"/>
                <w:b/>
                <w:bCs/>
                <w:color w:val="000000"/>
                <w:lang w:val="en-US"/>
              </w:rPr>
            </w:pPr>
            <w:r>
              <w:rPr>
                <w:rFonts w:cs="Times New Roman"/>
                <w:b/>
                <w:bCs/>
                <w:color w:val="000000"/>
                <w:lang w:val="en-US"/>
              </w:rPr>
              <w:t>#</w:t>
            </w:r>
          </w:p>
        </w:tc>
        <w:tc>
          <w:tcPr>
            <w:tcW w:w="6095" w:type="dxa"/>
            <w:tcBorders>
              <w:top w:val="single" w:color="000000" w:sz="12" w:space="0"/>
              <w:left w:val="nil"/>
              <w:bottom w:val="single" w:color="000000" w:sz="4" w:space="0"/>
              <w:right w:val="nil"/>
            </w:tcBorders>
          </w:tcPr>
          <w:p w14:paraId="1D5430A9">
            <w:pPr>
              <w:spacing w:line="240" w:lineRule="auto"/>
              <w:jc w:val="center"/>
              <w:rPr>
                <w:rFonts w:cs="Times New Roman"/>
                <w:b/>
                <w:bCs/>
                <w:color w:val="000000"/>
                <w:lang w:val="en-US"/>
              </w:rPr>
            </w:pPr>
            <w:r>
              <w:rPr>
                <w:rFonts w:hint="eastAsia" w:cs="Times New Roman"/>
                <w:b/>
                <w:bCs/>
                <w:color w:val="000000"/>
                <w:lang w:val="en-US"/>
              </w:rPr>
              <w:t>Search Query</w:t>
            </w:r>
          </w:p>
        </w:tc>
        <w:tc>
          <w:tcPr>
            <w:tcW w:w="1391" w:type="dxa"/>
            <w:tcBorders>
              <w:top w:val="single" w:color="000000" w:sz="12" w:space="0"/>
              <w:left w:val="nil"/>
              <w:bottom w:val="single" w:color="000000" w:sz="4" w:space="0"/>
              <w:right w:val="nil"/>
            </w:tcBorders>
          </w:tcPr>
          <w:p w14:paraId="1D62A916">
            <w:pPr>
              <w:spacing w:line="240" w:lineRule="auto"/>
              <w:jc w:val="center"/>
              <w:rPr>
                <w:rFonts w:cs="Times New Roman"/>
                <w:b/>
                <w:bCs/>
                <w:color w:val="000000"/>
                <w:lang w:val="en-US"/>
              </w:rPr>
            </w:pPr>
            <w:r>
              <w:rPr>
                <w:rFonts w:ascii="Times New Roman Regular" w:hAnsi="Times New Roman Regular" w:eastAsia="Kaiti SC Regular" w:cs="Times New Roman Regular"/>
                <w:b/>
                <w:bCs/>
                <w:sz w:val="18"/>
                <w:szCs w:val="18"/>
              </w:rPr>
              <w:t>Results</w:t>
            </w:r>
          </w:p>
        </w:tc>
      </w:tr>
      <w:tr w14:paraId="351E5B05">
        <w:tc>
          <w:tcPr>
            <w:tcW w:w="916" w:type="dxa"/>
            <w:tcBorders>
              <w:top w:val="single" w:color="000000" w:sz="4" w:space="0"/>
              <w:left w:val="nil"/>
              <w:bottom w:val="nil"/>
              <w:right w:val="nil"/>
            </w:tcBorders>
            <w:vAlign w:val="center"/>
          </w:tcPr>
          <w:p w14:paraId="05D41189">
            <w:pPr>
              <w:spacing w:line="240" w:lineRule="auto"/>
              <w:jc w:val="center"/>
              <w:rPr>
                <w:rFonts w:cs="Times New Roman"/>
                <w:lang w:val="en-US"/>
              </w:rPr>
            </w:pPr>
            <w:r>
              <w:rPr>
                <w:rFonts w:cs="Times New Roman"/>
                <w:lang w:val="en-US"/>
              </w:rPr>
              <w:t>1</w:t>
            </w:r>
          </w:p>
        </w:tc>
        <w:tc>
          <w:tcPr>
            <w:tcW w:w="6095" w:type="dxa"/>
            <w:tcBorders>
              <w:top w:val="single" w:color="000000" w:sz="4" w:space="0"/>
              <w:left w:val="nil"/>
              <w:bottom w:val="nil"/>
              <w:right w:val="nil"/>
            </w:tcBorders>
            <w:vAlign w:val="center"/>
          </w:tcPr>
          <w:p w14:paraId="0779752C">
            <w:pPr>
              <w:spacing w:line="240" w:lineRule="auto"/>
              <w:rPr>
                <w:rFonts w:cs="Times New Roman"/>
                <w:lang w:val="en-US"/>
              </w:rPr>
            </w:pPr>
            <w:r>
              <w:rPr>
                <w:rFonts w:cs="Times New Roman"/>
                <w:lang w:val="en-US"/>
              </w:rPr>
              <w:t>"Obesity"[Mesh] OR "Overweight"[Mesh] OR "Body Mass Index"[Mesh] OR obes*[tiab] OR overweight[tiab] OR "body mass index"[tiab] OR BMI[tiab] OR "waist circumference"[tiab] OR "waist-to-hip ratio"[tiab] OR adipos*[tiab]</w:t>
            </w:r>
          </w:p>
        </w:tc>
        <w:tc>
          <w:tcPr>
            <w:tcW w:w="1391" w:type="dxa"/>
            <w:tcBorders>
              <w:top w:val="single" w:color="000000" w:sz="4" w:space="0"/>
              <w:left w:val="nil"/>
              <w:bottom w:val="nil"/>
              <w:right w:val="nil"/>
            </w:tcBorders>
            <w:vAlign w:val="center"/>
          </w:tcPr>
          <w:p w14:paraId="0FFE9097">
            <w:pPr>
              <w:spacing w:line="240" w:lineRule="auto"/>
              <w:rPr>
                <w:rFonts w:cs="Times New Roman"/>
                <w:lang w:val="en-US"/>
              </w:rPr>
            </w:pPr>
            <w:r>
              <w:rPr>
                <w:rFonts w:cs="Times New Roman"/>
                <w:lang w:val="en-US"/>
              </w:rPr>
              <w:t>892,175</w:t>
            </w:r>
          </w:p>
        </w:tc>
      </w:tr>
      <w:tr w14:paraId="2F342875">
        <w:tc>
          <w:tcPr>
            <w:tcW w:w="916" w:type="dxa"/>
            <w:tcBorders>
              <w:top w:val="nil"/>
              <w:left w:val="nil"/>
              <w:bottom w:val="nil"/>
              <w:right w:val="nil"/>
            </w:tcBorders>
            <w:vAlign w:val="center"/>
          </w:tcPr>
          <w:p w14:paraId="067C06F6">
            <w:pPr>
              <w:spacing w:line="240" w:lineRule="auto"/>
              <w:jc w:val="center"/>
              <w:rPr>
                <w:rFonts w:cs="Times New Roman"/>
                <w:lang w:val="en-US"/>
              </w:rPr>
            </w:pPr>
            <w:r>
              <w:rPr>
                <w:rFonts w:cs="Times New Roman"/>
                <w:lang w:val="en-US"/>
              </w:rPr>
              <w:t>2</w:t>
            </w:r>
          </w:p>
        </w:tc>
        <w:tc>
          <w:tcPr>
            <w:tcW w:w="6095" w:type="dxa"/>
            <w:tcBorders>
              <w:top w:val="nil"/>
              <w:left w:val="nil"/>
              <w:bottom w:val="nil"/>
              <w:right w:val="nil"/>
            </w:tcBorders>
            <w:vAlign w:val="center"/>
          </w:tcPr>
          <w:p w14:paraId="14DD4FE6">
            <w:pPr>
              <w:spacing w:line="240" w:lineRule="auto"/>
              <w:rPr>
                <w:rFonts w:cs="Times New Roman"/>
                <w:lang w:val="en-US"/>
              </w:rPr>
            </w:pPr>
            <w:r>
              <w:rPr>
                <w:rFonts w:cs="Times New Roman"/>
                <w:lang w:val="en-US"/>
              </w:rPr>
              <w:t>"Prediabetic State"[Mesh] OR "Diabetes Mellitus, Type 2"[Mesh] OR prediabet*[tiab] OR "type 2 diabetes"[tiab] OR T2DM[tiab] OR "Dyslipidemias"[Mesh] OR dyslipidemia[tiab] OR hypertriglyceridemia[tiab] OR "low HDL"[tiab] OR "Hypertension"[Mesh] OR hypertension[tiab] OR "Non-alcoholic Fatty Liver Disease"[Mesh] OR "fatty liver"[tiab] OR NAFLD[tiab] OR NASH[tiab] OR "liver fibrosis"[tiab] OR "Sleep Apnea, Obstructive"[Mesh] OR "obstructive sleep apnea"[tiab] OR OSAS[tiab] OR OSA[tiab] OR "Polycystic Ovary Syndrome"[Mesh] OR "polycystic ovary syndrome"[tiab] OR PCOS[tiab] OR "Cardiovascular Diseases"[Mesh] OR "Coronary Artery Disease"[Mesh] OR "Heart Failure"[Mesh] OR "Atrial Fibrillation"[Mesh] OR "cardiovascular disease"[tiab] OR "heart disease"[tiab] OR "heart failure"[tiab] OR "atrial fibrillation"[tiab] OR "Colorectal Neoplasms"[Mesh] OR "Endometrial Neoplasms"[Mesh] OR "Breast Neoplasms"[Mesh] OR "colorectal cancer"[tiab] OR "endometrial cancer"[tiab] OR "postmenopausal breast cancer"[tiab] OR "Depression"[Mesh] OR "Anxiety Disorders"[Mesh] OR depression[tiab] OR anxiety[tiab] OR "eating disorder"[tiab]</w:t>
            </w:r>
          </w:p>
        </w:tc>
        <w:tc>
          <w:tcPr>
            <w:tcW w:w="1391" w:type="dxa"/>
            <w:tcBorders>
              <w:top w:val="nil"/>
              <w:left w:val="nil"/>
              <w:bottom w:val="nil"/>
              <w:right w:val="nil"/>
            </w:tcBorders>
            <w:vAlign w:val="center"/>
          </w:tcPr>
          <w:p w14:paraId="5F9FC2E3">
            <w:pPr>
              <w:spacing w:line="240" w:lineRule="auto"/>
              <w:rPr>
                <w:rFonts w:cs="Times New Roman"/>
                <w:lang w:val="en-US"/>
              </w:rPr>
            </w:pPr>
            <w:r>
              <w:rPr>
                <w:rFonts w:cs="Times New Roman"/>
                <w:lang w:val="en-US"/>
              </w:rPr>
              <w:t>5,109,624</w:t>
            </w:r>
          </w:p>
        </w:tc>
      </w:tr>
      <w:tr w14:paraId="57B56BB1">
        <w:tc>
          <w:tcPr>
            <w:tcW w:w="916" w:type="dxa"/>
            <w:tcBorders>
              <w:top w:val="nil"/>
              <w:left w:val="nil"/>
              <w:bottom w:val="nil"/>
              <w:right w:val="nil"/>
            </w:tcBorders>
            <w:vAlign w:val="center"/>
          </w:tcPr>
          <w:p w14:paraId="37E65635">
            <w:pPr>
              <w:spacing w:line="240" w:lineRule="auto"/>
              <w:jc w:val="center"/>
              <w:rPr>
                <w:rFonts w:cs="Times New Roman"/>
                <w:lang w:val="en-US"/>
              </w:rPr>
            </w:pPr>
            <w:r>
              <w:rPr>
                <w:rFonts w:cs="Times New Roman"/>
                <w:lang w:val="en-US"/>
              </w:rPr>
              <w:t>3</w:t>
            </w:r>
          </w:p>
        </w:tc>
        <w:tc>
          <w:tcPr>
            <w:tcW w:w="6095" w:type="dxa"/>
            <w:tcBorders>
              <w:top w:val="nil"/>
              <w:left w:val="nil"/>
              <w:bottom w:val="nil"/>
              <w:right w:val="nil"/>
            </w:tcBorders>
            <w:vAlign w:val="center"/>
          </w:tcPr>
          <w:p w14:paraId="6FA80317">
            <w:pPr>
              <w:pStyle w:val="19"/>
              <w:widowControl/>
              <w:spacing w:line="240" w:lineRule="auto"/>
              <w:rPr>
                <w:rFonts w:cs="Times New Roman"/>
                <w:lang w:val="en-US"/>
              </w:rPr>
            </w:pPr>
            <w:r>
              <w:t>(("risk prediction"[tiab] OR "prediction model"[tiab] OR "prognostic model"[tiab] OR "risk model"[tiab] OR "risk score"[tiab] OR nomogram[tiab] OR "risk assessment"[tiab] OR "risk evaluation"[tiab]) AND (validation[tiab] OR derivation[tiab] OR development[tiab] OR discrimination[tiab] OR calibration[tiab] OR "C-statistic"[tiab] OR AUC[tiab] OR "ROC curve"[tiab] OR "Hosmer-Lemeshow"[tiab]))</w:t>
            </w:r>
          </w:p>
        </w:tc>
        <w:tc>
          <w:tcPr>
            <w:tcW w:w="1391" w:type="dxa"/>
            <w:tcBorders>
              <w:top w:val="nil"/>
              <w:left w:val="nil"/>
              <w:bottom w:val="nil"/>
              <w:right w:val="nil"/>
            </w:tcBorders>
            <w:vAlign w:val="center"/>
          </w:tcPr>
          <w:p w14:paraId="286640CA">
            <w:pPr>
              <w:spacing w:line="240" w:lineRule="auto"/>
              <w:rPr>
                <w:rFonts w:cs="Times New Roman"/>
                <w:lang w:val="en-US"/>
              </w:rPr>
            </w:pPr>
            <w:r>
              <w:rPr>
                <w:rFonts w:hint="eastAsia" w:cs="Times New Roman"/>
                <w:lang w:val="en-US" w:eastAsia="zh-CN"/>
              </w:rPr>
              <w:t>96087</w:t>
            </w:r>
          </w:p>
        </w:tc>
      </w:tr>
      <w:tr w14:paraId="006CACDE">
        <w:tc>
          <w:tcPr>
            <w:tcW w:w="916" w:type="dxa"/>
            <w:tcBorders>
              <w:top w:val="nil"/>
              <w:left w:val="nil"/>
              <w:bottom w:val="nil"/>
              <w:right w:val="nil"/>
            </w:tcBorders>
            <w:vAlign w:val="center"/>
          </w:tcPr>
          <w:p w14:paraId="0AC6D411">
            <w:pPr>
              <w:spacing w:line="240" w:lineRule="auto"/>
              <w:jc w:val="center"/>
              <w:rPr>
                <w:rFonts w:cs="Times New Roman"/>
                <w:lang w:val="en-US"/>
              </w:rPr>
            </w:pPr>
            <w:r>
              <w:rPr>
                <w:rFonts w:cs="Times New Roman"/>
                <w:lang w:val="en-US"/>
              </w:rPr>
              <w:t>4</w:t>
            </w:r>
          </w:p>
        </w:tc>
        <w:tc>
          <w:tcPr>
            <w:tcW w:w="6095" w:type="dxa"/>
            <w:tcBorders>
              <w:top w:val="nil"/>
              <w:left w:val="nil"/>
              <w:bottom w:val="nil"/>
              <w:right w:val="nil"/>
            </w:tcBorders>
            <w:vAlign w:val="center"/>
          </w:tcPr>
          <w:p w14:paraId="10710790">
            <w:pPr>
              <w:spacing w:line="240" w:lineRule="auto"/>
              <w:rPr>
                <w:rFonts w:cs="Times New Roman"/>
                <w:lang w:val="en-US"/>
              </w:rPr>
            </w:pPr>
            <w:r>
              <w:rPr>
                <w:rFonts w:cs="Times New Roman"/>
                <w:lang w:val="en-US"/>
              </w:rPr>
              <w:t>("2020/01/01"[Date - Publication] : "2024/12/31"[Date - Publication])</w:t>
            </w:r>
          </w:p>
        </w:tc>
        <w:tc>
          <w:tcPr>
            <w:tcW w:w="1391" w:type="dxa"/>
            <w:tcBorders>
              <w:top w:val="nil"/>
              <w:left w:val="nil"/>
              <w:bottom w:val="nil"/>
              <w:right w:val="nil"/>
            </w:tcBorders>
            <w:vAlign w:val="center"/>
          </w:tcPr>
          <w:p w14:paraId="7B7B9E80">
            <w:pPr>
              <w:spacing w:line="240" w:lineRule="auto"/>
              <w:rPr>
                <w:rFonts w:cs="Times New Roman"/>
                <w:lang w:val="en-US"/>
              </w:rPr>
            </w:pPr>
            <w:r>
              <w:rPr>
                <w:rFonts w:cs="Times New Roman"/>
                <w:lang w:val="en-US"/>
              </w:rPr>
              <w:t>7,800,493</w:t>
            </w:r>
          </w:p>
        </w:tc>
      </w:tr>
      <w:tr w14:paraId="09031566">
        <w:trPr>
          <w:trHeight w:val="90" w:hRule="atLeast"/>
        </w:trPr>
        <w:tc>
          <w:tcPr>
            <w:tcW w:w="916" w:type="dxa"/>
            <w:tcBorders>
              <w:top w:val="nil"/>
              <w:left w:val="nil"/>
              <w:bottom w:val="single" w:color="000000" w:sz="12" w:space="0"/>
              <w:right w:val="nil"/>
            </w:tcBorders>
            <w:vAlign w:val="center"/>
          </w:tcPr>
          <w:p w14:paraId="2B377DDB">
            <w:pPr>
              <w:spacing w:line="240" w:lineRule="auto"/>
              <w:jc w:val="center"/>
              <w:rPr>
                <w:rFonts w:cs="Times New Roman"/>
                <w:lang w:val="en-US"/>
              </w:rPr>
            </w:pPr>
            <w:r>
              <w:rPr>
                <w:rFonts w:cs="Times New Roman"/>
                <w:lang w:val="en-US"/>
              </w:rPr>
              <w:t>5</w:t>
            </w:r>
          </w:p>
        </w:tc>
        <w:tc>
          <w:tcPr>
            <w:tcW w:w="6095" w:type="dxa"/>
            <w:tcBorders>
              <w:top w:val="nil"/>
              <w:left w:val="nil"/>
              <w:bottom w:val="single" w:color="000000" w:sz="12" w:space="0"/>
              <w:right w:val="nil"/>
            </w:tcBorders>
            <w:vAlign w:val="center"/>
          </w:tcPr>
          <w:p w14:paraId="7D73AFEE">
            <w:pPr>
              <w:spacing w:line="240" w:lineRule="auto"/>
              <w:rPr>
                <w:rFonts w:cs="Times New Roman"/>
                <w:lang w:val="en-US"/>
              </w:rPr>
            </w:pPr>
            <w:r>
              <w:rPr>
                <w:rFonts w:cs="Times New Roman"/>
                <w:lang w:val="en-US"/>
              </w:rPr>
              <w:t>#1 AND #2 AND #3 AND #4</w:t>
            </w:r>
          </w:p>
        </w:tc>
        <w:tc>
          <w:tcPr>
            <w:tcW w:w="1391" w:type="dxa"/>
            <w:tcBorders>
              <w:top w:val="nil"/>
              <w:left w:val="nil"/>
              <w:bottom w:val="single" w:color="000000" w:sz="12" w:space="0"/>
              <w:right w:val="nil"/>
            </w:tcBorders>
            <w:vAlign w:val="center"/>
          </w:tcPr>
          <w:p w14:paraId="29F9CEAB">
            <w:pPr>
              <w:spacing w:line="240" w:lineRule="auto"/>
              <w:rPr>
                <w:rFonts w:cs="Times New Roman"/>
                <w:lang w:val="en-US"/>
              </w:rPr>
            </w:pPr>
            <w:r>
              <w:rPr>
                <w:rFonts w:cs="Times New Roman"/>
                <w:lang w:val="en-US"/>
              </w:rPr>
              <w:t>1</w:t>
            </w:r>
            <w:r>
              <w:rPr>
                <w:rFonts w:hint="eastAsia" w:cs="Times New Roman"/>
                <w:lang w:val="en-US" w:eastAsia="zh-CN"/>
              </w:rPr>
              <w:t>566</w:t>
            </w:r>
          </w:p>
        </w:tc>
      </w:tr>
    </w:tbl>
    <w:p w14:paraId="40E1D8B1">
      <w:pPr>
        <w:spacing w:line="360" w:lineRule="auto"/>
        <w:rPr>
          <w:rFonts w:hint="eastAsia"/>
          <w:lang w:val="en-US" w:eastAsia="zh-CN"/>
        </w:rPr>
      </w:pPr>
      <w:bookmarkStart w:id="26" w:name="_Toc24807"/>
      <w:r>
        <w:rPr>
          <w:rFonts w:hint="eastAsia"/>
          <w:lang w:val="en-US" w:eastAsia="zh-CN"/>
        </w:rPr>
        <w:br w:type="page"/>
      </w:r>
    </w:p>
    <w:p w14:paraId="311AC324">
      <w:pPr>
        <w:pStyle w:val="4"/>
        <w:bidi w:val="0"/>
        <w:spacing w:line="360" w:lineRule="auto"/>
      </w:pPr>
      <w:bookmarkStart w:id="27" w:name="_Toc2110521814"/>
      <w:bookmarkStart w:id="28" w:name="_Toc1995059707"/>
      <w:r>
        <w:t>Table S</w:t>
      </w:r>
      <w:r>
        <w:fldChar w:fldCharType="begin"/>
      </w:r>
      <w:r>
        <w:instrText xml:space="preserve"> SEQ Table_S \* ARABIC </w:instrText>
      </w:r>
      <w:r>
        <w:fldChar w:fldCharType="separate"/>
      </w:r>
      <w:r>
        <w:t>4</w:t>
      </w:r>
      <w:r>
        <w:fldChar w:fldCharType="end"/>
      </w:r>
      <w:r>
        <w:t xml:space="preserve"> </w:t>
      </w:r>
      <w:r>
        <w:rPr>
          <w:rFonts w:hint="eastAsia"/>
        </w:rPr>
        <w:t>Search Strategy and Retrieval Results in Web of Science Database (February 1, 2026)</w:t>
      </w:r>
      <w:bookmarkEnd w:id="26"/>
      <w:bookmarkEnd w:id="27"/>
      <w:bookmarkEnd w:id="28"/>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6095"/>
        <w:gridCol w:w="1391"/>
      </w:tblGrid>
      <w:tr w14:paraId="60DBBB88">
        <w:tc>
          <w:tcPr>
            <w:tcW w:w="916" w:type="dxa"/>
            <w:tcBorders>
              <w:top w:val="single" w:color="000000" w:sz="12" w:space="0"/>
              <w:left w:val="nil"/>
              <w:bottom w:val="single" w:color="000000" w:sz="4" w:space="0"/>
              <w:right w:val="nil"/>
              <w:tl2br w:val="nil"/>
            </w:tcBorders>
          </w:tcPr>
          <w:p w14:paraId="3FBDE16F">
            <w:pPr>
              <w:spacing w:line="240" w:lineRule="auto"/>
              <w:jc w:val="center"/>
              <w:rPr>
                <w:rFonts w:cs="Times New Roman"/>
                <w:b/>
                <w:bCs/>
                <w:color w:val="000000"/>
                <w:lang w:val="en-US"/>
              </w:rPr>
            </w:pPr>
            <w:r>
              <w:rPr>
                <w:rFonts w:cs="Times New Roman"/>
                <w:b/>
                <w:bCs/>
                <w:color w:val="000000"/>
                <w:lang w:val="en-US"/>
              </w:rPr>
              <w:t>#</w:t>
            </w:r>
          </w:p>
        </w:tc>
        <w:tc>
          <w:tcPr>
            <w:tcW w:w="6095" w:type="dxa"/>
            <w:tcBorders>
              <w:top w:val="single" w:color="000000" w:sz="12" w:space="0"/>
              <w:left w:val="nil"/>
              <w:bottom w:val="single" w:color="000000" w:sz="4" w:space="0"/>
              <w:right w:val="nil"/>
            </w:tcBorders>
          </w:tcPr>
          <w:p w14:paraId="7E27621A">
            <w:pPr>
              <w:spacing w:line="240" w:lineRule="auto"/>
              <w:jc w:val="center"/>
              <w:rPr>
                <w:rFonts w:cs="Times New Roman"/>
                <w:b/>
                <w:bCs/>
                <w:color w:val="000000"/>
                <w:lang w:val="en-US"/>
              </w:rPr>
            </w:pPr>
            <w:r>
              <w:rPr>
                <w:rFonts w:hint="eastAsia" w:cs="Times New Roman"/>
                <w:b/>
                <w:bCs/>
                <w:color w:val="000000"/>
                <w:lang w:val="en-US"/>
              </w:rPr>
              <w:t>Search Query</w:t>
            </w:r>
          </w:p>
        </w:tc>
        <w:tc>
          <w:tcPr>
            <w:tcW w:w="1391" w:type="dxa"/>
            <w:tcBorders>
              <w:top w:val="single" w:color="000000" w:sz="12" w:space="0"/>
              <w:left w:val="nil"/>
              <w:bottom w:val="single" w:color="000000" w:sz="4" w:space="0"/>
              <w:right w:val="nil"/>
            </w:tcBorders>
          </w:tcPr>
          <w:p w14:paraId="6C19A901">
            <w:pPr>
              <w:spacing w:line="240" w:lineRule="auto"/>
              <w:jc w:val="center"/>
              <w:rPr>
                <w:rFonts w:cs="Times New Roman"/>
                <w:b/>
                <w:bCs/>
                <w:color w:val="000000"/>
                <w:lang w:val="en-US"/>
              </w:rPr>
            </w:pPr>
            <w:r>
              <w:rPr>
                <w:rFonts w:ascii="Times New Roman Regular" w:hAnsi="Times New Roman Regular" w:eastAsia="Kaiti SC Regular" w:cs="Times New Roman Regular"/>
                <w:b/>
                <w:bCs/>
                <w:sz w:val="18"/>
                <w:szCs w:val="18"/>
              </w:rPr>
              <w:t>Results</w:t>
            </w:r>
          </w:p>
        </w:tc>
      </w:tr>
      <w:tr w14:paraId="4AC291CB">
        <w:tc>
          <w:tcPr>
            <w:tcW w:w="916" w:type="dxa"/>
            <w:tcBorders>
              <w:top w:val="single" w:color="000000" w:sz="4" w:space="0"/>
              <w:left w:val="nil"/>
              <w:bottom w:val="nil"/>
              <w:right w:val="nil"/>
            </w:tcBorders>
            <w:vAlign w:val="bottom"/>
          </w:tcPr>
          <w:p w14:paraId="562A39CE">
            <w:pPr>
              <w:spacing w:line="240" w:lineRule="auto"/>
              <w:jc w:val="center"/>
              <w:rPr>
                <w:rFonts w:cs="Times New Roman"/>
                <w:lang w:val="en-US"/>
              </w:rPr>
            </w:pPr>
            <w:r>
              <w:rPr>
                <w:rFonts w:cs="Times New Roman"/>
                <w:lang w:val="en-US"/>
              </w:rPr>
              <w:t>1</w:t>
            </w:r>
          </w:p>
        </w:tc>
        <w:tc>
          <w:tcPr>
            <w:tcW w:w="6095" w:type="dxa"/>
            <w:tcBorders>
              <w:top w:val="single" w:color="000000" w:sz="4" w:space="0"/>
              <w:left w:val="nil"/>
              <w:bottom w:val="nil"/>
              <w:right w:val="nil"/>
            </w:tcBorders>
            <w:vAlign w:val="bottom"/>
          </w:tcPr>
          <w:p w14:paraId="36D40830">
            <w:pPr>
              <w:spacing w:line="240" w:lineRule="auto"/>
              <w:rPr>
                <w:rFonts w:cs="Times New Roman"/>
                <w:lang w:val="en-US"/>
              </w:rPr>
            </w:pPr>
            <w:r>
              <w:rPr>
                <w:rFonts w:cs="Times New Roman"/>
                <w:lang w:val="en-US"/>
              </w:rPr>
              <w:t xml:space="preserve">TS=(obes* OR overweight OR "body mass index" OR BMI OR "waist circumference" OR "waist-to-hip ratio" OR adipos*)   </w:t>
            </w:r>
          </w:p>
        </w:tc>
        <w:tc>
          <w:tcPr>
            <w:tcW w:w="1391" w:type="dxa"/>
            <w:tcBorders>
              <w:top w:val="single" w:color="000000" w:sz="4" w:space="0"/>
              <w:left w:val="nil"/>
              <w:bottom w:val="nil"/>
              <w:right w:val="nil"/>
            </w:tcBorders>
            <w:vAlign w:val="bottom"/>
          </w:tcPr>
          <w:p w14:paraId="18030DC6">
            <w:pPr>
              <w:spacing w:line="240" w:lineRule="auto"/>
              <w:rPr>
                <w:rFonts w:cs="Times New Roman"/>
                <w:lang w:val="en-US"/>
              </w:rPr>
            </w:pPr>
            <w:r>
              <w:rPr>
                <w:rFonts w:cs="Times New Roman"/>
                <w:lang w:val="en-US"/>
              </w:rPr>
              <w:t>1011303</w:t>
            </w:r>
          </w:p>
        </w:tc>
      </w:tr>
      <w:tr w14:paraId="22D731E8">
        <w:tc>
          <w:tcPr>
            <w:tcW w:w="916" w:type="dxa"/>
            <w:tcBorders>
              <w:top w:val="nil"/>
              <w:left w:val="nil"/>
              <w:bottom w:val="nil"/>
              <w:right w:val="nil"/>
            </w:tcBorders>
            <w:vAlign w:val="bottom"/>
          </w:tcPr>
          <w:p w14:paraId="660C2971">
            <w:pPr>
              <w:spacing w:line="240" w:lineRule="auto"/>
              <w:jc w:val="center"/>
              <w:rPr>
                <w:rFonts w:cs="Times New Roman"/>
                <w:lang w:val="en-US"/>
              </w:rPr>
            </w:pPr>
            <w:r>
              <w:rPr>
                <w:rFonts w:cs="Times New Roman"/>
                <w:lang w:val="en-US"/>
              </w:rPr>
              <w:t>2</w:t>
            </w:r>
          </w:p>
        </w:tc>
        <w:tc>
          <w:tcPr>
            <w:tcW w:w="6095" w:type="dxa"/>
            <w:tcBorders>
              <w:top w:val="nil"/>
              <w:left w:val="nil"/>
              <w:bottom w:val="nil"/>
              <w:right w:val="nil"/>
            </w:tcBorders>
            <w:vAlign w:val="bottom"/>
          </w:tcPr>
          <w:p w14:paraId="05145628">
            <w:pPr>
              <w:spacing w:line="240" w:lineRule="auto"/>
              <w:rPr>
                <w:rFonts w:cs="Times New Roman"/>
                <w:lang w:val="en-US"/>
              </w:rPr>
            </w:pPr>
            <w:r>
              <w:rPr>
                <w:rFonts w:cs="Times New Roman"/>
                <w:lang w:val="en-US"/>
              </w:rPr>
              <w:t xml:space="preserve">TS=("type 2 diabetes" OR T2DM OR prediabet* OR dyslipidemia OR hypertriglyceridemia OR "low HDL" OR hypertension OR "fatty liver" OR NAFLD OR NASH OR "liver fibrosis" OR "obstructive sleep apnea" OR OSA OR "polycystic ovary syndrome" OR PCOS OR "cardiovascular disease" OR "heart failure" OR "atrial fibrillation" OR "colorectal cancer" OR "endometrial cancer" OR "postmenopausal breast cancer" OR depression OR anxiety OR "eating disorder")   </w:t>
            </w:r>
          </w:p>
        </w:tc>
        <w:tc>
          <w:tcPr>
            <w:tcW w:w="1391" w:type="dxa"/>
            <w:tcBorders>
              <w:top w:val="nil"/>
              <w:left w:val="nil"/>
              <w:bottom w:val="nil"/>
              <w:right w:val="nil"/>
            </w:tcBorders>
            <w:vAlign w:val="bottom"/>
          </w:tcPr>
          <w:p w14:paraId="2B9F2802">
            <w:pPr>
              <w:spacing w:line="240" w:lineRule="auto"/>
              <w:rPr>
                <w:rFonts w:cs="Times New Roman"/>
                <w:lang w:val="en-US"/>
              </w:rPr>
            </w:pPr>
            <w:r>
              <w:rPr>
                <w:rFonts w:cs="Times New Roman"/>
                <w:lang w:val="en-US"/>
              </w:rPr>
              <w:t>3016690</w:t>
            </w:r>
          </w:p>
        </w:tc>
      </w:tr>
      <w:tr w14:paraId="12D7E01B">
        <w:tc>
          <w:tcPr>
            <w:tcW w:w="916" w:type="dxa"/>
            <w:tcBorders>
              <w:top w:val="nil"/>
              <w:left w:val="nil"/>
              <w:bottom w:val="nil"/>
              <w:right w:val="nil"/>
            </w:tcBorders>
            <w:vAlign w:val="bottom"/>
          </w:tcPr>
          <w:p w14:paraId="264F6C0D">
            <w:pPr>
              <w:spacing w:line="240" w:lineRule="auto"/>
              <w:jc w:val="center"/>
              <w:rPr>
                <w:rFonts w:cs="Times New Roman"/>
                <w:lang w:val="en-US"/>
              </w:rPr>
            </w:pPr>
            <w:r>
              <w:rPr>
                <w:rFonts w:cs="Times New Roman"/>
                <w:lang w:val="en-US"/>
              </w:rPr>
              <w:t>3</w:t>
            </w:r>
          </w:p>
        </w:tc>
        <w:tc>
          <w:tcPr>
            <w:tcW w:w="6095" w:type="dxa"/>
            <w:tcBorders>
              <w:top w:val="nil"/>
              <w:left w:val="nil"/>
              <w:bottom w:val="nil"/>
              <w:right w:val="nil"/>
            </w:tcBorders>
            <w:vAlign w:val="bottom"/>
          </w:tcPr>
          <w:p w14:paraId="22B27355">
            <w:pPr>
              <w:spacing w:line="240" w:lineRule="auto"/>
              <w:rPr>
                <w:rFonts w:cs="Times New Roman"/>
                <w:lang w:val="en-US"/>
              </w:rPr>
            </w:pPr>
            <w:r>
              <w:rPr>
                <w:rFonts w:hint="eastAsia" w:cs="Times New Roman"/>
                <w:lang w:val="en-US"/>
              </w:rPr>
              <w:t>TS=("risk prediction" OR "prediction model" OR "prognostic model" OR "risk model" OR "risk score" OR nomogram OR "risk assessment" OR "risk evaluation")</w:t>
            </w:r>
          </w:p>
        </w:tc>
        <w:tc>
          <w:tcPr>
            <w:tcW w:w="1391" w:type="dxa"/>
            <w:tcBorders>
              <w:top w:val="nil"/>
              <w:left w:val="nil"/>
              <w:bottom w:val="nil"/>
              <w:right w:val="nil"/>
            </w:tcBorders>
            <w:vAlign w:val="bottom"/>
          </w:tcPr>
          <w:p w14:paraId="78E4CB2A">
            <w:pPr>
              <w:spacing w:line="240" w:lineRule="auto"/>
              <w:rPr>
                <w:rFonts w:cs="Times New Roman"/>
                <w:lang w:val="en-US"/>
              </w:rPr>
            </w:pPr>
            <w:r>
              <w:rPr>
                <w:rFonts w:hint="eastAsia" w:cs="Times New Roman"/>
                <w:lang w:val="en-US" w:eastAsia="zh-CN"/>
              </w:rPr>
              <w:t>449120</w:t>
            </w:r>
          </w:p>
        </w:tc>
      </w:tr>
      <w:tr w14:paraId="5B0AAD67">
        <w:tc>
          <w:tcPr>
            <w:tcW w:w="916" w:type="dxa"/>
            <w:tcBorders>
              <w:top w:val="nil"/>
              <w:left w:val="nil"/>
              <w:bottom w:val="nil"/>
              <w:right w:val="nil"/>
            </w:tcBorders>
            <w:vAlign w:val="bottom"/>
          </w:tcPr>
          <w:p w14:paraId="756A5655">
            <w:pPr>
              <w:spacing w:line="240" w:lineRule="auto"/>
              <w:jc w:val="center"/>
              <w:rPr>
                <w:rFonts w:cs="Times New Roman"/>
                <w:lang w:val="en-US"/>
              </w:rPr>
            </w:pPr>
            <w:r>
              <w:rPr>
                <w:rFonts w:cs="Times New Roman"/>
                <w:lang w:val="en-US"/>
              </w:rPr>
              <w:t>4</w:t>
            </w:r>
          </w:p>
        </w:tc>
        <w:tc>
          <w:tcPr>
            <w:tcW w:w="6095" w:type="dxa"/>
            <w:tcBorders>
              <w:top w:val="nil"/>
              <w:left w:val="nil"/>
              <w:bottom w:val="nil"/>
              <w:right w:val="nil"/>
            </w:tcBorders>
            <w:vAlign w:val="bottom"/>
          </w:tcPr>
          <w:p w14:paraId="18421019">
            <w:pPr>
              <w:spacing w:line="240" w:lineRule="auto"/>
              <w:rPr>
                <w:rFonts w:cs="Times New Roman"/>
                <w:lang w:val="en-US"/>
              </w:rPr>
            </w:pPr>
            <w:r>
              <w:rPr>
                <w:rFonts w:cs="Times New Roman"/>
                <w:lang w:val="en-US"/>
              </w:rPr>
              <w:t xml:space="preserve">TS=(validation OR derivation OR development OR discrimination OR calibration OR "C-statistic" OR AUC OR "ROC curve" OR "Hosmer-Lemeshow")   </w:t>
            </w:r>
          </w:p>
        </w:tc>
        <w:tc>
          <w:tcPr>
            <w:tcW w:w="1391" w:type="dxa"/>
            <w:tcBorders>
              <w:top w:val="nil"/>
              <w:left w:val="nil"/>
              <w:bottom w:val="nil"/>
              <w:right w:val="nil"/>
            </w:tcBorders>
            <w:vAlign w:val="bottom"/>
          </w:tcPr>
          <w:p w14:paraId="3D58BA7D">
            <w:pPr>
              <w:spacing w:line="240" w:lineRule="auto"/>
              <w:rPr>
                <w:rFonts w:cs="Times New Roman"/>
                <w:lang w:val="en-US"/>
              </w:rPr>
            </w:pPr>
            <w:r>
              <w:rPr>
                <w:rFonts w:cs="Times New Roman"/>
                <w:lang w:val="en-US"/>
              </w:rPr>
              <w:t>8419011</w:t>
            </w:r>
          </w:p>
        </w:tc>
      </w:tr>
      <w:tr w14:paraId="7D0C1024">
        <w:tc>
          <w:tcPr>
            <w:tcW w:w="916" w:type="dxa"/>
            <w:tcBorders>
              <w:top w:val="nil"/>
              <w:left w:val="nil"/>
              <w:bottom w:val="single" w:color="000000" w:sz="12" w:space="0"/>
              <w:right w:val="nil"/>
            </w:tcBorders>
            <w:vAlign w:val="bottom"/>
          </w:tcPr>
          <w:p w14:paraId="0A530170">
            <w:pPr>
              <w:spacing w:line="240" w:lineRule="auto"/>
              <w:jc w:val="center"/>
              <w:rPr>
                <w:rFonts w:cs="Times New Roman"/>
                <w:lang w:val="en-US"/>
              </w:rPr>
            </w:pPr>
            <w:r>
              <w:rPr>
                <w:rFonts w:cs="Times New Roman"/>
                <w:lang w:val="en-US"/>
              </w:rPr>
              <w:t>5</w:t>
            </w:r>
          </w:p>
        </w:tc>
        <w:tc>
          <w:tcPr>
            <w:tcW w:w="6095" w:type="dxa"/>
            <w:tcBorders>
              <w:top w:val="nil"/>
              <w:left w:val="nil"/>
              <w:bottom w:val="single" w:color="000000" w:sz="12" w:space="0"/>
              <w:right w:val="nil"/>
            </w:tcBorders>
            <w:vAlign w:val="bottom"/>
          </w:tcPr>
          <w:p w14:paraId="5B816CB5">
            <w:pPr>
              <w:spacing w:line="240" w:lineRule="auto"/>
              <w:rPr>
                <w:rFonts w:cs="Times New Roman"/>
                <w:lang w:val="en-US"/>
              </w:rPr>
            </w:pPr>
            <w:r>
              <w:rPr>
                <w:rFonts w:cs="Times New Roman"/>
                <w:lang w:val="en-US"/>
              </w:rPr>
              <w:t xml:space="preserve">#1 AND #2 AND #3 AND #4  Timespan: 2020-01-01 to 2026-02-01 </w:t>
            </w:r>
          </w:p>
        </w:tc>
        <w:tc>
          <w:tcPr>
            <w:tcW w:w="1391" w:type="dxa"/>
            <w:tcBorders>
              <w:top w:val="nil"/>
              <w:left w:val="nil"/>
              <w:bottom w:val="single" w:color="000000" w:sz="12" w:space="0"/>
              <w:right w:val="nil"/>
            </w:tcBorders>
            <w:vAlign w:val="bottom"/>
          </w:tcPr>
          <w:p w14:paraId="39537481">
            <w:pPr>
              <w:spacing w:line="240" w:lineRule="auto"/>
              <w:rPr>
                <w:rFonts w:cs="Times New Roman"/>
                <w:lang w:val="en-US"/>
              </w:rPr>
            </w:pPr>
            <w:r>
              <w:rPr>
                <w:rFonts w:hint="eastAsia" w:cs="Times New Roman"/>
                <w:lang w:val="en-US" w:eastAsia="zh-CN"/>
              </w:rPr>
              <w:t>2254</w:t>
            </w:r>
          </w:p>
        </w:tc>
      </w:tr>
    </w:tbl>
    <w:p w14:paraId="26FF4224">
      <w:pPr>
        <w:spacing w:line="360" w:lineRule="auto"/>
        <w:rPr>
          <w:rFonts w:hint="eastAsia"/>
          <w:lang w:val="en-US" w:eastAsia="zh-CN"/>
        </w:rPr>
      </w:pPr>
      <w:bookmarkStart w:id="29" w:name="_Toc29605"/>
      <w:r>
        <w:rPr>
          <w:rFonts w:hint="eastAsia"/>
          <w:lang w:val="en-US" w:eastAsia="zh-CN"/>
        </w:rPr>
        <w:br w:type="page"/>
      </w:r>
    </w:p>
    <w:p w14:paraId="4F509679">
      <w:pPr>
        <w:pStyle w:val="4"/>
        <w:bidi w:val="0"/>
        <w:spacing w:line="360" w:lineRule="auto"/>
      </w:pPr>
      <w:bookmarkStart w:id="30" w:name="_Toc158831291"/>
      <w:bookmarkStart w:id="31" w:name="_Toc1552730399"/>
      <w:r>
        <w:t>Table S</w:t>
      </w:r>
      <w:r>
        <w:fldChar w:fldCharType="begin"/>
      </w:r>
      <w:r>
        <w:instrText xml:space="preserve"> SEQ Table_S \* ARABIC </w:instrText>
      </w:r>
      <w:r>
        <w:fldChar w:fldCharType="separate"/>
      </w:r>
      <w:r>
        <w:t>5</w:t>
      </w:r>
      <w:r>
        <w:fldChar w:fldCharType="end"/>
      </w:r>
      <w:r>
        <w:rPr>
          <w:rFonts w:hint="eastAsia"/>
          <w:lang w:val="en-US" w:eastAsia="zh-CN"/>
        </w:rPr>
        <w:t xml:space="preserve"> </w:t>
      </w:r>
      <w:r>
        <w:rPr>
          <w:rFonts w:hint="eastAsia"/>
        </w:rPr>
        <w:t>Search Strategy and Retrieval Results in Embase Database (February 1, 2026)</w:t>
      </w:r>
      <w:bookmarkEnd w:id="29"/>
      <w:bookmarkEnd w:id="30"/>
      <w:bookmarkEnd w:id="31"/>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6095"/>
        <w:gridCol w:w="1391"/>
      </w:tblGrid>
      <w:tr w14:paraId="0904783C">
        <w:tc>
          <w:tcPr>
            <w:tcW w:w="916" w:type="dxa"/>
            <w:tcBorders>
              <w:top w:val="single" w:color="000000" w:sz="12" w:space="0"/>
              <w:left w:val="nil"/>
              <w:bottom w:val="single" w:color="000000" w:sz="4" w:space="0"/>
              <w:right w:val="nil"/>
              <w:tl2br w:val="nil"/>
            </w:tcBorders>
          </w:tcPr>
          <w:p w14:paraId="5CD5F67B">
            <w:pPr>
              <w:spacing w:line="240" w:lineRule="auto"/>
              <w:jc w:val="center"/>
              <w:rPr>
                <w:rFonts w:cs="Times New Roman"/>
                <w:b/>
                <w:bCs/>
                <w:color w:val="000000"/>
                <w:lang w:val="en-US"/>
              </w:rPr>
            </w:pPr>
            <w:r>
              <w:rPr>
                <w:rFonts w:cs="Times New Roman"/>
                <w:b/>
                <w:bCs/>
                <w:color w:val="000000"/>
                <w:lang w:val="en-US"/>
              </w:rPr>
              <w:t>#</w:t>
            </w:r>
          </w:p>
        </w:tc>
        <w:tc>
          <w:tcPr>
            <w:tcW w:w="6095" w:type="dxa"/>
            <w:tcBorders>
              <w:top w:val="single" w:color="000000" w:sz="12" w:space="0"/>
              <w:left w:val="nil"/>
              <w:bottom w:val="single" w:color="000000" w:sz="4" w:space="0"/>
              <w:right w:val="nil"/>
            </w:tcBorders>
          </w:tcPr>
          <w:p w14:paraId="5A8FFDB3">
            <w:pPr>
              <w:spacing w:line="240" w:lineRule="auto"/>
              <w:jc w:val="center"/>
              <w:rPr>
                <w:rFonts w:cs="Times New Roman"/>
                <w:b/>
                <w:bCs/>
                <w:color w:val="000000"/>
                <w:lang w:val="en-US"/>
              </w:rPr>
            </w:pPr>
            <w:r>
              <w:rPr>
                <w:rFonts w:hint="eastAsia" w:cs="Times New Roman"/>
                <w:b/>
                <w:bCs/>
                <w:color w:val="000000"/>
                <w:lang w:val="en-US"/>
              </w:rPr>
              <w:t>Search Query</w:t>
            </w:r>
          </w:p>
        </w:tc>
        <w:tc>
          <w:tcPr>
            <w:tcW w:w="1391" w:type="dxa"/>
            <w:tcBorders>
              <w:top w:val="single" w:color="000000" w:sz="12" w:space="0"/>
              <w:left w:val="nil"/>
              <w:bottom w:val="single" w:color="000000" w:sz="4" w:space="0"/>
              <w:right w:val="nil"/>
            </w:tcBorders>
          </w:tcPr>
          <w:p w14:paraId="1017AABB">
            <w:pPr>
              <w:spacing w:line="240" w:lineRule="auto"/>
              <w:jc w:val="center"/>
              <w:rPr>
                <w:rFonts w:cs="Times New Roman"/>
                <w:b/>
                <w:bCs/>
                <w:color w:val="000000"/>
                <w:lang w:val="en-US"/>
              </w:rPr>
            </w:pPr>
            <w:r>
              <w:rPr>
                <w:rFonts w:ascii="Times New Roman Regular" w:hAnsi="Times New Roman Regular" w:eastAsia="Kaiti SC Regular" w:cs="Times New Roman Regular"/>
                <w:b/>
                <w:bCs/>
                <w:sz w:val="18"/>
                <w:szCs w:val="18"/>
              </w:rPr>
              <w:t>Results</w:t>
            </w:r>
          </w:p>
        </w:tc>
      </w:tr>
    </w:tbl>
    <w:tbl>
      <w:tblPr>
        <w:tblStyle w:val="21"/>
        <w:tblW w:w="0" w:type="auto"/>
        <w:tblInd w:w="0" w:type="dxa"/>
        <w:tblLayout w:type="autofit"/>
        <w:tblCellMar>
          <w:top w:w="0" w:type="dxa"/>
          <w:left w:w="108" w:type="dxa"/>
          <w:bottom w:w="0" w:type="dxa"/>
          <w:right w:w="108" w:type="dxa"/>
        </w:tblCellMar>
      </w:tblPr>
      <w:tblGrid>
        <w:gridCol w:w="916"/>
        <w:gridCol w:w="6095"/>
        <w:gridCol w:w="1391"/>
      </w:tblGrid>
      <w:tr w14:paraId="18DAB95D">
        <w:trPr>
          <w:trHeight w:val="360" w:hRule="atLeast"/>
        </w:trPr>
        <w:tc>
          <w:tcPr>
            <w:tcW w:w="916" w:type="dxa"/>
            <w:tcBorders>
              <w:top w:val="single" w:color="000000" w:sz="4" w:space="0"/>
              <w:left w:val="nil"/>
              <w:bottom w:val="nil"/>
              <w:right w:val="nil"/>
            </w:tcBorders>
            <w:noWrap/>
            <w:vAlign w:val="center"/>
          </w:tcPr>
          <w:p w14:paraId="01D15E91">
            <w:pPr>
              <w:spacing w:line="240" w:lineRule="auto"/>
              <w:jc w:val="center"/>
              <w:rPr>
                <w:rFonts w:cs="Times New Roman"/>
                <w:lang w:val="en-US"/>
              </w:rPr>
            </w:pPr>
            <w:r>
              <w:rPr>
                <w:rFonts w:cs="Times New Roman"/>
                <w:lang w:val="en-US"/>
              </w:rPr>
              <w:t>1</w:t>
            </w:r>
          </w:p>
        </w:tc>
        <w:tc>
          <w:tcPr>
            <w:tcW w:w="6095" w:type="dxa"/>
            <w:tcBorders>
              <w:top w:val="single" w:color="000000" w:sz="4" w:space="0"/>
              <w:left w:val="nil"/>
              <w:bottom w:val="nil"/>
              <w:right w:val="nil"/>
            </w:tcBorders>
            <w:noWrap/>
            <w:vAlign w:val="center"/>
          </w:tcPr>
          <w:p w14:paraId="70E98E90">
            <w:pPr>
              <w:spacing w:line="240" w:lineRule="auto"/>
              <w:rPr>
                <w:rFonts w:cs="Times New Roman"/>
                <w:lang w:val="en-US"/>
              </w:rPr>
            </w:pPr>
            <w:r>
              <w:rPr>
                <w:rFonts w:cs="Times New Roman"/>
                <w:lang w:val="en-US"/>
              </w:rPr>
              <w:t>obes*:ti,ab OR overweight:ti,ab OR 'body mass index':ti,ab OR bmi:ti,ab OR 'waist circumference':ti,ab OR 'waist hip ratio':ti,ab</w:t>
            </w:r>
          </w:p>
        </w:tc>
        <w:tc>
          <w:tcPr>
            <w:tcW w:w="1391" w:type="dxa"/>
            <w:tcBorders>
              <w:top w:val="single" w:color="000000" w:sz="4" w:space="0"/>
              <w:left w:val="nil"/>
              <w:bottom w:val="nil"/>
              <w:right w:val="nil"/>
            </w:tcBorders>
            <w:noWrap/>
            <w:vAlign w:val="center"/>
          </w:tcPr>
          <w:p w14:paraId="400CC2AC">
            <w:pPr>
              <w:spacing w:line="240" w:lineRule="auto"/>
              <w:rPr>
                <w:rFonts w:cs="Times New Roman"/>
                <w:lang w:val="en-US"/>
              </w:rPr>
            </w:pPr>
            <w:r>
              <w:rPr>
                <w:rFonts w:cs="Times New Roman"/>
                <w:lang w:val="en-US"/>
              </w:rPr>
              <w:br w:type="textWrapping"/>
            </w:r>
            <w:r>
              <w:rPr>
                <w:rFonts w:cs="Times New Roman"/>
                <w:lang w:val="en-US"/>
              </w:rPr>
              <w:t>1,208,756</w:t>
            </w:r>
          </w:p>
        </w:tc>
      </w:tr>
      <w:tr w14:paraId="07711B4B">
        <w:trPr>
          <w:trHeight w:val="352" w:hRule="atLeast"/>
        </w:trPr>
        <w:tc>
          <w:tcPr>
            <w:tcW w:w="916" w:type="dxa"/>
            <w:tcBorders>
              <w:top w:val="nil"/>
              <w:left w:val="nil"/>
              <w:bottom w:val="nil"/>
              <w:right w:val="nil"/>
            </w:tcBorders>
            <w:noWrap/>
            <w:vAlign w:val="center"/>
          </w:tcPr>
          <w:p w14:paraId="6526C311">
            <w:pPr>
              <w:spacing w:line="240" w:lineRule="auto"/>
              <w:jc w:val="center"/>
              <w:rPr>
                <w:rFonts w:cs="Times New Roman"/>
                <w:lang w:val="en-US"/>
              </w:rPr>
            </w:pPr>
            <w:r>
              <w:rPr>
                <w:rFonts w:cs="Times New Roman"/>
                <w:lang w:val="en-US"/>
              </w:rPr>
              <w:t>2</w:t>
            </w:r>
          </w:p>
        </w:tc>
        <w:tc>
          <w:tcPr>
            <w:tcW w:w="6095" w:type="dxa"/>
            <w:tcBorders>
              <w:top w:val="nil"/>
              <w:left w:val="nil"/>
              <w:bottom w:val="nil"/>
              <w:right w:val="nil"/>
            </w:tcBorders>
            <w:noWrap/>
            <w:vAlign w:val="center"/>
          </w:tcPr>
          <w:p w14:paraId="3E22FA8C">
            <w:pPr>
              <w:spacing w:line="240" w:lineRule="auto"/>
              <w:rPr>
                <w:rFonts w:cs="Times New Roman"/>
                <w:lang w:val="en-US"/>
              </w:rPr>
            </w:pPr>
            <w:r>
              <w:rPr>
                <w:rFonts w:cs="Times New Roman"/>
                <w:lang w:val="en-US"/>
              </w:rPr>
              <w:t>'prediabetes mellitus'/exp OR 'type 2 diabetes mellitus'/exp OR prediabet*:ti,ab OR 'type 2 diabetes':ti,ab OR t2dm:ti,ab OR 'dyslipidemia'/exp OR dyslipidemia:ti,ab OR hypertriglyceridemia:ti,ab OR 'low hdl':ti,ab OR 'hypertension'/exp OR hypertension:ti,ab OR 'nonalcoholic fatty liver'/exp OR 'fatty liver':ti,ab OR nafld:ti,ab OR nash:ti,ab OR 'liver fibrosis':ti,ab OR 'obstructive sleep apnea'/exp OR 'obstructive sleep apnea':ti,ab OR osa:ti,ab OR 'polycystic ovary syndrome'/exp OR pcos:ti,ab OR 'cardiovascular disease'/exp OR 'coronary artery disease'/exp OR 'heart failure'/exp OR 'atrial fibrillation'/exp OR 'cardiovascular disease':ti,ab OR 'heart failure':ti,ab OR 'atrial fibrillation':ti,ab OR 'colorectal cancer'/exp OR 'endometrial cancer'/exp OR 'breast cancer'/exp OR 'colorectal cancer':ti,ab OR 'endometrial cancer':ti,ab OR 'breast cancer':ti,ab OR 'depression'/exp OR 'anxiety disorder'/exp OR depression:ti,ab OR anxiety:ti,ab</w:t>
            </w:r>
          </w:p>
        </w:tc>
        <w:tc>
          <w:tcPr>
            <w:tcW w:w="1391" w:type="dxa"/>
            <w:tcBorders>
              <w:top w:val="nil"/>
              <w:left w:val="nil"/>
              <w:bottom w:val="nil"/>
              <w:right w:val="nil"/>
            </w:tcBorders>
            <w:noWrap/>
            <w:vAlign w:val="center"/>
          </w:tcPr>
          <w:p w14:paraId="0135FE87">
            <w:pPr>
              <w:spacing w:line="240" w:lineRule="auto"/>
              <w:rPr>
                <w:rFonts w:cs="Times New Roman"/>
                <w:lang w:val="en-US"/>
              </w:rPr>
            </w:pPr>
            <w:r>
              <w:rPr>
                <w:rFonts w:cs="Times New Roman"/>
                <w:lang w:val="en-US"/>
              </w:rPr>
              <w:t>9406490</w:t>
            </w:r>
          </w:p>
        </w:tc>
      </w:tr>
      <w:tr w14:paraId="0A30D8C7">
        <w:trPr>
          <w:trHeight w:val="360" w:hRule="atLeast"/>
        </w:trPr>
        <w:tc>
          <w:tcPr>
            <w:tcW w:w="916" w:type="dxa"/>
            <w:tcBorders>
              <w:top w:val="nil"/>
              <w:left w:val="nil"/>
              <w:bottom w:val="nil"/>
              <w:right w:val="nil"/>
            </w:tcBorders>
            <w:noWrap/>
            <w:vAlign w:val="center"/>
          </w:tcPr>
          <w:p w14:paraId="21934319">
            <w:pPr>
              <w:spacing w:line="240" w:lineRule="auto"/>
              <w:jc w:val="center"/>
              <w:rPr>
                <w:rFonts w:cs="Times New Roman"/>
                <w:lang w:val="en-US"/>
              </w:rPr>
            </w:pPr>
            <w:r>
              <w:rPr>
                <w:rFonts w:cs="Times New Roman"/>
                <w:lang w:val="en-US"/>
              </w:rPr>
              <w:t>3</w:t>
            </w:r>
          </w:p>
        </w:tc>
        <w:tc>
          <w:tcPr>
            <w:tcW w:w="6095" w:type="dxa"/>
            <w:tcBorders>
              <w:top w:val="nil"/>
              <w:left w:val="nil"/>
              <w:bottom w:val="nil"/>
              <w:right w:val="nil"/>
            </w:tcBorders>
            <w:noWrap/>
            <w:vAlign w:val="center"/>
          </w:tcPr>
          <w:p w14:paraId="1604AB76">
            <w:pPr>
              <w:spacing w:line="240" w:lineRule="auto"/>
              <w:rPr>
                <w:rFonts w:cs="Times New Roman"/>
                <w:lang w:val="en-US"/>
              </w:rPr>
            </w:pPr>
            <w:r>
              <w:rPr>
                <w:rFonts w:hint="eastAsia" w:cs="Times New Roman"/>
                <w:lang w:val="en-US"/>
              </w:rPr>
              <w:t>('risk prediction':ti,ab OR 'prediction model':ti,ab OR 'risk model':ti,ab OR 'risk score':ti,ab OR nomogram:ti,ab OR 'prediction rule':ti,ab OR 'risk assessment':ti,ab OR 'risk evaluation':ti,ab) AND (validation:ti,ab OR derivation:ti,ab OR development:ti,ab OR discrimination:ti,ab OR calibration:ti,ab OR 'c statistic':ti,ab OR auc:ti,ab OR 'roc curve':ti,ab OR 'hosmer lemeshow':ti,ab)</w:t>
            </w:r>
          </w:p>
        </w:tc>
        <w:tc>
          <w:tcPr>
            <w:tcW w:w="1391" w:type="dxa"/>
            <w:tcBorders>
              <w:top w:val="nil"/>
              <w:left w:val="nil"/>
              <w:bottom w:val="nil"/>
              <w:right w:val="nil"/>
            </w:tcBorders>
            <w:noWrap/>
            <w:vAlign w:val="center"/>
          </w:tcPr>
          <w:p w14:paraId="1C5D2755">
            <w:pPr>
              <w:spacing w:line="240" w:lineRule="auto"/>
              <w:rPr>
                <w:rFonts w:hint="default" w:eastAsia="KaiTi_GB2312" w:cs="Times New Roman"/>
                <w:lang w:val="en-US" w:eastAsia="zh-CN"/>
              </w:rPr>
            </w:pPr>
            <w:r>
              <w:rPr>
                <w:rFonts w:hint="eastAsia" w:cs="Times New Roman"/>
                <w:lang w:val="en-US" w:eastAsia="zh-CN"/>
              </w:rPr>
              <w:t>118037</w:t>
            </w:r>
          </w:p>
        </w:tc>
      </w:tr>
      <w:tr w14:paraId="53075043">
        <w:trPr>
          <w:trHeight w:val="360" w:hRule="atLeast"/>
        </w:trPr>
        <w:tc>
          <w:tcPr>
            <w:tcW w:w="916" w:type="dxa"/>
            <w:tcBorders>
              <w:top w:val="nil"/>
              <w:left w:val="nil"/>
              <w:bottom w:val="nil"/>
              <w:right w:val="nil"/>
            </w:tcBorders>
            <w:noWrap/>
            <w:vAlign w:val="center"/>
          </w:tcPr>
          <w:p w14:paraId="62F694FE">
            <w:pPr>
              <w:spacing w:line="240" w:lineRule="auto"/>
              <w:jc w:val="center"/>
              <w:rPr>
                <w:rFonts w:cs="Times New Roman"/>
                <w:lang w:val="en-US"/>
              </w:rPr>
            </w:pPr>
            <w:r>
              <w:rPr>
                <w:rFonts w:cs="Times New Roman"/>
                <w:lang w:val="en-US"/>
              </w:rPr>
              <w:t>4</w:t>
            </w:r>
          </w:p>
        </w:tc>
        <w:tc>
          <w:tcPr>
            <w:tcW w:w="6095" w:type="dxa"/>
            <w:tcBorders>
              <w:top w:val="nil"/>
              <w:left w:val="nil"/>
              <w:bottom w:val="nil"/>
              <w:right w:val="nil"/>
            </w:tcBorders>
            <w:noWrap/>
            <w:vAlign w:val="center"/>
          </w:tcPr>
          <w:p w14:paraId="2BDAFF42">
            <w:pPr>
              <w:spacing w:line="240" w:lineRule="auto"/>
              <w:rPr>
                <w:rFonts w:cs="Times New Roman"/>
                <w:lang w:val="en-US"/>
              </w:rPr>
            </w:pPr>
            <w:r>
              <w:rPr>
                <w:rFonts w:cs="Times New Roman"/>
                <w:lang w:val="en-US"/>
              </w:rPr>
              <w:t>[2020-2026]/py</w:t>
            </w:r>
          </w:p>
        </w:tc>
        <w:tc>
          <w:tcPr>
            <w:tcW w:w="1391" w:type="dxa"/>
            <w:tcBorders>
              <w:top w:val="nil"/>
              <w:left w:val="nil"/>
              <w:bottom w:val="nil"/>
              <w:right w:val="nil"/>
            </w:tcBorders>
            <w:noWrap/>
            <w:vAlign w:val="center"/>
          </w:tcPr>
          <w:p w14:paraId="7964FF6B">
            <w:pPr>
              <w:spacing w:line="240" w:lineRule="auto"/>
              <w:rPr>
                <w:rFonts w:cs="Times New Roman"/>
                <w:lang w:val="en-US"/>
              </w:rPr>
            </w:pPr>
            <w:r>
              <w:rPr>
                <w:rFonts w:cs="Times New Roman"/>
                <w:lang w:val="en-US"/>
              </w:rPr>
              <w:t>11801449</w:t>
            </w:r>
          </w:p>
        </w:tc>
      </w:tr>
      <w:tr w14:paraId="207FB876">
        <w:trPr>
          <w:trHeight w:val="352" w:hRule="atLeast"/>
        </w:trPr>
        <w:tc>
          <w:tcPr>
            <w:tcW w:w="916" w:type="dxa"/>
            <w:tcBorders>
              <w:top w:val="nil"/>
              <w:left w:val="nil"/>
              <w:bottom w:val="nil"/>
              <w:right w:val="nil"/>
            </w:tcBorders>
            <w:noWrap/>
            <w:vAlign w:val="center"/>
          </w:tcPr>
          <w:p w14:paraId="3213D81D">
            <w:pPr>
              <w:spacing w:line="240" w:lineRule="auto"/>
              <w:jc w:val="center"/>
              <w:rPr>
                <w:rFonts w:cs="Times New Roman"/>
                <w:lang w:val="en-US"/>
              </w:rPr>
            </w:pPr>
            <w:r>
              <w:rPr>
                <w:rFonts w:cs="Times New Roman"/>
                <w:lang w:val="en-US"/>
              </w:rPr>
              <w:t>5</w:t>
            </w:r>
          </w:p>
        </w:tc>
        <w:tc>
          <w:tcPr>
            <w:tcW w:w="6095" w:type="dxa"/>
            <w:tcBorders>
              <w:top w:val="nil"/>
              <w:left w:val="nil"/>
              <w:bottom w:val="nil"/>
              <w:right w:val="nil"/>
            </w:tcBorders>
            <w:noWrap/>
            <w:vAlign w:val="center"/>
          </w:tcPr>
          <w:p w14:paraId="46648373">
            <w:pPr>
              <w:spacing w:line="240" w:lineRule="auto"/>
              <w:rPr>
                <w:rFonts w:cs="Times New Roman"/>
                <w:lang w:val="en-US"/>
              </w:rPr>
            </w:pPr>
            <w:r>
              <w:rPr>
                <w:rFonts w:cs="Times New Roman"/>
                <w:lang w:val="en-US"/>
              </w:rPr>
              <w:t>#1 AND #2 AND #3 AND #4</w:t>
            </w:r>
          </w:p>
        </w:tc>
        <w:tc>
          <w:tcPr>
            <w:tcW w:w="1391" w:type="dxa"/>
            <w:tcBorders>
              <w:top w:val="nil"/>
              <w:left w:val="nil"/>
              <w:bottom w:val="nil"/>
              <w:right w:val="nil"/>
            </w:tcBorders>
            <w:noWrap/>
            <w:vAlign w:val="center"/>
          </w:tcPr>
          <w:p w14:paraId="4A32904C">
            <w:pPr>
              <w:spacing w:line="240" w:lineRule="auto"/>
              <w:rPr>
                <w:rFonts w:cs="Times New Roman"/>
                <w:lang w:val="en-US"/>
              </w:rPr>
            </w:pPr>
            <w:r>
              <w:rPr>
                <w:rFonts w:hint="eastAsia" w:cs="Times New Roman"/>
                <w:lang w:val="en-US" w:eastAsia="zh-CN"/>
              </w:rPr>
              <w:t>4127</w:t>
            </w:r>
          </w:p>
        </w:tc>
      </w:tr>
      <w:tr w14:paraId="02287A45">
        <w:trPr>
          <w:trHeight w:val="360" w:hRule="atLeast"/>
        </w:trPr>
        <w:tc>
          <w:tcPr>
            <w:tcW w:w="916" w:type="dxa"/>
            <w:tcBorders>
              <w:top w:val="nil"/>
              <w:left w:val="nil"/>
              <w:bottom w:val="nil"/>
              <w:right w:val="nil"/>
            </w:tcBorders>
            <w:noWrap/>
            <w:vAlign w:val="center"/>
          </w:tcPr>
          <w:p w14:paraId="741F7568">
            <w:pPr>
              <w:spacing w:line="240" w:lineRule="auto"/>
              <w:jc w:val="center"/>
              <w:rPr>
                <w:rFonts w:cs="Times New Roman"/>
                <w:lang w:val="en-US"/>
              </w:rPr>
            </w:pPr>
            <w:r>
              <w:rPr>
                <w:rFonts w:cs="Times New Roman"/>
                <w:lang w:val="en-US"/>
              </w:rPr>
              <w:t>6</w:t>
            </w:r>
          </w:p>
        </w:tc>
        <w:tc>
          <w:tcPr>
            <w:tcW w:w="6095" w:type="dxa"/>
            <w:tcBorders>
              <w:top w:val="nil"/>
              <w:left w:val="nil"/>
              <w:bottom w:val="nil"/>
              <w:right w:val="nil"/>
            </w:tcBorders>
            <w:noWrap/>
            <w:vAlign w:val="center"/>
          </w:tcPr>
          <w:p w14:paraId="7A06EBDD">
            <w:pPr>
              <w:spacing w:line="240" w:lineRule="auto"/>
              <w:rPr>
                <w:rFonts w:cs="Times New Roman"/>
                <w:lang w:val="en-US"/>
              </w:rPr>
            </w:pPr>
            <w:r>
              <w:rPr>
                <w:rFonts w:cs="Times New Roman"/>
                <w:lang w:val="en-US"/>
              </w:rPr>
              <w:t>mortality:ti OR survival:ti OR prognosis:ti OR prognostic:ti OR recurrence:ti OR complication*:ti OR outcome*:ti</w:t>
            </w:r>
          </w:p>
        </w:tc>
        <w:tc>
          <w:tcPr>
            <w:tcW w:w="1391" w:type="dxa"/>
            <w:tcBorders>
              <w:top w:val="nil"/>
              <w:left w:val="nil"/>
              <w:bottom w:val="nil"/>
              <w:right w:val="nil"/>
            </w:tcBorders>
            <w:noWrap/>
            <w:vAlign w:val="center"/>
          </w:tcPr>
          <w:p w14:paraId="01895038">
            <w:pPr>
              <w:spacing w:line="240" w:lineRule="auto"/>
              <w:rPr>
                <w:rFonts w:cs="Times New Roman"/>
                <w:lang w:val="en-US"/>
              </w:rPr>
            </w:pPr>
            <w:r>
              <w:rPr>
                <w:rFonts w:cs="Times New Roman"/>
                <w:lang w:val="en-US"/>
              </w:rPr>
              <w:t>2024439</w:t>
            </w:r>
          </w:p>
        </w:tc>
      </w:tr>
      <w:tr w14:paraId="31625BDF">
        <w:trPr>
          <w:trHeight w:val="352" w:hRule="atLeast"/>
        </w:trPr>
        <w:tc>
          <w:tcPr>
            <w:tcW w:w="916" w:type="dxa"/>
            <w:tcBorders>
              <w:top w:val="nil"/>
              <w:left w:val="nil"/>
              <w:bottom w:val="nil"/>
              <w:right w:val="nil"/>
            </w:tcBorders>
            <w:noWrap/>
            <w:vAlign w:val="center"/>
          </w:tcPr>
          <w:p w14:paraId="468495AC">
            <w:pPr>
              <w:spacing w:line="240" w:lineRule="auto"/>
              <w:jc w:val="center"/>
              <w:rPr>
                <w:rFonts w:cs="Times New Roman"/>
                <w:lang w:val="en-US"/>
              </w:rPr>
            </w:pPr>
            <w:r>
              <w:rPr>
                <w:rFonts w:cs="Times New Roman"/>
                <w:lang w:val="en-US"/>
              </w:rPr>
              <w:t>7</w:t>
            </w:r>
          </w:p>
        </w:tc>
        <w:tc>
          <w:tcPr>
            <w:tcW w:w="6095" w:type="dxa"/>
            <w:tcBorders>
              <w:top w:val="nil"/>
              <w:left w:val="nil"/>
              <w:bottom w:val="nil"/>
              <w:right w:val="nil"/>
            </w:tcBorders>
            <w:noWrap/>
            <w:vAlign w:val="center"/>
          </w:tcPr>
          <w:p w14:paraId="78C38D71">
            <w:pPr>
              <w:spacing w:line="240" w:lineRule="auto"/>
              <w:rPr>
                <w:rFonts w:cs="Times New Roman"/>
                <w:lang w:val="en-US"/>
              </w:rPr>
            </w:pPr>
            <w:r>
              <w:rPr>
                <w:rFonts w:cs="Times New Roman"/>
                <w:lang w:val="en-US"/>
              </w:rPr>
              <w:t>#5 NOT #6</w:t>
            </w:r>
          </w:p>
        </w:tc>
        <w:tc>
          <w:tcPr>
            <w:tcW w:w="1391" w:type="dxa"/>
            <w:tcBorders>
              <w:top w:val="nil"/>
              <w:left w:val="nil"/>
              <w:bottom w:val="nil"/>
              <w:right w:val="nil"/>
            </w:tcBorders>
            <w:noWrap/>
            <w:vAlign w:val="center"/>
          </w:tcPr>
          <w:p w14:paraId="40A4816A">
            <w:pPr>
              <w:spacing w:line="240" w:lineRule="auto"/>
              <w:rPr>
                <w:rFonts w:cs="Times New Roman"/>
                <w:lang w:val="en-US"/>
              </w:rPr>
            </w:pPr>
            <w:r>
              <w:rPr>
                <w:rFonts w:hint="eastAsia" w:cs="Times New Roman"/>
                <w:lang w:val="en-US" w:eastAsia="zh-CN"/>
              </w:rPr>
              <w:t>33543</w:t>
            </w:r>
          </w:p>
        </w:tc>
      </w:tr>
      <w:tr w14:paraId="1DCB978F">
        <w:trPr>
          <w:trHeight w:val="352" w:hRule="atLeast"/>
        </w:trPr>
        <w:tc>
          <w:tcPr>
            <w:tcW w:w="916" w:type="dxa"/>
            <w:tcBorders>
              <w:top w:val="nil"/>
              <w:left w:val="nil"/>
              <w:bottom w:val="nil"/>
              <w:right w:val="nil"/>
            </w:tcBorders>
            <w:noWrap/>
            <w:vAlign w:val="center"/>
          </w:tcPr>
          <w:p w14:paraId="25A8F200">
            <w:pPr>
              <w:spacing w:line="240" w:lineRule="auto"/>
              <w:jc w:val="center"/>
              <w:rPr>
                <w:rFonts w:cs="Times New Roman"/>
                <w:lang w:val="en-US"/>
              </w:rPr>
            </w:pPr>
            <w:r>
              <w:rPr>
                <w:rFonts w:cs="Times New Roman"/>
                <w:lang w:val="en-US"/>
              </w:rPr>
              <w:t>8</w:t>
            </w:r>
          </w:p>
        </w:tc>
        <w:tc>
          <w:tcPr>
            <w:tcW w:w="6095" w:type="dxa"/>
            <w:tcBorders>
              <w:top w:val="nil"/>
              <w:left w:val="nil"/>
              <w:bottom w:val="nil"/>
              <w:right w:val="nil"/>
            </w:tcBorders>
            <w:noWrap/>
            <w:vAlign w:val="center"/>
          </w:tcPr>
          <w:p w14:paraId="2D12C1C9">
            <w:pPr>
              <w:spacing w:line="240" w:lineRule="auto"/>
              <w:rPr>
                <w:rFonts w:cs="Times New Roman"/>
                <w:lang w:val="en-US"/>
              </w:rPr>
            </w:pPr>
            <w:r>
              <w:rPr>
                <w:rFonts w:cs="Times New Roman"/>
                <w:lang w:val="en-US"/>
              </w:rPr>
              <w:t>'prediction and forecasting'/exp OR 'risk assessment'/exp</w:t>
            </w:r>
          </w:p>
        </w:tc>
        <w:tc>
          <w:tcPr>
            <w:tcW w:w="1391" w:type="dxa"/>
            <w:tcBorders>
              <w:top w:val="nil"/>
              <w:left w:val="nil"/>
              <w:bottom w:val="nil"/>
              <w:right w:val="nil"/>
            </w:tcBorders>
            <w:noWrap/>
            <w:vAlign w:val="center"/>
          </w:tcPr>
          <w:p w14:paraId="2D6F0E8A">
            <w:pPr>
              <w:spacing w:line="240" w:lineRule="auto"/>
              <w:rPr>
                <w:rFonts w:cs="Times New Roman"/>
                <w:lang w:val="en-US"/>
              </w:rPr>
            </w:pPr>
            <w:r>
              <w:rPr>
                <w:rFonts w:cs="Times New Roman"/>
                <w:lang w:val="en-US"/>
              </w:rPr>
              <w:t>2759297</w:t>
            </w:r>
          </w:p>
        </w:tc>
      </w:tr>
      <w:tr w14:paraId="6917EB52">
        <w:trPr>
          <w:trHeight w:val="352" w:hRule="atLeast"/>
        </w:trPr>
        <w:tc>
          <w:tcPr>
            <w:tcW w:w="916" w:type="dxa"/>
            <w:tcBorders>
              <w:top w:val="nil"/>
              <w:left w:val="nil"/>
              <w:bottom w:val="single" w:color="000000" w:sz="12" w:space="0"/>
              <w:right w:val="nil"/>
            </w:tcBorders>
            <w:noWrap/>
            <w:vAlign w:val="center"/>
          </w:tcPr>
          <w:p w14:paraId="59A11300">
            <w:pPr>
              <w:spacing w:line="240" w:lineRule="auto"/>
              <w:jc w:val="center"/>
              <w:rPr>
                <w:rFonts w:cs="Times New Roman"/>
                <w:lang w:val="en-US"/>
              </w:rPr>
            </w:pPr>
            <w:r>
              <w:rPr>
                <w:rFonts w:cs="Times New Roman"/>
                <w:lang w:val="en-US"/>
              </w:rPr>
              <w:t>9</w:t>
            </w:r>
          </w:p>
        </w:tc>
        <w:tc>
          <w:tcPr>
            <w:tcW w:w="6095" w:type="dxa"/>
            <w:tcBorders>
              <w:top w:val="nil"/>
              <w:left w:val="nil"/>
              <w:bottom w:val="single" w:color="000000" w:sz="12" w:space="0"/>
              <w:right w:val="nil"/>
            </w:tcBorders>
            <w:noWrap/>
            <w:vAlign w:val="center"/>
          </w:tcPr>
          <w:p w14:paraId="471FB859">
            <w:pPr>
              <w:spacing w:line="240" w:lineRule="auto"/>
              <w:rPr>
                <w:rFonts w:cs="Times New Roman"/>
                <w:lang w:val="en-US"/>
              </w:rPr>
            </w:pPr>
            <w:r>
              <w:rPr>
                <w:rFonts w:cs="Times New Roman"/>
                <w:lang w:val="en-US"/>
              </w:rPr>
              <w:t>#7 AND #8</w:t>
            </w:r>
          </w:p>
        </w:tc>
        <w:tc>
          <w:tcPr>
            <w:tcW w:w="1391" w:type="dxa"/>
            <w:tcBorders>
              <w:top w:val="nil"/>
              <w:left w:val="nil"/>
              <w:bottom w:val="single" w:color="000000" w:sz="12" w:space="0"/>
              <w:right w:val="nil"/>
            </w:tcBorders>
            <w:noWrap/>
            <w:vAlign w:val="center"/>
          </w:tcPr>
          <w:p w14:paraId="2F838022">
            <w:pPr>
              <w:spacing w:line="240" w:lineRule="auto"/>
              <w:rPr>
                <w:rFonts w:cs="Times New Roman"/>
                <w:lang w:val="en-US"/>
              </w:rPr>
            </w:pPr>
            <w:r>
              <w:rPr>
                <w:rFonts w:hint="eastAsia" w:cs="Times New Roman"/>
                <w:lang w:val="en-US" w:eastAsia="zh-CN"/>
              </w:rPr>
              <w:t>2615</w:t>
            </w:r>
          </w:p>
        </w:tc>
      </w:tr>
    </w:tbl>
    <w:p w14:paraId="2C233084">
      <w:pPr>
        <w:spacing w:line="360" w:lineRule="auto"/>
        <w:rPr>
          <w:rFonts w:cs="Times New Roman"/>
          <w:lang w:val="en-US"/>
        </w:rPr>
      </w:pPr>
    </w:p>
    <w:p w14:paraId="0BB56E43">
      <w:pPr>
        <w:spacing w:line="360" w:lineRule="auto"/>
        <w:rPr>
          <w:rFonts w:hint="eastAsia"/>
          <w:lang w:val="en-US" w:eastAsia="zh-CN"/>
        </w:rPr>
      </w:pPr>
      <w:bookmarkStart w:id="32" w:name="_Toc716"/>
      <w:r>
        <w:rPr>
          <w:rFonts w:hint="eastAsia"/>
          <w:lang w:val="en-US" w:eastAsia="zh-CN"/>
        </w:rPr>
        <w:br w:type="page"/>
      </w:r>
    </w:p>
    <w:p w14:paraId="5E2CE30C">
      <w:pPr>
        <w:pStyle w:val="4"/>
        <w:bidi w:val="0"/>
        <w:spacing w:line="360" w:lineRule="auto"/>
        <w:rPr>
          <w:rFonts w:hint="default"/>
          <w:lang w:val="en-US"/>
        </w:rPr>
      </w:pPr>
      <w:bookmarkStart w:id="33" w:name="_Toc155334616"/>
      <w:bookmarkStart w:id="34" w:name="_Toc518537649"/>
      <w:r>
        <w:t>Table S</w:t>
      </w:r>
      <w:r>
        <w:fldChar w:fldCharType="begin"/>
      </w:r>
      <w:r>
        <w:instrText xml:space="preserve"> SEQ Table_S \* ARABIC </w:instrText>
      </w:r>
      <w:r>
        <w:fldChar w:fldCharType="separate"/>
      </w:r>
      <w:r>
        <w:t>6</w:t>
      </w:r>
      <w:r>
        <w:fldChar w:fldCharType="end"/>
      </w:r>
      <w:r>
        <w:rPr>
          <w:rFonts w:hint="eastAsia"/>
          <w:lang w:val="en-US" w:eastAsia="zh-CN"/>
        </w:rPr>
        <w:t xml:space="preserve"> List of Excluded Studies After Full-Text Screening</w:t>
      </w:r>
      <w:bookmarkEnd w:id="32"/>
      <w:bookmarkEnd w:id="33"/>
      <w:r>
        <w:rPr>
          <w:rFonts w:hint="default"/>
          <w:lang w:val="en-US" w:eastAsia="zh-CN"/>
        </w:rPr>
        <w:t>(27)</w:t>
      </w:r>
      <w:bookmarkEnd w:id="34"/>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6055"/>
      </w:tblGrid>
      <w:tr w14:paraId="417C36C9">
        <w:tc>
          <w:tcPr>
            <w:tcW w:w="2094" w:type="dxa"/>
            <w:tcBorders>
              <w:top w:val="single" w:color="000000" w:sz="12" w:space="0"/>
              <w:left w:val="nil"/>
              <w:bottom w:val="single" w:color="000000" w:sz="4" w:space="0"/>
              <w:right w:val="nil"/>
              <w:tl2br w:val="nil"/>
            </w:tcBorders>
          </w:tcPr>
          <w:p w14:paraId="1D94FE8B">
            <w:pPr>
              <w:spacing w:line="240" w:lineRule="auto"/>
              <w:jc w:val="center"/>
              <w:rPr>
                <w:rFonts w:cs="Times New Roman"/>
                <w:bCs/>
                <w:color w:val="000000"/>
                <w:lang w:val="en-US"/>
              </w:rPr>
            </w:pPr>
            <w:r>
              <w:rPr>
                <w:rFonts w:hint="eastAsia" w:cs="Times New Roman"/>
                <w:bCs/>
                <w:color w:val="000000"/>
                <w:lang w:val="en-US"/>
              </w:rPr>
              <w:t>Reasons for Exclusion</w:t>
            </w:r>
          </w:p>
        </w:tc>
        <w:tc>
          <w:tcPr>
            <w:tcW w:w="6428" w:type="dxa"/>
            <w:tcBorders>
              <w:top w:val="single" w:color="000000" w:sz="12" w:space="0"/>
              <w:left w:val="nil"/>
              <w:bottom w:val="single" w:color="000000" w:sz="4" w:space="0"/>
              <w:right w:val="nil"/>
            </w:tcBorders>
          </w:tcPr>
          <w:p w14:paraId="3D72BAC1">
            <w:pPr>
              <w:spacing w:line="240" w:lineRule="auto"/>
              <w:jc w:val="center"/>
              <w:rPr>
                <w:rFonts w:cs="Times New Roman"/>
                <w:bCs/>
                <w:color w:val="000000"/>
                <w:lang w:val="en-US"/>
              </w:rPr>
            </w:pPr>
            <w:r>
              <w:rPr>
                <w:rFonts w:hint="eastAsia" w:cs="Times New Roman"/>
                <w:bCs/>
                <w:color w:val="000000"/>
                <w:lang w:val="en-US"/>
              </w:rPr>
              <w:t>Information of Excluded Studies</w:t>
            </w:r>
          </w:p>
        </w:tc>
      </w:tr>
      <w:tr w14:paraId="65892B7F">
        <w:tc>
          <w:tcPr>
            <w:tcW w:w="2094" w:type="dxa"/>
            <w:tcBorders>
              <w:top w:val="single" w:color="000000" w:sz="4" w:space="0"/>
              <w:left w:val="nil"/>
              <w:bottom w:val="nil"/>
              <w:right w:val="nil"/>
            </w:tcBorders>
            <w:vAlign w:val="top"/>
          </w:tcPr>
          <w:p w14:paraId="347C27E9">
            <w:pPr>
              <w:spacing w:line="240" w:lineRule="auto"/>
              <w:jc w:val="center"/>
              <w:rPr>
                <w:rFonts w:cs="Times New Roman"/>
                <w:color w:val="000000"/>
                <w:lang w:val="en-US"/>
              </w:rPr>
            </w:pPr>
            <w:r>
              <w:rPr>
                <w:rFonts w:cs="Times New Roman"/>
                <w:color w:val="000000"/>
                <w:lang w:val="en-US"/>
              </w:rPr>
              <w:t>(1) Inconsistent model objectives</w:t>
            </w:r>
            <w:r>
              <w:rPr>
                <w:rFonts w:hint="eastAsia" w:cs="Times New Roman"/>
                <w:color w:val="000000"/>
                <w:lang w:val="en-US" w:eastAsia="zh-CN"/>
              </w:rPr>
              <w:t xml:space="preserve"> </w:t>
            </w:r>
            <w:r>
              <w:rPr>
                <w:rFonts w:cs="Times New Roman"/>
                <w:color w:val="000000"/>
                <w:lang w:val="en-US"/>
              </w:rPr>
              <w:t>(e.g., constructing diagnostic models, prognostic models, or treatment selection models rather than incident risk models; models not targeting overweight/obesity-related diseases or core predictors excluding overweight/obesity-related indicators (such as BMI, waist circumference, and other anthropometric indicators)) (N=11)</w:t>
            </w:r>
          </w:p>
        </w:tc>
        <w:tc>
          <w:tcPr>
            <w:tcW w:w="6428" w:type="dxa"/>
            <w:tcBorders>
              <w:top w:val="single" w:color="000000" w:sz="4" w:space="0"/>
              <w:left w:val="nil"/>
              <w:bottom w:val="nil"/>
              <w:right w:val="nil"/>
            </w:tcBorders>
          </w:tcPr>
          <w:p w14:paraId="14A6A272">
            <w:pPr>
              <w:numPr>
                <w:ilvl w:val="0"/>
                <w:numId w:val="1"/>
              </w:numPr>
              <w:spacing w:line="240" w:lineRule="auto"/>
              <w:rPr>
                <w:rFonts w:cs="Times New Roman"/>
                <w:color w:val="000000"/>
                <w:lang w:val="en-US"/>
              </w:rPr>
            </w:pPr>
            <w:r>
              <w:rPr>
                <w:rFonts w:hint="eastAsia" w:cs="Times New Roman"/>
                <w:color w:val="000000"/>
                <w:lang w:val="en-US"/>
              </w:rPr>
              <w:t>Zheng</w:t>
            </w:r>
            <w:r>
              <w:rPr>
                <w:rFonts w:hint="eastAsia" w:cs="Times New Roman"/>
                <w:color w:val="000000"/>
                <w:lang w:val="en-US" w:eastAsia="zh-CN"/>
              </w:rPr>
              <w:t xml:space="preserve"> </w:t>
            </w:r>
            <w:r>
              <w:rPr>
                <w:rFonts w:hint="eastAsia" w:cs="Times New Roman"/>
                <w:color w:val="000000"/>
                <w:lang w:val="en-US"/>
              </w:rPr>
              <w:t>B. Construction of a predictive model for central precocious puberty risk in obese girls based on body composition indicators. University of South China, 2024.</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&lt;EndNote&gt;&lt;Cite&gt;&lt;Author&gt;Zheng&lt;/Author&gt;&lt;Year&gt;2024&lt;/Year&gt;&lt;RecNum&gt;504&lt;/RecNum&gt;&lt;DisplayText&gt;(1)&lt;/DisplayText&gt;&lt;record&gt;&lt;rec-number&gt;504&lt;/rec-number&gt;&lt;foreign-keys&gt;&lt;key app="EN" db-id="earspdaa1vazprerafqvx9tx5pvfaxf9awz0" timestamp="1775194678"&gt;504&lt;/key&gt;&lt;/foreign-keys&gt;&lt;ref-type name="学位论文"&gt;32&lt;/ref-type&gt;&lt;contributors&gt;&lt;authors&gt;&lt;author&gt;Bingya Zheng&lt;/author&gt;&lt;/authors&gt;&lt;tertiary-authors&gt;&lt;author&gt;Yan Zhong&lt;/author&gt;&lt;/tertiary-authors&gt;&lt;/contributors&gt;&lt;titles&gt;&lt;title&gt;Construction of a predictive model for central precocious puberty risk in obese girls based on body composition indicators&lt;/title&gt;&lt;secondary-title&gt;University of South China&lt;/secondary-title&gt;&lt;/titles&gt;&lt;volume&gt;Master of Medicine (Professional Degree)&lt;/volume&gt;&lt;number&gt;DOI:10.27234/d.cnki.gnhuu.2024.001232&lt;/number&gt;&lt;dates&gt;&lt;year&gt;2024&lt;/year&gt;&lt;pub-dates&gt;&lt;date&gt;April 28, 2024&lt;/date&gt;&lt;/pub-dates&gt;&lt;/dates&gt;&lt;pub-location&gt;Hengyang, Hunan, China&lt;/pub-location&gt;&lt;publisher&gt;University of South China&lt;/publisher&gt;&lt;urls&gt;&lt;/urls&gt;&lt;electronic-resource-num&gt;10.27234/d.cnki.gnhuu.2024.001232&lt;/electronic-resource-num&gt;&lt;/record&gt;&lt;/Cite&gt;&lt;/EndNote&gt;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w:t>
            </w:r>
            <w:r>
              <w:rPr>
                <w:rFonts w:hint="eastAsia" w:cs="Times New Roman"/>
                <w:color w:val="000000"/>
                <w:lang w:val="en-US"/>
              </w:rPr>
              <w:fldChar w:fldCharType="end"/>
            </w:r>
          </w:p>
          <w:p w14:paraId="014CB1A9">
            <w:pPr>
              <w:numPr>
                <w:ilvl w:val="0"/>
                <w:numId w:val="1"/>
              </w:numPr>
              <w:spacing w:line="240" w:lineRule="auto"/>
              <w:rPr>
                <w:rFonts w:cs="Times New Roman"/>
                <w:color w:val="000000"/>
                <w:lang w:val="en-US"/>
              </w:rPr>
            </w:pPr>
            <w:r>
              <w:rPr>
                <w:rFonts w:hint="eastAsia" w:cs="Times New Roman"/>
                <w:color w:val="000000"/>
                <w:lang w:val="en-US"/>
              </w:rPr>
              <w:t>Huang R. Construction and analysis of a nomogram model for predicting the risk of central precocious puberty in obese girls. Nanchang University, 2023.</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&lt;EndNote&gt;&lt;Cite&gt;&lt;Author&gt;Huang&lt;/Author&gt;&lt;Year&gt;2023&lt;/Year&gt;&lt;RecNum&gt;505&lt;/RecNum&gt;&lt;DisplayText&gt;(2)&lt;/DisplayText&gt;&lt;record&gt;&lt;rec-number&gt;505&lt;/rec-number&gt;&lt;foreign-keys&gt;&lt;key app="EN" db-id="earspdaa1vazprerafqvx9tx5pvfaxf9awz0" timestamp="1775195451"&gt;505&lt;/key&gt;&lt;/foreign-keys&gt;&lt;ref-type name="学位论文"&gt;32&lt;/ref-type&gt;&lt;contributors&gt;&lt;authors&gt;&lt;author&gt;Renhao Huang&lt;/author&gt;&lt;/authors&gt;&lt;/contributors&gt;&lt;titles&gt;&lt;title&gt;Construction and analysis of a nomogram model for predicting the risk of central precocious puberty in obese girls&lt;/title&gt;&lt;secondary-title&gt;School of Pediatrics, Nanchang University&lt;/secondary-title&gt;&lt;/titles&gt;&lt;volume&gt;Master of Clinical Medicine (Professional Degree)&lt;/volume&gt;&lt;number&gt;DOI: 10.27232/d.cnki.gnchu.2023.000186&lt;/number&gt;&lt;dates&gt;&lt;year&gt;2023&lt;/year&gt;&lt;/dates&gt;&lt;pub-location&gt;Nanchang, Jiangxi, China&lt;/pub-location&gt;&lt;publisher&gt;Nanchang University&lt;/publisher&gt;&lt;urls&gt;&lt;/urls&gt;&lt;/record&gt;&lt;/Cite&gt;&lt;/EndNote&gt;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w:t>
            </w:r>
            <w:r>
              <w:rPr>
                <w:rFonts w:hint="eastAsia" w:cs="Times New Roman"/>
                <w:color w:val="000000"/>
                <w:lang w:val="en-US"/>
              </w:rPr>
              <w:fldChar w:fldCharType="end"/>
            </w:r>
          </w:p>
          <w:p w14:paraId="6E3759AD">
            <w:pPr>
              <w:numPr>
                <w:ilvl w:val="0"/>
                <w:numId w:val="1"/>
              </w:numPr>
              <w:spacing w:line="240" w:lineRule="auto"/>
              <w:rPr>
                <w:rFonts w:cs="Times New Roman"/>
                <w:color w:val="000000"/>
                <w:lang w:val="en-US"/>
              </w:rPr>
            </w:pPr>
            <w:r>
              <w:rPr>
                <w:rFonts w:hint="eastAsia" w:cs="Times New Roman"/>
                <w:color w:val="000000"/>
                <w:lang w:val="en-US"/>
              </w:rPr>
              <w:t>Jiang X, Liu R, Liao T, et al. A Predictive Model of Live Birth Based on Obesity and Metabolic Parameters in Patients With PCOS Undergoing Frozen-Thawed Embryo Transfer. Front Endocrinol (Lausanne) 2021;12:799871. doi: 10.3389/fendo.2021.799871 [published Online First: 20220112]</w:t>
            </w:r>
            <w:r>
              <w:rPr>
                <w:rFonts w:hint="eastAsia" w:cs="Times New Roman"/>
                <w:color w:val="000000"/>
                <w:lang w:val="en-US" w:eastAsia="zh-CN"/>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PEVuZE5vdGU+PENpdGU+PEF1dGhvcj5KaWFuZzwvQXV0aG9yPjxZZWFyPjIwMjE8L1llYXI+PFJl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ZXJlc3QuPC9jdXN0b20xPjxjdXN0b20yPlBNQzg3OTA3ODE8L2N1c3RvbTI+PGVsZWN0cm9uaWMt
cmVzb3VyY2UtbnVtPjEwLjMzODkvZmVuZG8uMjAyMS43OTk4NzE8L2VsZWN0cm9uaWMtcmVzb3Vy
Y2UtbnVtPjxyZW1vdGUtZGF0YWJhc2UtcHJvdmlkZXI+TkxNPC9yZW1vdGUtZGF0YWJhc2UtcHJv
dmlkZXI+PGxhbmd1YWdlPmVuZzwvbGFuZ3VhZ2U+PC9yZWNvcmQ+PC9DaXRlPjwvRW5kTm90ZT4A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eastAsia="zh-CN"/>
              </w:rPr>
              <w:fldChar w:fldCharType="separate"/>
            </w:r>
            <w:r>
              <w:rPr>
                <w:rFonts w:hint="eastAsia" w:ascii="Times New Roman" w:hAnsi="Times New Roman" w:eastAsia="KaiTi_GB2312" w:cs="Times New Roman"/>
                <w:color w:val="000000"/>
                <w:sz w:val="21"/>
                <w:szCs w:val="22"/>
                <w:lang w:val="en-US" w:eastAsia="zh-CN" w:bidi="ar-SA"/>
              </w:rPr>
              <w:t>(3)</w:t>
            </w:r>
            <w:r>
              <w:rPr>
                <w:rFonts w:hint="eastAsia" w:cs="Times New Roman"/>
                <w:color w:val="000000"/>
                <w:lang w:val="en-US" w:eastAsia="zh-CN"/>
              </w:rPr>
              <w:fldChar w:fldCharType="end"/>
            </w:r>
          </w:p>
          <w:p w14:paraId="3B15293E">
            <w:pPr>
              <w:numPr>
                <w:ilvl w:val="0"/>
                <w:numId w:val="1"/>
              </w:numPr>
              <w:spacing w:line="240" w:lineRule="auto"/>
              <w:rPr>
                <w:rFonts w:cs="Times New Roman"/>
                <w:color w:val="000000"/>
                <w:lang w:val="en-US"/>
              </w:rPr>
            </w:pPr>
            <w:r>
              <w:rPr>
                <w:rFonts w:hint="eastAsia" w:cs="Times New Roman"/>
                <w:color w:val="000000"/>
                <w:lang w:val="en-US"/>
              </w:rPr>
              <w:t>Yang SG, Yoo HJ. A Scoring Model Using Multi-Metabolites Based on Untargeted Metabolomics for Assessing Dyslipidemia in Korean Individuals with Obesity. Metabolites 2025;15(4) doi: 10.3390/metabo15040279 [published Online First: 20250417]</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&lt;EndNote&gt;&lt;Cite&gt;&lt;Author&gt;Yang&lt;/Author&gt;&lt;Year&gt;2025&lt;/Year&gt;&lt;RecNum&gt;257&lt;/RecNum&gt;&lt;DisplayText&gt;(4)&lt;/DisplayText&gt;&lt;record&gt;&lt;rec-number&gt;257&lt;/rec-number&gt;&lt;foreign-keys&gt;&lt;key app="EN" db-id="earspdaa1vazprerafqvx9tx5pvfaxf9awz0" timestamp="1775111387"&gt;257&lt;/key&gt;&lt;/foreign-keys&gt;&lt;ref-type name="期刊文献"&gt;17&lt;/ref-type&gt;&lt;contributors&gt;&lt;authors&gt;&lt;author&gt;Yang, S. G.&lt;/author&gt;&lt;author&gt;Yoo, H. J.&lt;/author&gt;&lt;/authors&gt;&lt;/contributors&gt;&lt;auth-address&gt;Department of Biomedical Science, BK21 FOUR Program in Biomedical Science and Engineering, Inha University, Incheon 22332, Republic of Korea.&amp;#xD;Inha Institute of Aerospace Medicine, Inha University College of Medicine, Incheon 22332, Republic of Korea.&amp;#xD;Institute for Specialized Teaching and Research (INSTAR), Inha University, Incheon 22332, Republic of Korea.&lt;/auth-address&gt;&lt;titles&gt;&lt;title&gt;A Scoring Model Using Multi-Metabolites Based on Untargeted Metabolomics for Assessing Dyslipidemia in Korean Individuals with Obesity&lt;/title&gt;&lt;secondary-title&gt;Metabolites&lt;/secondary-title&gt;&lt;/titles&gt;&lt;periodical&gt;&lt;full-title&gt;Metabolites&lt;/full-title&gt;&lt;/periodical&gt;&lt;volume&gt;15&lt;/volume&gt;&lt;number&gt;4&lt;/number&gt;&lt;edition&gt;20250417&lt;/edition&gt;&lt;keywords&gt;&lt;keyword&gt;Korean population&lt;/keyword&gt;&lt;keyword&gt;dyslipidemia&lt;/keyword&gt;&lt;keyword&gt;metabolite risk score&lt;/keyword&gt;&lt;keyword&gt;metabolomics&lt;/keyword&gt;&lt;/keywords&gt;&lt;dates&gt;&lt;year&gt;2025&lt;/year&gt;&lt;pub-dates&gt;&lt;date&gt;Apr 17&lt;/date&gt;&lt;/pub-dates&gt;&lt;/dates&gt;&lt;isbn&gt;2218-1989 (Print)&amp;#xD;2218-1989&lt;/isbn&gt;&lt;accession-num&gt;40278408&lt;/accession-num&gt;&lt;urls&gt;&lt;/urls&gt;&lt;custom1&gt;The authors declare no conflicts of interest.&lt;/custom1&gt;&lt;custom2&gt;PMC12029618&lt;/custom2&gt;&lt;electronic-resource-num&gt;10.3390/metabo15040279&lt;/electronic-resource-num&gt;&lt;remote-database-provider&gt;NLM&lt;/remote-database-provider&gt;&lt;language&gt;eng&lt;/language&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(4)</w:t>
            </w:r>
            <w:r>
              <w:rPr>
                <w:rFonts w:hint="eastAsia" w:cs="Times New Roman"/>
                <w:color w:val="000000"/>
                <w:lang w:val="en-US"/>
              </w:rPr>
              <w:fldChar w:fldCharType="end"/>
            </w:r>
          </w:p>
          <w:p w14:paraId="68924401">
            <w:pPr>
              <w:numPr>
                <w:ilvl w:val="0"/>
                <w:numId w:val="1"/>
              </w:numPr>
              <w:spacing w:line="240" w:lineRule="auto"/>
              <w:rPr>
                <w:rFonts w:cs="Times New Roman"/>
                <w:color w:val="000000"/>
                <w:lang w:val="en-US"/>
              </w:rPr>
            </w:pPr>
            <w:r>
              <w:rPr>
                <w:rFonts w:hint="eastAsia" w:cs="Times New Roman"/>
                <w:color w:val="000000"/>
                <w:lang w:val="en-US"/>
              </w:rPr>
              <w:t>Wang J, Tang Y, Peng K, et al. Development and validation of a nomogram for predicting nonalcoholic fatty liver disease in the non-obese Chinese population. Am J Transl Res 2020;12(10):6149–59. [published Online First: 20201015]</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&lt;EndNote&gt;&lt;Cite&gt;&lt;Author&gt;Wang&lt;/Author&gt;&lt;Year&gt;2020&lt;/Year&gt;&lt;RecNum&gt;495&lt;/RecNum&gt;&lt;DisplayText&gt;(5)&lt;/DisplayText&gt;&lt;record&gt;&lt;rec-number&gt;495&lt;/rec-number&gt;&lt;foreign-keys&gt;&lt;key app="EN" db-id="earspdaa1vazprerafqvx9tx5pvfaxf9awz0" timestamp="1775113641"&gt;495&lt;/key&gt;&lt;/foreign-keys&gt;&lt;ref-type name="期刊文献"&gt;17&lt;/ref-type&gt;&lt;contributors&gt;&lt;authors&gt;&lt;author&gt;Wang, J.&lt;/author&gt;&lt;author&gt;Tang, Y.&lt;/author&gt;&lt;author&gt;Peng, K.&lt;/author&gt;&lt;author&gt;Liu, H.&lt;/author&gt;&lt;author&gt;Xu, J.&lt;/author&gt;&lt;/authors&gt;&lt;/contributors&gt;&lt;auth-address&gt;Department of Endocrinology and Metabolism, First Affiliated Hospital of Nanchang University Nanchang 330006, Jiangxi Province, P. R. China.&amp;#xD;Department of Rehabilitation Medicine, First Affiliated Hospital of Nanchang University Nanchang 330006, Jiangxi Province, P. R. China.&amp;#xD;Department of Gastroenterology, First People&amp;apos;s Hospital of Yuhang District of Hangzhou, Yuhang District of Hangzhou Hangzhou 311100, Jiangxi Province, P. R. China.&lt;/auth-address&gt;&lt;titles&gt;&lt;title&gt;Development and validation of a nomogram for predicting nonalcoholic fatty liver disease in the non-obese Chinese population&lt;/title&gt;&lt;secondary-title&gt;Am J Transl Res&lt;/secondary-title&gt;&lt;/titles&gt;&lt;periodical&gt;&lt;full-title&gt;Am J Transl Res&lt;/full-title&gt;&lt;/periodical&gt;&lt;pages&gt;6149-6159&lt;/pages&gt;&lt;volume&gt;12&lt;/volume&gt;&lt;number&gt;10&lt;/number&gt;&lt;edition&gt;20201015&lt;/edition&gt;&lt;keywords&gt;&lt;keyword&gt;Nonalcoholic fatty liver disease&lt;/keyword&gt;&lt;keyword&gt;nomogram&lt;/keyword&gt;&lt;keyword&gt;predictive modeling&lt;/keyword&gt;&lt;keyword&gt;risk factor&lt;/keyword&gt;&lt;/keywords&gt;&lt;dates&gt;&lt;year&gt;2020&lt;/year&gt;&lt;/dates&gt;&lt;isbn&gt;1943-8141 (Print)&amp;#xD;1943-8141&lt;/isbn&gt;&lt;accession-num&gt;33194020&lt;/accession-num&gt;&lt;urls&gt;&lt;/urls&gt;&lt;custom1&gt;None.&lt;/custom1&gt;&lt;custom2&gt;PMC7653603&lt;/custom2&gt;&lt;remote-database-provider&gt;NLM&lt;/remote-database-provider&gt;&lt;language&gt;eng&lt;/language&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(5)</w:t>
            </w:r>
            <w:r>
              <w:rPr>
                <w:rFonts w:hint="eastAsia" w:cs="Times New Roman"/>
                <w:color w:val="000000"/>
                <w:lang w:val="en-US"/>
              </w:rPr>
              <w:fldChar w:fldCharType="end"/>
            </w:r>
          </w:p>
          <w:p w14:paraId="51AF336C">
            <w:pPr>
              <w:numPr>
                <w:ilvl w:val="0"/>
                <w:numId w:val="1"/>
              </w:numPr>
              <w:spacing w:line="240" w:lineRule="auto"/>
              <w:rPr>
                <w:rFonts w:hint="eastAsia" w:cs="Times New Roman"/>
                <w:color w:val="000000"/>
                <w:lang w:val="en-US"/>
              </w:rPr>
            </w:pPr>
            <w:r>
              <w:rPr>
                <w:rFonts w:hint="eastAsia" w:cs="Times New Roman"/>
                <w:color w:val="000000"/>
                <w:lang w:val="en-US"/>
              </w:rPr>
              <w:t>Ge H, Chang H, Wang Y, et al. Establishment and validation of a nomogram model for predicting ovulation in the PCOS women. Medicine (Baltimore) 2024;103(14):e37733. doi: 10.1097/md.0000000000037733</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PEVuZE5vdGU+PENpdGU+PEF1dGhvcj5HZTwvQXV0aG9yPjxZZWFyPjIwMjQ8L1llYXI+PFJlY051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(6)</w:t>
            </w:r>
            <w:r>
              <w:rPr>
                <w:rFonts w:hint="eastAsia" w:cs="Times New Roman"/>
                <w:color w:val="000000"/>
                <w:lang w:val="en-US"/>
              </w:rPr>
              <w:fldChar w:fldCharType="end"/>
            </w:r>
          </w:p>
          <w:p w14:paraId="7B1BB6F5">
            <w:pPr>
              <w:numPr>
                <w:ilvl w:val="0"/>
                <w:numId w:val="1"/>
              </w:numPr>
              <w:spacing w:line="240" w:lineRule="auto"/>
              <w:rPr>
                <w:rFonts w:cs="Times New Roman"/>
                <w:color w:val="000000"/>
                <w:lang w:val="en-US"/>
              </w:rPr>
            </w:pPr>
            <w:r>
              <w:rPr>
                <w:rFonts w:hint="eastAsia" w:cs="Times New Roman"/>
                <w:color w:val="000000"/>
                <w:lang w:val="en-US"/>
              </w:rPr>
              <w:t>Zhao Z, Lu H, Meng R, et al. Risk factor analysis and risk prediction study of obesity in steelworkers: model development based on an occupational health examination cohort dataset. Lipids Health Dis 2024;23(1):10. doi: 10.1186/s12944-023-01994-x [published Online First: 20240108]</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PEVuZE5vdGU+PENpdGU+PEF1dGhvcj5aaGFvPC9BdXRob3I+PFllYXI+MjAyNDwvWWVhcj48UmVj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(7)</w:t>
            </w:r>
            <w:r>
              <w:rPr>
                <w:rFonts w:hint="eastAsia" w:cs="Times New Roman"/>
                <w:color w:val="000000"/>
                <w:lang w:val="en-US"/>
              </w:rPr>
              <w:fldChar w:fldCharType="end"/>
            </w:r>
          </w:p>
          <w:p w14:paraId="0664C30C">
            <w:pPr>
              <w:numPr>
                <w:ilvl w:val="0"/>
                <w:numId w:val="1"/>
              </w:numPr>
              <w:spacing w:line="240" w:lineRule="auto"/>
              <w:rPr>
                <w:rFonts w:hint="eastAsia" w:cs="Times New Roman"/>
                <w:color w:val="000000"/>
                <w:lang w:val="en-US"/>
              </w:rPr>
            </w:pPr>
            <w:r>
              <w:rPr>
                <w:rFonts w:hint="eastAsia" w:cs="Times New Roman"/>
                <w:color w:val="000000"/>
                <w:lang w:val="en-US"/>
              </w:rPr>
              <w:t>Zou J, Wang Y, Xu H, et al. The use of visceral adiposity variables in the prediction of obstructive sleep apnea: evidence from a large cross-sectional study. Sleep Breath 2020;24(4):1373–82. doi: 10.1007/s11325-019-01980-7 [published Online First: 20191212]</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PEVuZE5vdGU+PENpdGU+PEF1dGhvcj5ab3U8L0F1dGhvcj48WWVhcj4yMDIwPC9ZZWFyPjxSZWNO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(8)</w:t>
            </w:r>
            <w:r>
              <w:rPr>
                <w:rFonts w:hint="eastAsia" w:cs="Times New Roman"/>
                <w:color w:val="000000"/>
                <w:lang w:val="en-US"/>
              </w:rPr>
              <w:fldChar w:fldCharType="end"/>
            </w:r>
          </w:p>
          <w:p w14:paraId="0C607222">
            <w:pPr>
              <w:numPr>
                <w:ilvl w:val="0"/>
                <w:numId w:val="1"/>
              </w:numPr>
              <w:spacing w:line="240" w:lineRule="auto"/>
              <w:rPr>
                <w:rFonts w:hint="eastAsia" w:cs="Times New Roman"/>
                <w:color w:val="000000"/>
                <w:lang w:val="en-US"/>
              </w:rPr>
            </w:pPr>
            <w:r>
              <w:rPr>
                <w:rFonts w:hint="eastAsia" w:cs="Times New Roman"/>
                <w:color w:val="000000"/>
                <w:lang w:val="en-US"/>
              </w:rPr>
              <w:t>Pei JY, Zhang DD, He H, et al. [Risk prediction of metabolic syndrome and coronary artery disease in overweight and obese populations based on serum metabolomics]. Zhonghua Xin Xue Guan Bing Za Zhi 2023;51(12):1247–55. doi: 10.3760/cma.j.cn112148-20231008-00254</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&lt;EndNote&gt;&lt;Cite&gt;&lt;Author&gt;Pei&lt;/Author&gt;&lt;Year&gt;2023&lt;/Year&gt;&lt;RecNum&gt;500&lt;/RecNum&gt;&lt;DisplayText&gt;(9)&lt;/DisplayText&gt;&lt;record&gt;&lt;rec-number&gt;500&lt;/rec-number&gt;&lt;foreign-keys&gt;&lt;key app="EN" db-id="earspdaa1vazprerafqvx9tx5pvfaxf9awz0" timestamp="1775115072"&gt;500&lt;/key&gt;&lt;/foreign-keys&gt;&lt;ref-type name="期刊文献"&gt;17&lt;/ref-type&gt;&lt;contributors&gt;&lt;authors&gt;&lt;author&gt;Pei, J. Y.&lt;/author&gt;&lt;author&gt;Zhang, D. D.&lt;/author&gt;&lt;author&gt;He, H.&lt;/author&gt;&lt;author&gt;Zheng, L. L.&lt;/author&gt;&lt;author&gt;Du, S. Z.&lt;/author&gt;&lt;author&gt;Jing, Z. W.&lt;/author&gt;&lt;/authors&gt;&lt;/contributors&gt;&lt;auth-address&gt;Department of Pharmacy, the First Affiliated Hospital of Zhengzhou University, Zhengzhou 450052, China.&amp;#xD;Department of Traditional Chinese Medicine, the First Affiliated Hospital of Zhengzhou University, Zhengzhou 450052, China.&lt;/auth-address&gt;&lt;titles&gt;&lt;title&gt;[Risk prediction of metabolic syndrome and coronary artery disease in overweight and obese populations based on serum metabolomics]&lt;/title&gt;&lt;secondary-title&gt;Zhonghua Xin Xue Guan Bing Za Zhi&lt;/secondary-title&gt;&lt;/titles&gt;&lt;periodical&gt;&lt;full-title&gt;Zhonghua Xin Xue Guan Bing Za Zhi&lt;/full-title&gt;&lt;/periodical&gt;&lt;pages&gt;1247-1255&lt;/pages&gt;&lt;volume&gt;51&lt;/volume&gt;&lt;number&gt;12&lt;/number&gt;&lt;keywords&gt;&lt;keyword&gt;Humans&lt;/keyword&gt;&lt;keyword&gt;*Metabolic Syndrome&lt;/keyword&gt;&lt;keyword&gt;Overweight&lt;/keyword&gt;&lt;keyword&gt;*Coronary Artery Disease&lt;/keyword&gt;&lt;keyword&gt;Retrospective Studies&lt;/keyword&gt;&lt;keyword&gt;Cross-Sectional Studies&lt;/keyword&gt;&lt;keyword&gt;Obesity&lt;/keyword&gt;&lt;keyword&gt;Cholesterol, HDL&lt;/keyword&gt;&lt;keyword&gt;Biomarkers&lt;/keyword&gt;&lt;/keywords&gt;&lt;dates&gt;&lt;year&gt;2023&lt;/year&gt;&lt;pub-dates&gt;&lt;date&gt;Dec 24&lt;/date&gt;&lt;/pub-dates&gt;&lt;/dates&gt;&lt;isbn&gt;0253-3758 (Print)&amp;#xD;0253-3758&lt;/isbn&gt;&lt;accession-num&gt;38123207&lt;/accession-num&gt;&lt;urls&gt;&lt;/urls&gt;&lt;electronic-resource-num&gt;10.3760/cma.j.cn112148-20231008-00254&lt;/electronic-resource-num&gt;&lt;remote-database-provider&gt;NLM&lt;/remote-database-provider&gt;&lt;language&gt;chi&lt;/language&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(9)</w:t>
            </w:r>
            <w:r>
              <w:rPr>
                <w:rFonts w:hint="eastAsia" w:cs="Times New Roman"/>
                <w:color w:val="000000"/>
                <w:lang w:val="en-US"/>
              </w:rPr>
              <w:fldChar w:fldCharType="end"/>
            </w:r>
          </w:p>
          <w:p w14:paraId="505D30C0">
            <w:pPr>
              <w:numPr>
                <w:ilvl w:val="0"/>
                <w:numId w:val="1"/>
              </w:numPr>
              <w:spacing w:line="240" w:lineRule="auto"/>
              <w:rPr>
                <w:rFonts w:hint="eastAsia" w:cs="Times New Roman"/>
                <w:color w:val="000000"/>
                <w:lang w:val="en-US"/>
              </w:rPr>
            </w:pPr>
            <w:r>
              <w:rPr>
                <w:rFonts w:hint="eastAsia" w:cs="Times New Roman"/>
                <w:color w:val="000000"/>
                <w:lang w:val="en-US"/>
              </w:rPr>
              <w:t>Ellis-Kahana J, Sparks AD, Gimovsky AC, et al. Developing a model for predicting venous thromboembolism in obese pregnant women in a national study. Thromb Res 2020;191:42–49. doi: 10.1016/j.thromres.2020.03.025 [published Online First: 20200423]</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PEVuZE5vdGU+PENpdGU+PEF1dGhvcj5FbGxpcy1LYWhhbmE8L0F1dGhvcj48WWVhcj4yMDIwPC9Z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(10)</w:t>
            </w:r>
            <w:r>
              <w:rPr>
                <w:rFonts w:hint="eastAsia" w:cs="Times New Roman"/>
                <w:color w:val="000000"/>
                <w:lang w:val="en-US"/>
              </w:rPr>
              <w:fldChar w:fldCharType="end"/>
            </w:r>
          </w:p>
          <w:p w14:paraId="6A4C7F15">
            <w:pPr>
              <w:numPr>
                <w:ilvl w:val="0"/>
                <w:numId w:val="1"/>
              </w:numPr>
              <w:spacing w:line="240" w:lineRule="auto"/>
              <w:rPr>
                <w:rFonts w:cs="Times New Roman"/>
                <w:color w:val="000000"/>
                <w:lang w:val="en-US"/>
              </w:rPr>
            </w:pPr>
            <w:r>
              <w:rPr>
                <w:rFonts w:hint="eastAsia" w:cs="Times New Roman"/>
                <w:color w:val="000000"/>
                <w:lang w:val="en-US"/>
              </w:rPr>
              <w:t>Sun Y, Miao H, Gong H, et al. Risk Factors Analysis and Nomogram Model Establishment of Hidden Blood Loss in Overweight and Obese Elderly Patients After Total Hip Arthroplasty. Clin Interv Aging 2024;19:57–66. doi: 10.2147/cia.S428307 [published Online First: 20240110]</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PEVuZE5vdGU+PENpdGU+PEF1dGhvcj5TdW48L0F1dGhvcj48WWVhcj4yMDI0PC9ZZWFyPjxSZWNO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(11)</w:t>
            </w:r>
            <w:r>
              <w:rPr>
                <w:rFonts w:hint="eastAsia" w:cs="Times New Roman"/>
                <w:color w:val="000000"/>
                <w:lang w:val="en-US"/>
              </w:rPr>
              <w:fldChar w:fldCharType="end"/>
            </w:r>
          </w:p>
        </w:tc>
      </w:tr>
      <w:tr w14:paraId="75404669">
        <w:tc>
          <w:tcPr>
            <w:tcW w:w="2094" w:type="dxa"/>
            <w:tcBorders>
              <w:top w:val="nil"/>
              <w:left w:val="nil"/>
              <w:bottom w:val="nil"/>
              <w:right w:val="nil"/>
            </w:tcBorders>
            <w:vAlign w:val="top"/>
          </w:tcPr>
          <w:p w14:paraId="0B8A7302">
            <w:pPr>
              <w:spacing w:line="240" w:lineRule="auto"/>
              <w:jc w:val="center"/>
              <w:rPr>
                <w:rFonts w:cs="Times New Roman"/>
                <w:color w:val="000000"/>
                <w:lang w:val="en-US"/>
              </w:rPr>
            </w:pPr>
            <w:r>
              <w:rPr>
                <w:rFonts w:hint="eastAsia" w:cs="Times New Roman"/>
                <w:color w:val="000000"/>
                <w:lang w:val="en-US"/>
              </w:rPr>
              <w:t>(2) No internal validation performed (e.g., Bootstrap, cross-validation, random splitting) or lack of disclosure of validation results (N=10)</w:t>
            </w:r>
          </w:p>
        </w:tc>
        <w:tc>
          <w:tcPr>
            <w:tcW w:w="6428" w:type="dxa"/>
            <w:tcBorders>
              <w:top w:val="nil"/>
              <w:left w:val="nil"/>
              <w:bottom w:val="nil"/>
              <w:right w:val="nil"/>
            </w:tcBorders>
          </w:tcPr>
          <w:p w14:paraId="741A79D3">
            <w:pPr>
              <w:numPr>
                <w:ilvl w:val="0"/>
                <w:numId w:val="2"/>
              </w:numPr>
              <w:spacing w:line="240" w:lineRule="auto"/>
              <w:rPr>
                <w:rFonts w:hint="eastAsia" w:cs="Times New Roman"/>
                <w:color w:val="000000"/>
                <w:lang w:val="en-US"/>
              </w:rPr>
            </w:pPr>
            <w:r>
              <w:rPr>
                <w:rFonts w:hint="eastAsia" w:cs="Times New Roman"/>
                <w:color w:val="000000"/>
                <w:lang w:val="en-US"/>
              </w:rPr>
              <w:t>Zhao Y. Study on the Risk and Etiological Network of MAFLD in Different Obesity Phenotypes.Lanzhou University, 2024.</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&lt;EndNote&gt;&lt;Cite&gt;&lt;Author&gt;Zhao&lt;/Author&gt;&lt;Year&gt;2024&lt;/Year&gt;&lt;RecNum&gt;506&lt;/RecNum&gt;&lt;DisplayText&gt;(12)&lt;/DisplayText&gt;&lt;record&gt;&lt;rec-number&gt;506&lt;/rec-number&gt;&lt;foreign-keys&gt;&lt;key app="EN" db-id="earspdaa1vazprerafqvx9tx5pvfaxf9awz0" timestamp="1775196303"&gt;506&lt;/key&gt;&lt;/foreign-keys&gt;&lt;ref-type name="学位论文"&gt;32&lt;/ref-type&gt;&lt;contributors&gt;&lt;authors&gt;&lt;author&gt;Yanan Zhao&lt;/author&gt;&lt;/authors&gt;&lt;/contributors&gt;&lt;titles&gt;&lt;title&gt;Study on the Risk and Etiological Network of MAFLD in Different Obesity Phenotypes&lt;/title&gt;&lt;secondary-title&gt;School of Public Health, Lanzhou University&lt;/secondary-title&gt;&lt;/titles&gt;&lt;number&gt;DOI: 10.27204/d.cnki.glzhu.2024.000681&lt;/number&gt;&lt;dates&gt;&lt;year&gt;2024&lt;/year&gt;&lt;/dates&gt;&lt;pub-location&gt;Lanzhou, Gansu, China&lt;/pub-location&gt;&lt;publisher&gt;Lanzhou University&lt;/publisher&gt;&lt;urls&gt;&lt;/urls&gt;&lt;/record&gt;&lt;/Cite&gt;&lt;/EndNote&gt;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(12)</w:t>
            </w:r>
            <w:r>
              <w:rPr>
                <w:rFonts w:hint="eastAsia" w:cs="Times New Roman"/>
                <w:color w:val="000000"/>
                <w:lang w:val="en-US"/>
              </w:rPr>
              <w:fldChar w:fldCharType="end"/>
            </w:r>
          </w:p>
          <w:p w14:paraId="3E2DA9D4">
            <w:pPr>
              <w:numPr>
                <w:ilvl w:val="0"/>
                <w:numId w:val="2"/>
              </w:numPr>
              <w:spacing w:line="240" w:lineRule="auto"/>
              <w:rPr>
                <w:rFonts w:hint="eastAsia" w:cs="Times New Roman"/>
                <w:color w:val="000000"/>
                <w:lang w:val="en-US"/>
              </w:rPr>
            </w:pPr>
            <w:r>
              <w:rPr>
                <w:rFonts w:hint="eastAsia" w:cs="Times New Roman"/>
                <w:color w:val="000000"/>
                <w:lang w:val="en-US"/>
              </w:rPr>
              <w:t>Huang Q. Association between obesity-related indicators and type 2 diabetes mellitus, and disease risk prediction models in older adults. Anhui Medical University, 2024.</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&lt;EndNote&gt;&lt;Cite&gt;&lt;Author&gt;Huang&lt;/Author&gt;&lt;Year&gt;2024&lt;/Year&gt;&lt;RecNum&gt;508&lt;/RecNum&gt;&lt;DisplayText&gt;(13)&lt;/DisplayText&gt;&lt;record&gt;&lt;rec-number&gt;508&lt;/rec-number&gt;&lt;foreign-keys&gt;&lt;key app="EN" db-id="earspdaa1vazprerafqvx9tx5pvfaxf9awz0" timestamp="1775196679"&gt;508&lt;/key&gt;&lt;/foreign-keys&gt;&lt;ref-type name="学位论文"&gt;32&lt;/ref-type&gt;&lt;contributors&gt;&lt;authors&gt;&lt;author&gt;Qian Huang&lt;/author&gt;&lt;/authors&gt;&lt;/contributors&gt;&lt;titles&gt;&lt;title&gt;Association between obesity-related indicators and type 2 diabetes mellitus, and disease risk prediction models in older adults&lt;/title&gt;&lt;secondary-title&gt;School of Health Management, Anhui Medical University&lt;/secondary-title&gt;&lt;/titles&gt;&lt;number&gt;DOI: 10.26921/d.cnki.ganyu.2024.000331&lt;/number&gt;&lt;dates&gt;&lt;year&gt;2024&lt;/year&gt;&lt;/dates&gt;&lt;pub-location&gt;Hefei, Anhui, China&lt;/pub-location&gt;&lt;publisher&gt;Anhui Medical University&lt;/publisher&gt;&lt;urls&gt;&lt;/urls&gt;&lt;/record&gt;&lt;/Cite&gt;&lt;/EndNote&gt;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(13)</w:t>
            </w:r>
            <w:r>
              <w:rPr>
                <w:rFonts w:hint="eastAsia" w:cs="Times New Roman"/>
                <w:color w:val="000000"/>
                <w:lang w:val="en-US"/>
              </w:rPr>
              <w:fldChar w:fldCharType="end"/>
            </w:r>
          </w:p>
          <w:p w14:paraId="36D80D48">
            <w:pPr>
              <w:numPr>
                <w:ilvl w:val="0"/>
                <w:numId w:val="2"/>
              </w:numPr>
              <w:spacing w:line="240" w:lineRule="auto"/>
              <w:rPr>
                <w:rFonts w:hint="eastAsia" w:cs="Times New Roman"/>
                <w:color w:val="000000"/>
                <w:lang w:val="en-US"/>
              </w:rPr>
            </w:pPr>
            <w:r>
              <w:rPr>
                <w:rFonts w:hint="eastAsia" w:cs="Times New Roman"/>
                <w:color w:val="000000"/>
                <w:lang w:val="en-US"/>
              </w:rPr>
              <w:t>Lahelma M, Luukkonen PK, Qadri S, et al. Assessment of Lifestyle Factors Helps to Identify Liver Fibrosis Due to Non-Alcoholic Fatty Liver Disease in Obesity. Nutrients 2021;13(1) doi: 10.3390/nu13010169 [published Online First: 20210108]</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PEVuZE5vdGU+PENpdGU+PEF1dGhvcj5MYWhlbG1hPC9BdXRob3I+PFllYXI+MjAyMTwvWWVhcj48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(14)</w:t>
            </w:r>
            <w:r>
              <w:rPr>
                <w:rFonts w:hint="eastAsia" w:cs="Times New Roman"/>
                <w:color w:val="000000"/>
                <w:lang w:val="en-US"/>
              </w:rPr>
              <w:fldChar w:fldCharType="end"/>
            </w:r>
          </w:p>
          <w:p w14:paraId="60DA6DCC">
            <w:pPr>
              <w:numPr>
                <w:ilvl w:val="0"/>
                <w:numId w:val="2"/>
              </w:numPr>
              <w:spacing w:line="240" w:lineRule="auto"/>
              <w:rPr>
                <w:rFonts w:hint="eastAsia" w:cs="Times New Roman"/>
                <w:color w:val="000000"/>
                <w:lang w:val="en-US"/>
              </w:rPr>
            </w:pPr>
            <w:r>
              <w:rPr>
                <w:rFonts w:hint="eastAsia" w:cs="Times New Roman"/>
                <w:color w:val="000000"/>
                <w:lang w:val="en-US"/>
              </w:rPr>
              <w:t>Tawfik MY, Mohamed SF, Elotla SF. Association of novel visceral obesity indices with 10-year risk of major cardiovascular events in patients with type 2 diabetes mellitus. J Egypt Public Health Assoc 2025;100(1):12. doi: 10.1186/s42506-025-00188-w [published Online First: 20250530]</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PEVuZE5vdGU+PENpdGU+PEF1dGhvcj5UYXdmaWs8L0F1dGhvcj48WWVhcj4yMDI1PC9ZZWFyPjxS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(15)</w:t>
            </w:r>
            <w:r>
              <w:rPr>
                <w:rFonts w:hint="eastAsia" w:cs="Times New Roman"/>
                <w:color w:val="000000"/>
                <w:lang w:val="en-US"/>
              </w:rPr>
              <w:fldChar w:fldCharType="end"/>
            </w:r>
          </w:p>
          <w:p w14:paraId="513A3CA3">
            <w:pPr>
              <w:numPr>
                <w:ilvl w:val="0"/>
                <w:numId w:val="2"/>
              </w:numPr>
              <w:spacing w:line="240" w:lineRule="auto"/>
              <w:rPr>
                <w:rFonts w:hint="eastAsia" w:cs="Times New Roman"/>
                <w:color w:val="000000"/>
                <w:lang w:val="en-US"/>
              </w:rPr>
            </w:pPr>
            <w:r>
              <w:rPr>
                <w:rFonts w:hint="eastAsia" w:cs="Times New Roman"/>
                <w:color w:val="000000"/>
                <w:lang w:val="en-US"/>
              </w:rPr>
              <w:t>Lu YK, Dong J, Sun Y, et al. Gender-specific predictive ability for the risk of hypertension incidence related to baseline level or trajectories of adiposity indices: a cohort study of functional community. Int J Obes (Lond) 2022;46(5):1036–43. doi: 10.1038/s41366-022-01081-8 [published Online First: 20220203]</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PEVuZE5vdGU+PENpdGU+PEF1dGhvcj5MdTwvQXV0aG9yPjxZZWFyPjIwMjI8L1llYXI+PFJlY051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(16)</w:t>
            </w:r>
            <w:r>
              <w:rPr>
                <w:rFonts w:hint="eastAsia" w:cs="Times New Roman"/>
                <w:color w:val="000000"/>
                <w:lang w:val="en-US"/>
              </w:rPr>
              <w:fldChar w:fldCharType="end"/>
            </w:r>
          </w:p>
          <w:p w14:paraId="505B661F">
            <w:pPr>
              <w:numPr>
                <w:ilvl w:val="0"/>
                <w:numId w:val="2"/>
              </w:numPr>
              <w:spacing w:line="240" w:lineRule="auto"/>
              <w:rPr>
                <w:rFonts w:hint="eastAsia" w:cs="Times New Roman"/>
                <w:color w:val="000000"/>
                <w:lang w:val="en-US"/>
              </w:rPr>
            </w:pPr>
            <w:r>
              <w:rPr>
                <w:rFonts w:hint="eastAsia" w:cs="Times New Roman"/>
                <w:color w:val="000000"/>
                <w:lang w:val="en-US"/>
              </w:rPr>
              <w:t>Ma G, Wang W, Zhu L, et al. Head-to-head comparison of visceral adiposity indices (A Body Shape Index and Visceral Adiposity Index) with traditional anthropometrics: a community-based strategy for cardiovascular risk prediction in urban China. BMJ Open 2025;15(12):e102918. doi: 10.1136/bmjopen-2025-102918 [published Online First: 20251208]</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PEVuZE5vdGU+PENpdGU+PEF1dGhvcj5NYTwvQXV0aG9yPjxZZWFyPjIwMjU8L1llYXI+PFJlY051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(17)</w:t>
            </w:r>
            <w:r>
              <w:rPr>
                <w:rFonts w:hint="eastAsia" w:cs="Times New Roman"/>
                <w:color w:val="000000"/>
                <w:lang w:val="en-US"/>
              </w:rPr>
              <w:fldChar w:fldCharType="end"/>
            </w:r>
          </w:p>
          <w:p w14:paraId="4866345B">
            <w:pPr>
              <w:numPr>
                <w:ilvl w:val="0"/>
                <w:numId w:val="2"/>
              </w:numPr>
              <w:spacing w:line="240" w:lineRule="auto"/>
              <w:rPr>
                <w:rFonts w:hint="eastAsia" w:cs="Times New Roman"/>
                <w:color w:val="000000"/>
                <w:lang w:val="en-US"/>
              </w:rPr>
            </w:pPr>
            <w:r>
              <w:rPr>
                <w:rFonts w:hint="eastAsia" w:cs="Times New Roman"/>
                <w:color w:val="000000"/>
                <w:lang w:val="en-US"/>
              </w:rPr>
              <w:t>Lewandowska M, Więckowska B, Sajdak S, et al. Pre-Pregnancy Obesity vs. Other Risk Factors in Probability Models of Preeclampsia and Gestational Hypertension. Nutrients 2020;12(9) doi: 10.3390/nu12092681 [published Online First: 20200902]</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PEVuZE5vdGU+PENpdGU+PEF1dGhvcj5MZXdhbmRvd3NrYTwvQXV0aG9yPjxZZWFyPjIwMjA8L1ll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(18)</w:t>
            </w:r>
            <w:r>
              <w:rPr>
                <w:rFonts w:hint="eastAsia" w:cs="Times New Roman"/>
                <w:color w:val="000000"/>
                <w:lang w:val="en-US"/>
              </w:rPr>
              <w:fldChar w:fldCharType="end"/>
            </w:r>
          </w:p>
          <w:p w14:paraId="17352F78">
            <w:pPr>
              <w:numPr>
                <w:ilvl w:val="0"/>
                <w:numId w:val="2"/>
              </w:numPr>
              <w:spacing w:line="240" w:lineRule="auto"/>
              <w:rPr>
                <w:rFonts w:hint="eastAsia" w:cs="Times New Roman"/>
                <w:color w:val="000000"/>
                <w:lang w:val="en-US"/>
              </w:rPr>
            </w:pPr>
            <w:r>
              <w:rPr>
                <w:rFonts w:hint="eastAsia" w:cs="Times New Roman"/>
                <w:color w:val="000000"/>
                <w:lang w:val="en-US"/>
              </w:rPr>
              <w:t>Baek J, Jung SJ, Shim JS, et al. Comparison of Computed Tomography-based Abdominal Adiposity Indexes as Predictors of Non-alcoholic Fatty Liver Disease Among Middle-aged Korean Men and Women. J Prev Med Public Health 2020;53(4):256–65. doi: 10.3961/jpmph.20.140 [published Online First: 20200618]</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PEVuZE5vdGU+PENpdGU+PEF1dGhvcj5CYWVrPC9BdXRob3I+PFllYXI+MjAyMDwvWWVhcj48UmVj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(19)</w:t>
            </w:r>
            <w:r>
              <w:rPr>
                <w:rFonts w:hint="eastAsia" w:cs="Times New Roman"/>
                <w:color w:val="000000"/>
                <w:lang w:val="en-US"/>
              </w:rPr>
              <w:fldChar w:fldCharType="end"/>
            </w:r>
          </w:p>
          <w:p w14:paraId="69FEE17D">
            <w:pPr>
              <w:numPr>
                <w:ilvl w:val="0"/>
                <w:numId w:val="2"/>
              </w:numPr>
              <w:spacing w:line="240" w:lineRule="auto"/>
              <w:rPr>
                <w:rFonts w:hint="eastAsia" w:cs="Times New Roman"/>
                <w:color w:val="000000"/>
                <w:lang w:val="en-US"/>
              </w:rPr>
            </w:pPr>
            <w:r>
              <w:rPr>
                <w:rFonts w:hint="eastAsia" w:cs="Times New Roman"/>
                <w:color w:val="000000"/>
                <w:lang w:val="en-US"/>
              </w:rPr>
              <w:t>Yao F, Cui J, Shen Y, et al. Evaluating a new obesity indicator for stroke risk prediction: comparative cohort analysis in rural settings of two nations. BMC Public Health 2024;24(1):3301. doi: 10.1186/s12889-024-20631-5 [published Online First: 20241127]</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PEVuZE5vdGU+PENpdGU+PEF1dGhvcj5ZYW88L0F1dGhvcj48WWVhcj4yMDI0PC9ZZWFyPjxSZWNO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(20)</w:t>
            </w:r>
            <w:r>
              <w:rPr>
                <w:rFonts w:hint="eastAsia" w:cs="Times New Roman"/>
                <w:color w:val="000000"/>
                <w:lang w:val="en-US"/>
              </w:rPr>
              <w:fldChar w:fldCharType="end"/>
            </w:r>
          </w:p>
          <w:p w14:paraId="76EF354B">
            <w:pPr>
              <w:numPr>
                <w:ilvl w:val="0"/>
                <w:numId w:val="2"/>
              </w:numPr>
              <w:spacing w:line="240" w:lineRule="auto"/>
              <w:rPr>
                <w:rFonts w:cs="Times New Roman"/>
                <w:color w:val="000000"/>
                <w:lang w:val="en-US"/>
              </w:rPr>
            </w:pPr>
            <w:r>
              <w:rPr>
                <w:rFonts w:hint="eastAsia" w:cs="Times New Roman"/>
                <w:color w:val="000000"/>
                <w:lang w:val="en-US"/>
              </w:rPr>
              <w:t xml:space="preserve">Cho Y, Chang Y, Ryu S, et al. Skeletal muscle mass to visceral fat area ratio as a predictor of NAFLD in lean and overweight men and women with effect modification by sex. Hepatol Commun 2022;6(9):2238–52. </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PEVuZE5vdGU+PENpdGU+PEF1dGhvcj5DaG88L0F1dGhvcj48WWVhcj4yMDIyPC9ZZWFyPjxSZWNO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(21)</w:t>
            </w:r>
            <w:r>
              <w:rPr>
                <w:rFonts w:hint="eastAsia" w:cs="Times New Roman"/>
                <w:color w:val="000000"/>
                <w:lang w:val="en-US"/>
              </w:rPr>
              <w:fldChar w:fldCharType="end"/>
            </w:r>
            <w:r>
              <w:rPr>
                <w:rFonts w:hint="eastAsia" w:cs="Times New Roman"/>
                <w:color w:val="000000"/>
                <w:lang w:val="en-US"/>
              </w:rPr>
              <w:t>doi: 10.1002/hep4.1975 [published Online First: 20220503]</w:t>
            </w:r>
          </w:p>
        </w:tc>
      </w:tr>
      <w:tr w14:paraId="7CBF8961">
        <w:tc>
          <w:tcPr>
            <w:tcW w:w="2094" w:type="dxa"/>
            <w:tcBorders>
              <w:top w:val="nil"/>
              <w:left w:val="nil"/>
              <w:bottom w:val="single" w:color="000000" w:sz="12" w:space="0"/>
              <w:right w:val="nil"/>
            </w:tcBorders>
            <w:vAlign w:val="top"/>
          </w:tcPr>
          <w:p w14:paraId="245B7CB6">
            <w:pPr>
              <w:spacing w:line="240" w:lineRule="auto"/>
              <w:jc w:val="center"/>
              <w:rPr>
                <w:rFonts w:cs="Times New Roman"/>
                <w:color w:val="000000"/>
                <w:lang w:val="en-US"/>
              </w:rPr>
            </w:pPr>
            <w:r>
              <w:rPr>
                <w:rFonts w:hint="eastAsia" w:cs="Times New Roman"/>
                <w:color w:val="000000"/>
                <w:lang w:val="en-US"/>
              </w:rPr>
              <w:t>(3) Full text or key information required for the review unavailable (N=6)</w:t>
            </w:r>
          </w:p>
        </w:tc>
        <w:tc>
          <w:tcPr>
            <w:tcW w:w="6428" w:type="dxa"/>
            <w:tcBorders>
              <w:top w:val="nil"/>
              <w:left w:val="nil"/>
              <w:bottom w:val="single" w:color="000000" w:sz="12" w:space="0"/>
              <w:right w:val="nil"/>
            </w:tcBorders>
          </w:tcPr>
          <w:p w14:paraId="5659C31E">
            <w:pPr>
              <w:numPr>
                <w:ilvl w:val="0"/>
                <w:numId w:val="3"/>
              </w:numPr>
              <w:spacing w:line="240" w:lineRule="auto"/>
              <w:rPr>
                <w:rFonts w:hint="eastAsia" w:cs="Times New Roman"/>
                <w:color w:val="000000"/>
                <w:lang w:val="en-US"/>
              </w:rPr>
            </w:pPr>
            <w:r>
              <w:rPr>
                <w:rFonts w:hint="eastAsia" w:cs="Times New Roman"/>
                <w:color w:val="000000"/>
                <w:lang w:val="en-US"/>
              </w:rPr>
              <w:t>Mingzhe Cao JZ. Study on risk prediction models and determinants of dysfunction in Chinese middle-aged and elderly people with different obesity metabolic heterogeneity based on machine learning algorithms. The 14th National Sports Science Congress, 2025.</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&lt;EndNote&gt;&lt;Cite&gt;&lt;Author&gt;Mingzhe Cao&lt;/Author&gt;&lt;Year&gt;2025&lt;/Year&gt;&lt;RecNum&gt;518&lt;/RecNum&gt;&lt;DisplayText&gt;(22)&lt;/DisplayText&gt;&lt;record&gt;&lt;rec-number&gt;518&lt;/rec-number&gt;&lt;foreign-keys&gt;&lt;key app="EN" db-id="earspdaa1vazprerafqvx9tx5pvfaxf9awz0" timestamp="1775198129"&gt;518&lt;/key&gt;&lt;/foreign-keys&gt;&lt;ref-type name="会议文件"&gt;47&lt;/ref-type&gt;&lt;contributors&gt;&lt;authors&gt;&lt;author&gt;Mingzhe Cao, Jing Zhang&lt;/author&gt;&lt;/authors&gt;&lt;/contributors&gt;&lt;titles&gt;&lt;title&gt;Study on risk prediction models and determinants of dysfunction in Chinese middle-aged and elderly people with different obesity metabolic heterogeneity based on machine learning algorithms&lt;/title&gt;&lt;secondary-title&gt;The 14th National Sports Science Congress&lt;/secondary-title&gt;&lt;/titles&gt;&lt;section&gt;DOI: 10.26914/c.cnkihy.2025.086273&lt;/section&gt;&lt;dates&gt;&lt;year&gt;2025&lt;/year&gt;&lt;/dates&gt;&lt;urls&gt;&lt;/urls&gt;&lt;/record&gt;&lt;/Cite&gt;&lt;/EndNote&gt;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(22)</w:t>
            </w:r>
            <w:r>
              <w:rPr>
                <w:rFonts w:hint="eastAsia" w:cs="Times New Roman"/>
                <w:color w:val="000000"/>
                <w:lang w:val="en-US"/>
              </w:rPr>
              <w:fldChar w:fldCharType="end"/>
            </w:r>
          </w:p>
          <w:p w14:paraId="321E089A">
            <w:pPr>
              <w:numPr>
                <w:ilvl w:val="0"/>
                <w:numId w:val="3"/>
              </w:numPr>
              <w:spacing w:line="240" w:lineRule="auto"/>
              <w:rPr>
                <w:rFonts w:hint="eastAsia" w:cs="Times New Roman"/>
                <w:color w:val="000000"/>
                <w:lang w:val="en-US"/>
              </w:rPr>
            </w:pPr>
            <w:r>
              <w:rPr>
                <w:rFonts w:hint="eastAsia" w:cs="Times New Roman"/>
                <w:color w:val="000000"/>
                <w:lang w:val="en-US"/>
              </w:rPr>
              <w:t>Yin M, Dong W, Ren L, et al. Development and validation of a risk prediction model for diabetic kidney disease in patients with diabetic retinopathy. Front Endocrinol (Lausanne) 2025;16:1499866. doi: 10.3389/fendo.2025.1499866 [published Online First: 20250505]</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PEVuZE5vdGU+PENpdGU+PEF1dGhvcj5ZaW48L0F1dGhvcj48WWVhcj4yMDI1PC9ZZWFyPjxSZWNO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bnRpYWwgY29uZmxpY3Qgb2YgaW50ZXJlc3QuPC9jdXN0b20xPjxjdXN0b20yPlBNQzEyMDg2MDcw
PC9jdXN0b20yPjxlbGVjdHJvbmljLXJlc291cmNlLW51bT4xMC4zMzg5L2ZlbmRvLjIwMjUuMTQ5
OTg2NjwvZWxlY3Ryb25pYy1yZXNvdXJjZS1udW0+PHJlbW90ZS1kYXRhYmFzZS1wcm92aWRlcj5O
TE08L3JlbW90ZS1kYXRhYmFzZS1wcm92aWRlcj48bGFuZ3VhZ2U+ZW5nPC9sYW5ndWFnZT48L3Jl
Y29yZD48L0NpdGU+PC9FbmROb3RlPg==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(23)</w:t>
            </w:r>
            <w:r>
              <w:rPr>
                <w:rFonts w:hint="eastAsia" w:cs="Times New Roman"/>
                <w:color w:val="000000"/>
                <w:lang w:val="en-US"/>
              </w:rPr>
              <w:fldChar w:fldCharType="end"/>
            </w:r>
          </w:p>
          <w:p w14:paraId="53A6E610">
            <w:pPr>
              <w:numPr>
                <w:ilvl w:val="0"/>
                <w:numId w:val="3"/>
              </w:numPr>
              <w:spacing w:line="240" w:lineRule="auto"/>
              <w:rPr>
                <w:rFonts w:hint="eastAsia" w:cs="Times New Roman"/>
                <w:color w:val="000000"/>
                <w:lang w:val="en-US"/>
              </w:rPr>
            </w:pPr>
            <w:r>
              <w:rPr>
                <w:rFonts w:hint="eastAsia" w:cs="Times New Roman"/>
                <w:color w:val="000000"/>
                <w:lang w:val="en-US"/>
              </w:rPr>
              <w:t>Zhao Yuxuan YN, Liang Hui, et al. Construction and validation of a risk prediction model for secondary type 2 diabetes in young obesity patients. Chinese Journal of Digestive Surgery 2025;24(8):1044–52. doi: 10.3760/cma.j.cn115610-20250509-00186</w:t>
            </w:r>
            <w:r>
              <w:rPr>
                <w:rFonts w:hint="eastAsia" w:cs="Times New Roman"/>
                <w:color w:val="000000"/>
                <w:lang w:val="en-US"/>
              </w:rPr>
              <w:fldChar w:fldCharType="begin"/>
            </w:r>
            <w:r>
              <w:rPr>
                <w:rFonts w:hint="eastAsia" w:cs="Times New Roman"/>
                <w:color w:val="000000"/>
                <w:lang w:val="en-US" w:eastAsia="zh-CN"/>
              </w:rPr>
              <w:instrText xml:space="preserve"> ADDIN EN.CITE &lt;EndNote&gt;&lt;Cite&gt;&lt;Author&gt;Zhao Yuxuan&lt;/Author&gt;&lt;Year&gt;2025&lt;/Year&gt;&lt;RecNum&gt;521&lt;/RecNum&gt;&lt;DisplayText&gt;(24)&lt;/DisplayText&gt;&lt;record&gt;&lt;rec-number&gt;521&lt;/rec-number&gt;&lt;foreign-keys&gt;&lt;key app="EN" db-id="earspdaa1vazprerafqvx9tx5pvfaxf9awz0" timestamp="1775199373"&gt;521&lt;/key&gt;&lt;/foreign-keys&gt;&lt;ref-type name="期刊文献"&gt;17&lt;/ref-type&gt;&lt;contributors&gt;&lt;authors&gt;&lt;author&gt;Zhao Yuxuan, Yang Ningli, Liang Hui, et al.&lt;/author&gt;&lt;/authors&gt;&lt;/contributors&gt;&lt;titles&gt;&lt;title&gt;Construction and validation of a risk prediction model for secondary type 2 diabetes in young obesity patients&lt;/title&gt;&lt;secondary-title&gt;Chinese Journal of Digestive Surgery&lt;/secondary-title&gt;&lt;/titles&gt;&lt;periodical&gt;&lt;full-title&gt;Chinese Journal of Digestive Surgery&lt;/full-title&gt;&lt;/periodical&gt;&lt;pages&gt;1044-1052&lt;/pages&gt;&lt;volume&gt;24&lt;/volume&gt;&lt;number&gt;8&lt;/number&gt;&lt;section&gt;1044&lt;/section&gt;&lt;dates&gt;&lt;year&gt;2025&lt;/year&gt;&lt;/dates&gt;&lt;urls&gt;&lt;/urls&gt;&lt;electronic-resource-num&gt;10.3760/cma.j.cn115610-20250509-00186&lt;/electronic-resource-num&gt;&lt;/record&gt;&lt;/Cite&gt;&lt;/EndNote&gt;</w:instrText>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(24)</w:t>
            </w:r>
            <w:r>
              <w:rPr>
                <w:rFonts w:hint="eastAsia" w:cs="Times New Roman"/>
                <w:color w:val="000000"/>
                <w:lang w:val="en-US"/>
              </w:rPr>
              <w:fldChar w:fldCharType="end"/>
            </w:r>
          </w:p>
          <w:p w14:paraId="26E03073">
            <w:pPr>
              <w:numPr>
                <w:ilvl w:val="0"/>
                <w:numId w:val="3"/>
              </w:numPr>
              <w:spacing w:line="240" w:lineRule="auto"/>
              <w:rPr>
                <w:rFonts w:hint="eastAsia" w:cs="Times New Roman"/>
                <w:color w:val="000000"/>
                <w:lang w:val="en-US"/>
              </w:rPr>
            </w:pPr>
            <w:r>
              <w:rPr>
                <w:rFonts w:hint="eastAsia" w:cs="Times New Roman"/>
                <w:color w:val="000000"/>
                <w:lang w:val="en-US"/>
              </w:rPr>
              <w:t>AI for the Prediction of Obesity-Related Vascular Diseases - Validation Study. clinicaltrialsgov 2024</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PEVuZE5vdGU+PENpdGU+PFllYXI+MjAyNDwvWWVhcj48UmVjTnVtPjUyMjwvUmVjTnVtPjxEaXNw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(25)</w:t>
            </w:r>
            <w:r>
              <w:rPr>
                <w:rFonts w:hint="eastAsia" w:cs="Times New Roman"/>
                <w:color w:val="000000"/>
                <w:lang w:val="en-US"/>
              </w:rPr>
              <w:fldChar w:fldCharType="end"/>
            </w:r>
          </w:p>
          <w:p w14:paraId="09975293">
            <w:pPr>
              <w:numPr>
                <w:ilvl w:val="0"/>
                <w:numId w:val="3"/>
              </w:numPr>
              <w:spacing w:line="240" w:lineRule="auto"/>
              <w:rPr>
                <w:rFonts w:hint="eastAsia" w:cs="Times New Roman"/>
                <w:color w:val="000000"/>
                <w:lang w:val="en-US"/>
              </w:rPr>
            </w:pPr>
            <w:r>
              <w:rPr>
                <w:rFonts w:hint="eastAsia" w:cs="Times New Roman"/>
                <w:color w:val="000000"/>
                <w:lang w:val="en-US"/>
              </w:rPr>
              <w:t>Lund LE, Nielsen RL, McVey Z, et al. Machine-learning prediction of obesity-related multi-morbidities. Diabetologia 2022;65((Lund L.E.; Nielsen R.L.; McVey Z.; Kitchen R.R.; Leal L.G.; Monfeuga T.; Gupta R.) Computational Biology, Novo Nordisk Research Centre Oxford, Oxford, United Kingdom):S135–S36. doi: 10.1007/s00125-022-05755-w</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PEVuZE5vdGU+PENpdGU+PEF1dGhvcj5MdW5kPC9BdXRob3I+PFllYXI+MjAyMjwvWWVhcj48UmVj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(26)</w:t>
            </w:r>
            <w:r>
              <w:rPr>
                <w:rFonts w:hint="eastAsia" w:cs="Times New Roman"/>
                <w:color w:val="000000"/>
                <w:lang w:val="en-US"/>
              </w:rPr>
              <w:fldChar w:fldCharType="end"/>
            </w:r>
          </w:p>
          <w:p w14:paraId="3E94DDD6">
            <w:pPr>
              <w:numPr>
                <w:ilvl w:val="0"/>
                <w:numId w:val="3"/>
              </w:numPr>
              <w:spacing w:line="240" w:lineRule="auto"/>
              <w:rPr>
                <w:rFonts w:cs="Times New Roman"/>
                <w:color w:val="000000"/>
                <w:lang w:val="en-US"/>
              </w:rPr>
            </w:pPr>
            <w:r>
              <w:rPr>
                <w:rFonts w:hint="eastAsia" w:cs="Times New Roman"/>
                <w:color w:val="000000"/>
                <w:lang w:val="en-US"/>
              </w:rPr>
              <w:t>Spelta E, Rossi E, Menichini D, et al. Obesity and hypertension during pregnancy: Development of a predictive model through bioelectrical impedance analysis. J Matern-Fetal Neonatal Med 2021;34(SUPPL 1):56–57. doi: 10.1080/14767058.2021.1962370</w:t>
            </w:r>
            <w:r>
              <w:rPr>
                <w:rFonts w:hint="eastAsia" w:cs="Times New Roman"/>
                <w:color w:val="000000"/>
                <w:lang w:val="en-US"/>
              </w:rPr>
              <w:fldChar w:fldCharType="begin"/>
            </w:r>
            <w:r>
              <w:rPr>
                <w:rFonts w:hint="eastAsia" w:cs="Times New Roman"/>
                <w:color w:val="000000"/>
                <w:lang w:val="en-US" w:eastAsia="zh-CN"/>
              </w:rPr>
              <w:instrText xml:space="preserve"> ADDIN EN.CITE </w:instrText>
            </w:r>
            <w:r>
              <w:rPr>
                <w:rFonts w:hint="eastAsia" w:cs="Times New Roman"/>
                <w:color w:val="000000"/>
                <w:lang w:val="en-US" w:eastAsia="zh-CN"/>
              </w:rPr>
              <w:fldChar w:fldCharType="begin">
                <w:fldData xml:space="preserve">PEVuZE5vdGU+PENpdGU+PEF1dGhvcj5TcGVsdGE8L0F1dGhvcj48WWVhcj4yMDIxPC9ZZWFyPjxS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</w:fldData>
              </w:fldChar>
            </w:r>
            <w:r>
              <w:rPr>
                <w:rFonts w:hint="eastAsia" w:cs="Times New Roman"/>
                <w:color w:val="000000"/>
                <w:lang w:val="en-US" w:eastAsia="zh-CN"/>
              </w:rPr>
              <w:instrText xml:space="preserve"> ADDIN EN.CITE.DATA </w:instrText>
            </w:r>
            <w:r>
              <w:rPr>
                <w:rFonts w:hint="eastAsia" w:cs="Times New Roman"/>
                <w:color w:val="000000"/>
                <w:lang w:val="en-US" w:eastAsia="zh-CN"/>
              </w:rPr>
              <w:fldChar w:fldCharType="separate"/>
            </w:r>
            <w:r>
              <w:rPr>
                <w:rFonts w:hint="eastAsia" w:cs="Times New Roman"/>
                <w:color w:val="000000"/>
                <w:lang w:val="en-US" w:eastAsia="zh-CN"/>
              </w:rPr>
              <w:fldChar w:fldCharType="end"/>
            </w:r>
            <w:r>
              <w:rPr>
                <w:rFonts w:hint="eastAsia" w:cs="Times New Roman"/>
                <w:color w:val="000000"/>
                <w:lang w:val="en-US"/>
              </w:rPr>
              <w:fldChar w:fldCharType="separate"/>
            </w:r>
            <w:r>
              <w:rPr>
                <w:rFonts w:hint="eastAsia" w:ascii="Times New Roman" w:hAnsi="Times New Roman" w:eastAsia="KaiTi_GB2312" w:cs="Times New Roman"/>
                <w:color w:val="000000"/>
                <w:sz w:val="21"/>
                <w:szCs w:val="22"/>
                <w:lang w:val="en-US" w:eastAsia="zh-CN" w:bidi="ar-SA"/>
              </w:rPr>
              <w:t>(27)</w:t>
            </w:r>
            <w:r>
              <w:rPr>
                <w:rFonts w:hint="eastAsia" w:cs="Times New Roman"/>
                <w:color w:val="000000"/>
                <w:lang w:val="en-US"/>
              </w:rPr>
              <w:fldChar w:fldCharType="end"/>
            </w:r>
          </w:p>
        </w:tc>
      </w:tr>
    </w:tbl>
    <w:p w14:paraId="446B82CD">
      <w:pPr>
        <w:spacing w:line="360" w:lineRule="auto"/>
        <w:jc w:val="center"/>
        <w:rPr>
          <w:rFonts w:cs="Times New Roman"/>
          <w:lang w:val="en-US"/>
        </w:rPr>
        <w:sectPr>
          <w:endnotePr>
            <w:numFmt w:val="decimal"/>
          </w:endnotePr>
          <w:pgSz w:w="11906" w:h="16838"/>
          <w:pgMar w:top="1440" w:right="1800" w:bottom="1440" w:left="1800" w:header="851" w:footer="992" w:gutter="0"/>
          <w:pgNumType w:fmt="decimal"/>
          <w:cols w:space="425" w:num="1"/>
          <w:docGrid w:type="lines" w:linePitch="312" w:charSpace="0"/>
        </w:sectPr>
      </w:pPr>
    </w:p>
    <w:bookmarkEnd w:id="18"/>
    <w:p w14:paraId="77187BA0">
      <w:pPr>
        <w:pStyle w:val="4"/>
        <w:bidi w:val="0"/>
        <w:spacing w:line="360" w:lineRule="auto"/>
        <w:rPr>
          <w:rFonts w:hint="eastAsia"/>
          <w:lang w:val="en-US" w:eastAsia="zh-CN"/>
        </w:rPr>
      </w:pPr>
      <w:bookmarkStart w:id="35" w:name="_Toc573627217"/>
      <w:bookmarkStart w:id="36" w:name="_Toc57965039"/>
      <w:bookmarkStart w:id="37" w:name="_Toc1738838741"/>
      <w:bookmarkStart w:id="38" w:name="_Toc25193"/>
      <w:bookmarkStart w:id="39" w:name="_Toc1516260007"/>
      <w:r>
        <w:t>Table S</w:t>
      </w:r>
      <w:r>
        <w:fldChar w:fldCharType="begin"/>
      </w:r>
      <w:r>
        <w:instrText xml:space="preserve"> SEQ Table_S \* ARABIC </w:instrText>
      </w:r>
      <w:r>
        <w:fldChar w:fldCharType="separate"/>
      </w:r>
      <w:r>
        <w:t>7</w:t>
      </w:r>
      <w:r>
        <w:fldChar w:fldCharType="end"/>
      </w:r>
      <w:r>
        <w:rPr>
          <w:rFonts w:hint="eastAsia"/>
          <w:lang w:val="en-US" w:eastAsia="zh-CN"/>
        </w:rPr>
        <w:t xml:space="preserve"> Basic characteristics of the risk prediction models included in the study</w:t>
      </w:r>
      <w:bookmarkEnd w:id="35"/>
      <w:bookmarkEnd w:id="36"/>
      <w:bookmarkEnd w:id="37"/>
    </w:p>
    <w:tbl>
      <w:tblPr>
        <w:tblStyle w:val="21"/>
        <w:tblW w:w="136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2"/>
        <w:gridCol w:w="840"/>
        <w:gridCol w:w="532"/>
        <w:gridCol w:w="1012"/>
        <w:gridCol w:w="1421"/>
        <w:gridCol w:w="1441"/>
        <w:gridCol w:w="752"/>
        <w:gridCol w:w="1614"/>
        <w:gridCol w:w="1263"/>
        <w:gridCol w:w="919"/>
        <w:gridCol w:w="957"/>
        <w:gridCol w:w="957"/>
        <w:gridCol w:w="959"/>
      </w:tblGrid>
      <w:tr w14:paraId="58CCBB12">
        <w:trPr>
          <w:trHeight w:val="366" w:hRule="atLeast"/>
          <w:tblHeader/>
        </w:trPr>
        <w:tc>
          <w:tcPr>
            <w:tcW w:w="1012" w:type="dxa"/>
            <w:vMerge w:val="restart"/>
            <w:tcBorders>
              <w:top w:val="single" w:color="000000" w:sz="12" w:space="0"/>
              <w:left w:val="nil"/>
              <w:bottom w:val="single" w:color="000000" w:sz="8" w:space="0"/>
              <w:right w:val="nil"/>
            </w:tcBorders>
            <w:shd w:val="clear" w:color="auto" w:fill="auto"/>
            <w:vAlign w:val="center"/>
          </w:tcPr>
          <w:p w14:paraId="0019BDF0">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Study Design/Outcome</w:t>
            </w:r>
          </w:p>
        </w:tc>
        <w:tc>
          <w:tcPr>
            <w:tcW w:w="840" w:type="dxa"/>
            <w:vMerge w:val="restart"/>
            <w:tcBorders>
              <w:top w:val="single" w:color="000000" w:sz="12" w:space="0"/>
              <w:left w:val="nil"/>
              <w:bottom w:val="single" w:color="000000" w:sz="8" w:space="0"/>
              <w:right w:val="nil"/>
            </w:tcBorders>
            <w:shd w:val="clear" w:color="auto" w:fill="auto"/>
            <w:vAlign w:val="center"/>
          </w:tcPr>
          <w:p w14:paraId="626B914B">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First Author, Year</w:t>
            </w:r>
          </w:p>
        </w:tc>
        <w:tc>
          <w:tcPr>
            <w:tcW w:w="532" w:type="dxa"/>
            <w:vMerge w:val="restart"/>
            <w:tcBorders>
              <w:top w:val="single" w:color="000000" w:sz="12" w:space="0"/>
              <w:left w:val="nil"/>
              <w:bottom w:val="single" w:color="000000" w:sz="8" w:space="0"/>
              <w:right w:val="nil"/>
            </w:tcBorders>
            <w:shd w:val="clear" w:color="auto" w:fill="auto"/>
            <w:vAlign w:val="center"/>
          </w:tcPr>
          <w:p w14:paraId="3E781A14">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Model Code</w:t>
            </w:r>
          </w:p>
        </w:tc>
        <w:tc>
          <w:tcPr>
            <w:tcW w:w="1012" w:type="dxa"/>
            <w:vMerge w:val="restart"/>
            <w:tcBorders>
              <w:top w:val="single" w:color="000000" w:sz="12" w:space="0"/>
              <w:left w:val="nil"/>
              <w:bottom w:val="single" w:color="000000" w:sz="8" w:space="0"/>
              <w:right w:val="nil"/>
            </w:tcBorders>
            <w:shd w:val="clear" w:color="auto" w:fill="auto"/>
            <w:vAlign w:val="center"/>
          </w:tcPr>
          <w:p w14:paraId="6C277B58">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Handling of Continuous Variables</w:t>
            </w:r>
          </w:p>
        </w:tc>
        <w:tc>
          <w:tcPr>
            <w:tcW w:w="1421" w:type="dxa"/>
            <w:vMerge w:val="restart"/>
            <w:tcBorders>
              <w:top w:val="single" w:color="000000" w:sz="12" w:space="0"/>
              <w:left w:val="nil"/>
              <w:bottom w:val="single" w:color="000000" w:sz="8" w:space="0"/>
              <w:right w:val="nil"/>
            </w:tcBorders>
            <w:shd w:val="clear" w:color="auto" w:fill="auto"/>
            <w:vAlign w:val="center"/>
          </w:tcPr>
          <w:p w14:paraId="34867D69">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Handling of Missing Data</w:t>
            </w:r>
          </w:p>
        </w:tc>
        <w:tc>
          <w:tcPr>
            <w:tcW w:w="1441" w:type="dxa"/>
            <w:vMerge w:val="restart"/>
            <w:tcBorders>
              <w:top w:val="single" w:color="000000" w:sz="12" w:space="0"/>
              <w:left w:val="nil"/>
              <w:bottom w:val="single" w:color="000000" w:sz="8" w:space="0"/>
              <w:right w:val="nil"/>
            </w:tcBorders>
            <w:shd w:val="clear" w:color="auto" w:fill="auto"/>
            <w:vAlign w:val="center"/>
          </w:tcPr>
          <w:p w14:paraId="5C031ACD">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Predictor Selection Method</w:t>
            </w:r>
          </w:p>
        </w:tc>
        <w:tc>
          <w:tcPr>
            <w:tcW w:w="752" w:type="dxa"/>
            <w:vMerge w:val="restart"/>
            <w:tcBorders>
              <w:top w:val="single" w:color="000000" w:sz="12" w:space="0"/>
              <w:left w:val="nil"/>
              <w:bottom w:val="single" w:color="000000" w:sz="8" w:space="0"/>
              <w:right w:val="nil"/>
            </w:tcBorders>
            <w:shd w:val="clear" w:color="auto" w:fill="auto"/>
            <w:vAlign w:val="center"/>
          </w:tcPr>
          <w:p w14:paraId="539D472B">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No. of Predictors</w:t>
            </w:r>
          </w:p>
        </w:tc>
        <w:tc>
          <w:tcPr>
            <w:tcW w:w="1614" w:type="dxa"/>
            <w:vMerge w:val="restart"/>
            <w:tcBorders>
              <w:top w:val="single" w:color="000000" w:sz="12" w:space="0"/>
              <w:left w:val="nil"/>
              <w:bottom w:val="single" w:color="000000" w:sz="8" w:space="0"/>
              <w:right w:val="nil"/>
            </w:tcBorders>
            <w:shd w:val="clear" w:color="auto" w:fill="auto"/>
            <w:vAlign w:val="center"/>
          </w:tcPr>
          <w:p w14:paraId="027F05EE">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Predictors</w:t>
            </w:r>
          </w:p>
        </w:tc>
        <w:tc>
          <w:tcPr>
            <w:tcW w:w="1263" w:type="dxa"/>
            <w:vMerge w:val="restart"/>
            <w:tcBorders>
              <w:top w:val="single" w:color="000000" w:sz="12" w:space="0"/>
              <w:left w:val="nil"/>
              <w:bottom w:val="single" w:color="000000" w:sz="8" w:space="0"/>
              <w:right w:val="nil"/>
            </w:tcBorders>
            <w:shd w:val="clear" w:color="auto" w:fill="auto"/>
            <w:vAlign w:val="center"/>
          </w:tcPr>
          <w:p w14:paraId="699BE66D">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Modeling Method</w:t>
            </w:r>
          </w:p>
        </w:tc>
        <w:tc>
          <w:tcPr>
            <w:tcW w:w="919" w:type="dxa"/>
            <w:vMerge w:val="restart"/>
            <w:tcBorders>
              <w:top w:val="single" w:color="000000" w:sz="12" w:space="0"/>
              <w:left w:val="nil"/>
              <w:bottom w:val="single" w:color="000000" w:sz="8" w:space="0"/>
              <w:right w:val="nil"/>
            </w:tcBorders>
            <w:shd w:val="clear" w:color="auto" w:fill="auto"/>
            <w:vAlign w:val="center"/>
          </w:tcPr>
          <w:p w14:paraId="5A0FF7CA">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Presentation</w:t>
            </w:r>
          </w:p>
        </w:tc>
        <w:tc>
          <w:tcPr>
            <w:tcW w:w="2873" w:type="dxa"/>
            <w:gridSpan w:val="3"/>
            <w:tcBorders>
              <w:top w:val="single" w:color="000000" w:sz="12" w:space="0"/>
              <w:left w:val="nil"/>
              <w:bottom w:val="single" w:color="000000" w:sz="8" w:space="0"/>
              <w:right w:val="nil"/>
            </w:tcBorders>
            <w:shd w:val="clear" w:color="auto" w:fill="auto"/>
            <w:vAlign w:val="center"/>
          </w:tcPr>
          <w:p w14:paraId="64FC5270">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Performance Evaluation Methods</w:t>
            </w:r>
          </w:p>
        </w:tc>
      </w:tr>
      <w:tr w14:paraId="4CD0CED1">
        <w:trPr>
          <w:trHeight w:val="366" w:hRule="atLeast"/>
          <w:tblHeader/>
        </w:trPr>
        <w:tc>
          <w:tcPr>
            <w:tcW w:w="1012" w:type="dxa"/>
            <w:vMerge w:val="continue"/>
            <w:tcBorders>
              <w:top w:val="single" w:color="000000" w:sz="12" w:space="0"/>
              <w:left w:val="nil"/>
              <w:bottom w:val="single" w:color="000000" w:sz="8" w:space="0"/>
              <w:right w:val="nil"/>
            </w:tcBorders>
            <w:shd w:val="clear" w:color="auto" w:fill="auto"/>
            <w:vAlign w:val="center"/>
          </w:tcPr>
          <w:p w14:paraId="5FE76F3A">
            <w:pPr>
              <w:spacing w:line="240" w:lineRule="auto"/>
              <w:rPr>
                <w:rFonts w:hint="default" w:ascii="Times New Roman Bold" w:hAnsi="Times New Roman Bold" w:cs="Times New Roman Bold"/>
                <w:b/>
                <w:bCs/>
                <w:sz w:val="18"/>
                <w:szCs w:val="18"/>
                <w:lang w:val="en-US" w:eastAsia="zh-CN"/>
              </w:rPr>
            </w:pPr>
          </w:p>
        </w:tc>
        <w:tc>
          <w:tcPr>
            <w:tcW w:w="840" w:type="dxa"/>
            <w:vMerge w:val="continue"/>
            <w:tcBorders>
              <w:top w:val="single" w:color="000000" w:sz="12" w:space="0"/>
              <w:left w:val="nil"/>
              <w:bottom w:val="single" w:color="000000" w:sz="8" w:space="0"/>
              <w:right w:val="nil"/>
            </w:tcBorders>
            <w:shd w:val="clear" w:color="auto" w:fill="auto"/>
            <w:vAlign w:val="center"/>
          </w:tcPr>
          <w:p w14:paraId="42B93D4E">
            <w:pPr>
              <w:spacing w:line="240" w:lineRule="auto"/>
              <w:rPr>
                <w:rFonts w:hint="default" w:ascii="Times New Roman Bold" w:hAnsi="Times New Roman Bold" w:cs="Times New Roman Bold"/>
                <w:b/>
                <w:bCs/>
                <w:sz w:val="18"/>
                <w:szCs w:val="18"/>
                <w:lang w:val="en-US" w:eastAsia="zh-CN"/>
              </w:rPr>
            </w:pPr>
          </w:p>
        </w:tc>
        <w:tc>
          <w:tcPr>
            <w:tcW w:w="532" w:type="dxa"/>
            <w:vMerge w:val="continue"/>
            <w:tcBorders>
              <w:top w:val="single" w:color="000000" w:sz="12" w:space="0"/>
              <w:left w:val="nil"/>
              <w:bottom w:val="single" w:color="000000" w:sz="8" w:space="0"/>
              <w:right w:val="nil"/>
            </w:tcBorders>
            <w:shd w:val="clear" w:color="auto" w:fill="auto"/>
            <w:vAlign w:val="center"/>
          </w:tcPr>
          <w:p w14:paraId="7A675A17">
            <w:pPr>
              <w:spacing w:line="240" w:lineRule="auto"/>
              <w:rPr>
                <w:rFonts w:hint="default" w:ascii="Times New Roman Bold" w:hAnsi="Times New Roman Bold" w:cs="Times New Roman Bold"/>
                <w:b/>
                <w:bCs/>
                <w:sz w:val="18"/>
                <w:szCs w:val="18"/>
                <w:lang w:val="en-US" w:eastAsia="zh-CN"/>
              </w:rPr>
            </w:pPr>
          </w:p>
        </w:tc>
        <w:tc>
          <w:tcPr>
            <w:tcW w:w="1012" w:type="dxa"/>
            <w:vMerge w:val="continue"/>
            <w:tcBorders>
              <w:top w:val="single" w:color="000000" w:sz="12" w:space="0"/>
              <w:left w:val="nil"/>
              <w:bottom w:val="single" w:color="000000" w:sz="8" w:space="0"/>
              <w:right w:val="nil"/>
            </w:tcBorders>
            <w:shd w:val="clear" w:color="auto" w:fill="auto"/>
            <w:vAlign w:val="center"/>
          </w:tcPr>
          <w:p w14:paraId="148BF64E">
            <w:pPr>
              <w:spacing w:line="240" w:lineRule="auto"/>
              <w:rPr>
                <w:rFonts w:hint="default" w:ascii="Times New Roman Bold" w:hAnsi="Times New Roman Bold" w:cs="Times New Roman Bold"/>
                <w:b/>
                <w:bCs/>
                <w:sz w:val="18"/>
                <w:szCs w:val="18"/>
                <w:lang w:val="en-US" w:eastAsia="zh-CN"/>
              </w:rPr>
            </w:pPr>
          </w:p>
        </w:tc>
        <w:tc>
          <w:tcPr>
            <w:tcW w:w="1421" w:type="dxa"/>
            <w:vMerge w:val="continue"/>
            <w:tcBorders>
              <w:top w:val="single" w:color="000000" w:sz="12" w:space="0"/>
              <w:left w:val="nil"/>
              <w:bottom w:val="single" w:color="000000" w:sz="8" w:space="0"/>
              <w:right w:val="nil"/>
            </w:tcBorders>
            <w:shd w:val="clear" w:color="auto" w:fill="auto"/>
            <w:vAlign w:val="center"/>
          </w:tcPr>
          <w:p w14:paraId="7486AFCC">
            <w:pPr>
              <w:spacing w:line="240" w:lineRule="auto"/>
              <w:rPr>
                <w:rFonts w:hint="default" w:ascii="Times New Roman Bold" w:hAnsi="Times New Roman Bold" w:cs="Times New Roman Bold"/>
                <w:b/>
                <w:bCs/>
                <w:sz w:val="18"/>
                <w:szCs w:val="18"/>
                <w:lang w:val="en-US" w:eastAsia="zh-CN"/>
              </w:rPr>
            </w:pPr>
          </w:p>
        </w:tc>
        <w:tc>
          <w:tcPr>
            <w:tcW w:w="1441" w:type="dxa"/>
            <w:vMerge w:val="continue"/>
            <w:tcBorders>
              <w:top w:val="single" w:color="000000" w:sz="12" w:space="0"/>
              <w:left w:val="nil"/>
              <w:bottom w:val="single" w:color="000000" w:sz="8" w:space="0"/>
              <w:right w:val="nil"/>
            </w:tcBorders>
            <w:shd w:val="clear" w:color="auto" w:fill="auto"/>
            <w:vAlign w:val="center"/>
          </w:tcPr>
          <w:p w14:paraId="27DC712F">
            <w:pPr>
              <w:spacing w:line="240" w:lineRule="auto"/>
              <w:rPr>
                <w:rFonts w:hint="default" w:ascii="Times New Roman Bold" w:hAnsi="Times New Roman Bold" w:cs="Times New Roman Bold"/>
                <w:b/>
                <w:bCs/>
                <w:sz w:val="18"/>
                <w:szCs w:val="18"/>
                <w:lang w:val="en-US" w:eastAsia="zh-CN"/>
              </w:rPr>
            </w:pPr>
          </w:p>
        </w:tc>
        <w:tc>
          <w:tcPr>
            <w:tcW w:w="752" w:type="dxa"/>
            <w:vMerge w:val="continue"/>
            <w:tcBorders>
              <w:top w:val="single" w:color="000000" w:sz="12" w:space="0"/>
              <w:left w:val="nil"/>
              <w:bottom w:val="single" w:color="000000" w:sz="8" w:space="0"/>
              <w:right w:val="nil"/>
            </w:tcBorders>
            <w:shd w:val="clear" w:color="auto" w:fill="auto"/>
            <w:vAlign w:val="center"/>
          </w:tcPr>
          <w:p w14:paraId="3F9CCB1F">
            <w:pPr>
              <w:spacing w:line="240" w:lineRule="auto"/>
              <w:rPr>
                <w:rFonts w:hint="default" w:ascii="Times New Roman Bold" w:hAnsi="Times New Roman Bold" w:cs="Times New Roman Bold"/>
                <w:b/>
                <w:bCs/>
                <w:sz w:val="18"/>
                <w:szCs w:val="18"/>
                <w:lang w:val="en-US" w:eastAsia="zh-CN"/>
              </w:rPr>
            </w:pPr>
          </w:p>
        </w:tc>
        <w:tc>
          <w:tcPr>
            <w:tcW w:w="1614" w:type="dxa"/>
            <w:vMerge w:val="continue"/>
            <w:tcBorders>
              <w:top w:val="single" w:color="000000" w:sz="12" w:space="0"/>
              <w:left w:val="nil"/>
              <w:bottom w:val="single" w:color="000000" w:sz="8" w:space="0"/>
              <w:right w:val="nil"/>
            </w:tcBorders>
            <w:shd w:val="clear" w:color="auto" w:fill="auto"/>
            <w:vAlign w:val="center"/>
          </w:tcPr>
          <w:p w14:paraId="75E11762">
            <w:pPr>
              <w:spacing w:line="240" w:lineRule="auto"/>
              <w:rPr>
                <w:rFonts w:hint="default" w:ascii="Times New Roman Bold" w:hAnsi="Times New Roman Bold" w:cs="Times New Roman Bold"/>
                <w:b/>
                <w:bCs/>
                <w:sz w:val="18"/>
                <w:szCs w:val="18"/>
                <w:lang w:val="en-US" w:eastAsia="zh-CN"/>
              </w:rPr>
            </w:pPr>
          </w:p>
        </w:tc>
        <w:tc>
          <w:tcPr>
            <w:tcW w:w="1263" w:type="dxa"/>
            <w:vMerge w:val="continue"/>
            <w:tcBorders>
              <w:top w:val="single" w:color="000000" w:sz="12" w:space="0"/>
              <w:left w:val="nil"/>
              <w:bottom w:val="single" w:color="000000" w:sz="8" w:space="0"/>
              <w:right w:val="nil"/>
            </w:tcBorders>
            <w:shd w:val="clear" w:color="auto" w:fill="auto"/>
            <w:vAlign w:val="center"/>
          </w:tcPr>
          <w:p w14:paraId="5F6DC3BB">
            <w:pPr>
              <w:spacing w:line="240" w:lineRule="auto"/>
              <w:rPr>
                <w:rFonts w:hint="default" w:ascii="Times New Roman Bold" w:hAnsi="Times New Roman Bold" w:cs="Times New Roman Bold"/>
                <w:b/>
                <w:bCs/>
                <w:sz w:val="18"/>
                <w:szCs w:val="18"/>
                <w:lang w:val="en-US" w:eastAsia="zh-CN"/>
              </w:rPr>
            </w:pPr>
          </w:p>
        </w:tc>
        <w:tc>
          <w:tcPr>
            <w:tcW w:w="919" w:type="dxa"/>
            <w:vMerge w:val="continue"/>
            <w:tcBorders>
              <w:top w:val="single" w:color="000000" w:sz="12" w:space="0"/>
              <w:left w:val="nil"/>
              <w:bottom w:val="single" w:color="000000" w:sz="8" w:space="0"/>
              <w:right w:val="nil"/>
            </w:tcBorders>
            <w:shd w:val="clear" w:color="auto" w:fill="auto"/>
            <w:vAlign w:val="center"/>
          </w:tcPr>
          <w:p w14:paraId="5404C559">
            <w:pPr>
              <w:spacing w:line="240" w:lineRule="auto"/>
              <w:rPr>
                <w:rFonts w:hint="default" w:ascii="Times New Roman Bold" w:hAnsi="Times New Roman Bold" w:cs="Times New Roman Bold"/>
                <w:b/>
                <w:bCs/>
                <w:sz w:val="18"/>
                <w:szCs w:val="18"/>
                <w:lang w:val="en-US" w:eastAsia="zh-CN"/>
              </w:rPr>
            </w:pPr>
          </w:p>
        </w:tc>
        <w:tc>
          <w:tcPr>
            <w:tcW w:w="957" w:type="dxa"/>
            <w:tcBorders>
              <w:top w:val="single" w:color="000000" w:sz="8" w:space="0"/>
              <w:left w:val="nil"/>
              <w:bottom w:val="single" w:color="000000" w:sz="8" w:space="0"/>
              <w:right w:val="nil"/>
            </w:tcBorders>
            <w:shd w:val="clear" w:color="auto" w:fill="auto"/>
            <w:vAlign w:val="center"/>
          </w:tcPr>
          <w:p w14:paraId="372FC789">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Apparent</w:t>
            </w:r>
          </w:p>
        </w:tc>
        <w:tc>
          <w:tcPr>
            <w:tcW w:w="957" w:type="dxa"/>
            <w:tcBorders>
              <w:top w:val="single" w:color="000000" w:sz="8" w:space="0"/>
              <w:left w:val="nil"/>
              <w:bottom w:val="single" w:color="000000" w:sz="8" w:space="0"/>
              <w:right w:val="nil"/>
            </w:tcBorders>
            <w:shd w:val="clear" w:color="auto" w:fill="auto"/>
            <w:vAlign w:val="center"/>
          </w:tcPr>
          <w:p w14:paraId="5D7D4A55">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Internal</w:t>
            </w:r>
          </w:p>
        </w:tc>
        <w:tc>
          <w:tcPr>
            <w:tcW w:w="959" w:type="dxa"/>
            <w:tcBorders>
              <w:top w:val="single" w:color="000000" w:sz="8" w:space="0"/>
              <w:left w:val="nil"/>
              <w:bottom w:val="single" w:color="000000" w:sz="8" w:space="0"/>
              <w:right w:val="nil"/>
            </w:tcBorders>
            <w:shd w:val="clear" w:color="auto" w:fill="auto"/>
            <w:vAlign w:val="center"/>
          </w:tcPr>
          <w:p w14:paraId="131EA1E1">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External</w:t>
            </w:r>
          </w:p>
        </w:tc>
      </w:tr>
      <w:tr w14:paraId="4132F846">
        <w:trPr>
          <w:trHeight w:val="366" w:hRule="atLeast"/>
        </w:trPr>
        <w:tc>
          <w:tcPr>
            <w:tcW w:w="13679" w:type="dxa"/>
            <w:gridSpan w:val="13"/>
            <w:tcBorders>
              <w:top w:val="single" w:color="000000" w:sz="12" w:space="0"/>
              <w:left w:val="nil"/>
              <w:bottom w:val="single" w:color="000000" w:sz="8" w:space="0"/>
              <w:right w:val="nil"/>
            </w:tcBorders>
            <w:shd w:val="clear" w:color="auto" w:fill="DBE3F4" w:themeFill="accent1" w:themeFillTint="32"/>
            <w:vAlign w:val="center"/>
          </w:tcPr>
          <w:p w14:paraId="59A7F773">
            <w:pPr>
              <w:spacing w:line="240" w:lineRule="auto"/>
              <w:jc w:val="both"/>
              <w:rPr>
                <w:rFonts w:hint="default" w:ascii="Times New Roman Bold" w:hAnsi="Times New Roman Bold" w:cs="Times New Roman Bold"/>
                <w:b/>
                <w:bCs/>
                <w:sz w:val="18"/>
                <w:szCs w:val="18"/>
                <w:lang w:val="en-US" w:eastAsia="zh-CN"/>
              </w:rPr>
            </w:pPr>
            <w:r>
              <w:rPr>
                <w:rFonts w:hint="eastAsia" w:ascii="Times New Roman Bold" w:hAnsi="Times New Roman Bold" w:cs="Times New Roman Bold"/>
                <w:b/>
                <w:bCs/>
                <w:sz w:val="18"/>
                <w:szCs w:val="18"/>
                <w:lang w:val="en-US" w:eastAsia="zh-CN"/>
              </w:rPr>
              <w:t>Cohort Study</w:t>
            </w:r>
          </w:p>
        </w:tc>
      </w:tr>
      <w:tr w14:paraId="0F72AA56">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53D39E1">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79A066EF">
            <w:pPr>
              <w:spacing w:line="240" w:lineRule="auto"/>
              <w:rPr>
                <w:rFonts w:hint="eastAsia"/>
                <w:sz w:val="18"/>
                <w:szCs w:val="18"/>
                <w:lang w:val="en-US" w:eastAsia="zh-CN"/>
              </w:rPr>
            </w:pPr>
            <w:r>
              <w:rPr>
                <w:rFonts w:hint="eastAsia"/>
                <w:sz w:val="18"/>
                <w:szCs w:val="18"/>
                <w:lang w:val="en-US" w:eastAsia="zh-CN"/>
              </w:rPr>
              <w:t>Tan C, et al., 2022</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&lt;EndNote&gt;&lt;Cite&gt;&lt;Author&gt;Tan&lt;/Author&gt;&lt;Year&gt;2022&lt;/Year&gt;&lt;RecNum&gt;545&lt;/RecNum&gt;&lt;DisplayText&gt;(28)&lt;/DisplayText&gt;&lt;record&gt;&lt;rec-number&gt;545&lt;/rec-number&gt;&lt;foreign-keys&gt;&lt;key app="EN" db-id="earspdaa1vazprerafqvx9tx5pvfaxf9awz0" timestamp="1775313034"&gt;545&lt;/key&gt;&lt;/foreign-keys&gt;&lt;ref-type name="期刊文献"&gt;17&lt;/ref-type&gt;&lt;contributors&gt;&lt;authors&gt;&lt;author&gt;Tan, C.&lt;/author&gt;&lt;author&gt;Li, B.&lt;/author&gt;&lt;author&gt;Xiao, L.&lt;/author&gt;&lt;author&gt;Zhang, Y.&lt;/author&gt;&lt;author&gt;Su, Y.&lt;/author&gt;&lt;author&gt;Ding, N.&lt;/author&gt;&lt;/authors&gt;&lt;/contributors&gt;&lt;auth-address&gt;The Second Affiliated Hospital, Department of Emergency Medicine, Hengyang Medical School, University of South China, Hengyang, Hunan, 421001, People&amp;apos;s Republic of China.&amp;#xD;The Second Affiliated Hospital, Department of Critical Care Medicine, Hengyang Medical School, University of South China, Hengyang, People&amp;apos;s Republic of China.&amp;#xD;Department of Emergency Medicine, The Affiliated Changsha Central Hospital, Hengyang Medical School, University of South China, Changsha, People&amp;apos;s Republic of China.&lt;/auth-address&gt;&lt;titles&gt;&lt;title&gt;A Prediction Model of the Incidence of Type 2 Diabetes in Individuals with Abdominal Obesity: Insights from the General Population&lt;/title&gt;&lt;secondary-title&gt;Diabetes Metab Syndr Obes&lt;/secondary-title&gt;&lt;/titles&gt;&lt;periodical&gt;&lt;full-title&gt;Diabetes Metab Syndr Obes&lt;/full-title&gt;&lt;/periodical&gt;&lt;pages&gt;3555-3564&lt;/pages&gt;&lt;volume&gt;15&lt;/volume&gt;&lt;edition&gt;20221115&lt;/edition&gt;&lt;keywords&gt;&lt;keyword&gt;T2dm&lt;/keyword&gt;&lt;keyword&gt;abdominal obesity&lt;/keyword&gt;&lt;keyword&gt;nomogram&lt;/keyword&gt;&lt;keyword&gt;prediction model&lt;/keyword&gt;&lt;keyword&gt;type 2 diabetes&lt;/keyword&gt;&lt;/keywords&gt;&lt;dates&gt;&lt;year&gt;2022&lt;/year&gt;&lt;/dates&gt;&lt;isbn&gt;1178-7007 (Print)&amp;#xD;1178-7007&lt;/isbn&gt;&lt;accession-num&gt;36411787&lt;/accession-num&gt;&lt;urls&gt;&lt;/urls&gt;&lt;custom1&gt;The authors report no conflicts of interest in this work.&lt;/custom1&gt;&lt;custom2&gt;PMC9675349&lt;/custom2&gt;&lt;electronic-resource-num&gt;10.2147/dmso.S386687&lt;/electronic-resource-num&gt;&lt;remote-database-provider&gt;NLM&lt;/remote-database-provider&gt;&lt;language&gt;eng&lt;/language&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(28)</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D57DC53">
            <w:pPr>
              <w:spacing w:line="240" w:lineRule="auto"/>
              <w:rPr>
                <w:rFonts w:hint="eastAsia"/>
                <w:sz w:val="18"/>
                <w:szCs w:val="18"/>
                <w:lang w:val="en-US" w:eastAsia="zh-CN"/>
              </w:rPr>
            </w:pPr>
            <w:r>
              <w:rPr>
                <w:rFonts w:hint="eastAsia"/>
                <w:sz w:val="18"/>
                <w:szCs w:val="18"/>
                <w:lang w:val="en-US" w:eastAsia="zh-CN"/>
              </w:rPr>
              <w:t>1</w:t>
            </w:r>
          </w:p>
        </w:tc>
        <w:tc>
          <w:tcPr>
            <w:tcW w:w="1012" w:type="dxa"/>
            <w:tcBorders>
              <w:top w:val="single" w:color="000000" w:sz="8" w:space="0"/>
              <w:left w:val="nil"/>
              <w:bottom w:val="single" w:color="000000" w:sz="8" w:space="0"/>
              <w:right w:val="nil"/>
            </w:tcBorders>
            <w:shd w:val="clear" w:color="auto" w:fill="auto"/>
            <w:noWrap/>
            <w:vAlign w:val="center"/>
          </w:tcPr>
          <w:p w14:paraId="405025A0">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090906C4">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6F8E39C2">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48071838">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7F8238F2">
            <w:pPr>
              <w:spacing w:line="240" w:lineRule="auto"/>
              <w:rPr>
                <w:rFonts w:hint="eastAsia"/>
                <w:sz w:val="18"/>
                <w:szCs w:val="18"/>
                <w:lang w:val="en-US" w:eastAsia="zh-CN"/>
              </w:rPr>
            </w:pPr>
            <w:r>
              <w:rPr>
                <w:rFonts w:hint="eastAsia"/>
                <w:sz w:val="18"/>
                <w:szCs w:val="18"/>
                <w:lang w:val="en-US" w:eastAsia="zh-CN"/>
              </w:rPr>
              <w:t>Smoking, WC, HbA1c, FPG, HDL, TG</w:t>
            </w:r>
          </w:p>
        </w:tc>
        <w:tc>
          <w:tcPr>
            <w:tcW w:w="1263" w:type="dxa"/>
            <w:tcBorders>
              <w:top w:val="single" w:color="000000" w:sz="8" w:space="0"/>
              <w:left w:val="nil"/>
              <w:bottom w:val="single" w:color="000000" w:sz="8" w:space="0"/>
              <w:right w:val="nil"/>
            </w:tcBorders>
            <w:shd w:val="clear" w:color="auto" w:fill="auto"/>
            <w:noWrap/>
            <w:vAlign w:val="center"/>
          </w:tcPr>
          <w:p w14:paraId="7FFBB451">
            <w:pPr>
              <w:spacing w:line="240" w:lineRule="auto"/>
              <w:rPr>
                <w:rFonts w:hint="eastAsia"/>
                <w:sz w:val="18"/>
                <w:szCs w:val="18"/>
                <w:lang w:val="en-US" w:eastAsia="zh-CN"/>
              </w:rPr>
            </w:pPr>
            <w:r>
              <w:rPr>
                <w:rFonts w:hint="eastAsia"/>
                <w:sz w:val="18"/>
                <w:szCs w:val="18"/>
                <w:lang w:val="en-US" w:eastAsia="zh-CN"/>
              </w:rPr>
              <w:t>NM</w:t>
            </w:r>
          </w:p>
        </w:tc>
        <w:tc>
          <w:tcPr>
            <w:tcW w:w="919" w:type="dxa"/>
            <w:tcBorders>
              <w:top w:val="single" w:color="000000" w:sz="8" w:space="0"/>
              <w:left w:val="nil"/>
              <w:bottom w:val="single" w:color="000000" w:sz="8" w:space="0"/>
              <w:right w:val="nil"/>
            </w:tcBorders>
            <w:shd w:val="clear" w:color="auto" w:fill="auto"/>
            <w:noWrap/>
            <w:vAlign w:val="center"/>
          </w:tcPr>
          <w:p w14:paraId="4E570FA5">
            <w:pPr>
              <w:spacing w:line="240" w:lineRule="auto"/>
              <w:rPr>
                <w:rFonts w:hint="eastAsia"/>
                <w:sz w:val="18"/>
                <w:szCs w:val="18"/>
                <w:lang w:val="en-US" w:eastAsia="zh-CN"/>
              </w:rPr>
            </w:pPr>
            <w:r>
              <w:rPr>
                <w:rFonts w:hint="eastAsia"/>
                <w:sz w:val="18"/>
                <w:szCs w:val="18"/>
                <w:lang w:val="en-US" w:eastAsia="zh-CN"/>
              </w:rPr>
              <w:t>Nomogram + Online calculator</w:t>
            </w:r>
          </w:p>
        </w:tc>
        <w:tc>
          <w:tcPr>
            <w:tcW w:w="957" w:type="dxa"/>
            <w:tcBorders>
              <w:top w:val="single" w:color="000000" w:sz="8" w:space="0"/>
              <w:left w:val="nil"/>
              <w:bottom w:val="single" w:color="000000" w:sz="8" w:space="0"/>
              <w:right w:val="nil"/>
            </w:tcBorders>
            <w:shd w:val="clear" w:color="auto" w:fill="auto"/>
            <w:noWrap/>
            <w:vAlign w:val="center"/>
          </w:tcPr>
          <w:p w14:paraId="06029EBC">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5CEB8C8D">
            <w:pPr>
              <w:spacing w:line="240" w:lineRule="auto"/>
              <w:rPr>
                <w:rFonts w:hint="eastAsia"/>
                <w:sz w:val="18"/>
                <w:szCs w:val="18"/>
                <w:lang w:val="en-US" w:eastAsia="zh-CN"/>
              </w:rPr>
            </w:pPr>
            <w:r>
              <w:rPr>
                <w:rFonts w:hint="eastAsia"/>
                <w:sz w:val="18"/>
                <w:szCs w:val="18"/>
                <w:lang w:val="en-US" w:eastAsia="zh-CN"/>
              </w:rPr>
              <w:t>Bootstrap + 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3306EB4C">
            <w:pPr>
              <w:spacing w:line="240" w:lineRule="auto"/>
              <w:rPr>
                <w:rFonts w:hint="eastAsia"/>
                <w:sz w:val="18"/>
                <w:szCs w:val="18"/>
                <w:lang w:val="en-US" w:eastAsia="zh-CN"/>
              </w:rPr>
            </w:pPr>
            <w:r>
              <w:rPr>
                <w:rFonts w:hint="eastAsia"/>
                <w:sz w:val="18"/>
                <w:szCs w:val="18"/>
                <w:lang w:val="en-US" w:eastAsia="zh-CN"/>
              </w:rPr>
              <w:t>None</w:t>
            </w:r>
          </w:p>
        </w:tc>
      </w:tr>
      <w:tr w14:paraId="01DEA01E">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7F540BB9">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13AA84AB">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2052202">
            <w:pPr>
              <w:spacing w:line="240" w:lineRule="auto"/>
              <w:rPr>
                <w:rFonts w:hint="eastAsia"/>
                <w:sz w:val="18"/>
                <w:szCs w:val="18"/>
                <w:lang w:val="en-US" w:eastAsia="zh-CN"/>
              </w:rPr>
            </w:pPr>
            <w:r>
              <w:rPr>
                <w:rFonts w:hint="eastAsia"/>
                <w:sz w:val="18"/>
                <w:szCs w:val="18"/>
                <w:lang w:val="en-US" w:eastAsia="zh-CN"/>
              </w:rPr>
              <w:t>2A</w:t>
            </w:r>
          </w:p>
        </w:tc>
        <w:tc>
          <w:tcPr>
            <w:tcW w:w="1012" w:type="dxa"/>
            <w:tcBorders>
              <w:top w:val="single" w:color="000000" w:sz="8" w:space="0"/>
              <w:left w:val="nil"/>
              <w:bottom w:val="single" w:color="000000" w:sz="8" w:space="0"/>
              <w:right w:val="nil"/>
            </w:tcBorders>
            <w:shd w:val="clear" w:color="auto" w:fill="auto"/>
            <w:noWrap/>
            <w:vAlign w:val="center"/>
          </w:tcPr>
          <w:p w14:paraId="015972B2">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6A2A88CA">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47F31993">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0BC81B3D">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0BEE3294">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7811C738">
            <w:pPr>
              <w:spacing w:line="240" w:lineRule="auto"/>
              <w:rPr>
                <w:rFonts w:hint="eastAsia"/>
                <w:sz w:val="18"/>
                <w:szCs w:val="18"/>
                <w:lang w:val="en-US" w:eastAsia="zh-CN"/>
              </w:rPr>
            </w:pPr>
            <w:r>
              <w:rPr>
                <w:rFonts w:hint="eastAsia"/>
                <w:sz w:val="18"/>
                <w:szCs w:val="18"/>
                <w:lang w:val="en-US" w:eastAsia="zh-CN"/>
              </w:rPr>
              <w:t>Machine Learning (Extra Trees)</w:t>
            </w:r>
          </w:p>
        </w:tc>
        <w:tc>
          <w:tcPr>
            <w:tcW w:w="919" w:type="dxa"/>
            <w:tcBorders>
              <w:top w:val="single" w:color="000000" w:sz="8" w:space="0"/>
              <w:left w:val="nil"/>
              <w:bottom w:val="single" w:color="000000" w:sz="8" w:space="0"/>
              <w:right w:val="nil"/>
            </w:tcBorders>
            <w:shd w:val="clear" w:color="auto" w:fill="auto"/>
            <w:noWrap/>
            <w:vAlign w:val="center"/>
          </w:tcPr>
          <w:p w14:paraId="328A5061">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2DAFEE50">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04718CC0">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62A35E1C">
            <w:pPr>
              <w:spacing w:line="240" w:lineRule="auto"/>
              <w:rPr>
                <w:rFonts w:hint="eastAsia"/>
                <w:sz w:val="18"/>
                <w:szCs w:val="18"/>
                <w:lang w:val="en-US" w:eastAsia="zh-CN"/>
              </w:rPr>
            </w:pPr>
            <w:r>
              <w:rPr>
                <w:rFonts w:hint="eastAsia"/>
                <w:sz w:val="18"/>
                <w:szCs w:val="18"/>
                <w:lang w:val="en-US" w:eastAsia="zh-CN"/>
              </w:rPr>
              <w:t>None</w:t>
            </w:r>
          </w:p>
        </w:tc>
      </w:tr>
      <w:tr w14:paraId="7CCD3071">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3AA8DEB">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32FD3A49">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40240220">
            <w:pPr>
              <w:spacing w:line="240" w:lineRule="auto"/>
              <w:rPr>
                <w:rFonts w:hint="eastAsia"/>
                <w:sz w:val="18"/>
                <w:szCs w:val="18"/>
                <w:lang w:val="en-US" w:eastAsia="zh-CN"/>
              </w:rPr>
            </w:pPr>
            <w:r>
              <w:rPr>
                <w:rFonts w:hint="eastAsia"/>
                <w:sz w:val="18"/>
                <w:szCs w:val="18"/>
                <w:lang w:val="en-US" w:eastAsia="zh-CN"/>
              </w:rPr>
              <w:t>2B</w:t>
            </w:r>
          </w:p>
        </w:tc>
        <w:tc>
          <w:tcPr>
            <w:tcW w:w="1012" w:type="dxa"/>
            <w:tcBorders>
              <w:top w:val="single" w:color="000000" w:sz="8" w:space="0"/>
              <w:left w:val="nil"/>
              <w:bottom w:val="single" w:color="000000" w:sz="8" w:space="0"/>
              <w:right w:val="nil"/>
            </w:tcBorders>
            <w:shd w:val="clear" w:color="auto" w:fill="auto"/>
            <w:noWrap/>
            <w:vAlign w:val="center"/>
          </w:tcPr>
          <w:p w14:paraId="3C7F5018">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54225D79">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340C98B1">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4898F8F4">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6FDB93A1">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6251CBEA">
            <w:pPr>
              <w:spacing w:line="240" w:lineRule="auto"/>
              <w:rPr>
                <w:rFonts w:hint="eastAsia"/>
                <w:sz w:val="18"/>
                <w:szCs w:val="18"/>
                <w:lang w:val="en-US" w:eastAsia="zh-CN"/>
              </w:rPr>
            </w:pPr>
            <w:r>
              <w:rPr>
                <w:rFonts w:hint="eastAsia"/>
                <w:sz w:val="18"/>
                <w:szCs w:val="18"/>
                <w:lang w:val="en-US" w:eastAsia="zh-CN"/>
              </w:rPr>
              <w:t>Machine Learning (Logistic)</w:t>
            </w:r>
          </w:p>
        </w:tc>
        <w:tc>
          <w:tcPr>
            <w:tcW w:w="919" w:type="dxa"/>
            <w:tcBorders>
              <w:top w:val="single" w:color="000000" w:sz="8" w:space="0"/>
              <w:left w:val="nil"/>
              <w:bottom w:val="single" w:color="000000" w:sz="8" w:space="0"/>
              <w:right w:val="nil"/>
            </w:tcBorders>
            <w:shd w:val="clear" w:color="auto" w:fill="auto"/>
            <w:noWrap/>
            <w:vAlign w:val="center"/>
          </w:tcPr>
          <w:p w14:paraId="5611F5CA">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53DA39FB">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6EB06388">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2066D8BB">
            <w:pPr>
              <w:spacing w:line="240" w:lineRule="auto"/>
              <w:rPr>
                <w:rFonts w:hint="eastAsia"/>
                <w:sz w:val="18"/>
                <w:szCs w:val="18"/>
                <w:lang w:val="en-US" w:eastAsia="zh-CN"/>
              </w:rPr>
            </w:pPr>
            <w:r>
              <w:rPr>
                <w:rFonts w:hint="eastAsia"/>
                <w:sz w:val="18"/>
                <w:szCs w:val="18"/>
                <w:lang w:val="en-US" w:eastAsia="zh-CN"/>
              </w:rPr>
              <w:t>None</w:t>
            </w:r>
          </w:p>
        </w:tc>
      </w:tr>
      <w:tr w14:paraId="46A4B513">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9E02823">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2263CF13">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CEB44EC">
            <w:pPr>
              <w:spacing w:line="240" w:lineRule="auto"/>
              <w:rPr>
                <w:rFonts w:hint="eastAsia"/>
                <w:sz w:val="18"/>
                <w:szCs w:val="18"/>
                <w:lang w:val="en-US" w:eastAsia="zh-CN"/>
              </w:rPr>
            </w:pPr>
            <w:r>
              <w:rPr>
                <w:rFonts w:hint="eastAsia"/>
                <w:sz w:val="18"/>
                <w:szCs w:val="18"/>
                <w:lang w:val="en-US" w:eastAsia="zh-CN"/>
              </w:rPr>
              <w:t>2C</w:t>
            </w:r>
          </w:p>
        </w:tc>
        <w:tc>
          <w:tcPr>
            <w:tcW w:w="1012" w:type="dxa"/>
            <w:tcBorders>
              <w:top w:val="single" w:color="000000" w:sz="8" w:space="0"/>
              <w:left w:val="nil"/>
              <w:bottom w:val="single" w:color="000000" w:sz="8" w:space="0"/>
              <w:right w:val="nil"/>
            </w:tcBorders>
            <w:shd w:val="clear" w:color="auto" w:fill="auto"/>
            <w:noWrap/>
            <w:vAlign w:val="center"/>
          </w:tcPr>
          <w:p w14:paraId="383E11E7">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3AEFBE50">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4B1181A7">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2A7E9417">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23DFE338">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5D7EC2DF">
            <w:pPr>
              <w:spacing w:line="240" w:lineRule="auto"/>
              <w:rPr>
                <w:rFonts w:hint="eastAsia"/>
                <w:sz w:val="18"/>
                <w:szCs w:val="18"/>
                <w:lang w:val="en-US" w:eastAsia="zh-CN"/>
              </w:rPr>
            </w:pPr>
            <w:r>
              <w:rPr>
                <w:rFonts w:hint="eastAsia"/>
                <w:sz w:val="18"/>
                <w:szCs w:val="18"/>
                <w:lang w:val="en-US" w:eastAsia="zh-CN"/>
              </w:rPr>
              <w:t>Machine Learning (SVM)</w:t>
            </w:r>
          </w:p>
        </w:tc>
        <w:tc>
          <w:tcPr>
            <w:tcW w:w="919" w:type="dxa"/>
            <w:tcBorders>
              <w:top w:val="single" w:color="000000" w:sz="8" w:space="0"/>
              <w:left w:val="nil"/>
              <w:bottom w:val="single" w:color="000000" w:sz="8" w:space="0"/>
              <w:right w:val="nil"/>
            </w:tcBorders>
            <w:shd w:val="clear" w:color="auto" w:fill="auto"/>
            <w:noWrap/>
            <w:vAlign w:val="center"/>
          </w:tcPr>
          <w:p w14:paraId="559CC448">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45E98B3E">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644DF08D">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746FC2AC">
            <w:pPr>
              <w:spacing w:line="240" w:lineRule="auto"/>
              <w:rPr>
                <w:rFonts w:hint="eastAsia"/>
                <w:sz w:val="18"/>
                <w:szCs w:val="18"/>
                <w:lang w:val="en-US" w:eastAsia="zh-CN"/>
              </w:rPr>
            </w:pPr>
            <w:r>
              <w:rPr>
                <w:rFonts w:hint="eastAsia"/>
                <w:sz w:val="18"/>
                <w:szCs w:val="18"/>
                <w:lang w:val="en-US" w:eastAsia="zh-CN"/>
              </w:rPr>
              <w:t>None</w:t>
            </w:r>
          </w:p>
        </w:tc>
      </w:tr>
      <w:tr w14:paraId="3F3EE19F">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CA9B1D2">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566A8A89">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4A52F3DD">
            <w:pPr>
              <w:spacing w:line="240" w:lineRule="auto"/>
              <w:rPr>
                <w:rFonts w:hint="eastAsia"/>
                <w:sz w:val="18"/>
                <w:szCs w:val="18"/>
                <w:lang w:val="en-US" w:eastAsia="zh-CN"/>
              </w:rPr>
            </w:pPr>
            <w:r>
              <w:rPr>
                <w:rFonts w:hint="eastAsia"/>
                <w:sz w:val="18"/>
                <w:szCs w:val="18"/>
                <w:lang w:val="en-US" w:eastAsia="zh-CN"/>
              </w:rPr>
              <w:t>2D</w:t>
            </w:r>
          </w:p>
        </w:tc>
        <w:tc>
          <w:tcPr>
            <w:tcW w:w="1012" w:type="dxa"/>
            <w:tcBorders>
              <w:top w:val="single" w:color="000000" w:sz="8" w:space="0"/>
              <w:left w:val="nil"/>
              <w:bottom w:val="single" w:color="000000" w:sz="8" w:space="0"/>
              <w:right w:val="nil"/>
            </w:tcBorders>
            <w:shd w:val="clear" w:color="auto" w:fill="auto"/>
            <w:noWrap/>
            <w:vAlign w:val="center"/>
          </w:tcPr>
          <w:p w14:paraId="4FFEC72C">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12AAEBFD">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69A461C9">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52C666BF">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381306CE">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7B532105">
            <w:pPr>
              <w:spacing w:line="240" w:lineRule="auto"/>
              <w:rPr>
                <w:rFonts w:hint="eastAsia"/>
                <w:sz w:val="18"/>
                <w:szCs w:val="18"/>
                <w:lang w:val="en-US" w:eastAsia="zh-CN"/>
              </w:rPr>
            </w:pPr>
            <w:r>
              <w:rPr>
                <w:rFonts w:hint="eastAsia"/>
                <w:sz w:val="18"/>
                <w:szCs w:val="18"/>
                <w:lang w:val="en-US" w:eastAsia="zh-CN"/>
              </w:rPr>
              <w:t>Machine Learning (MLP)</w:t>
            </w:r>
          </w:p>
        </w:tc>
        <w:tc>
          <w:tcPr>
            <w:tcW w:w="919" w:type="dxa"/>
            <w:tcBorders>
              <w:top w:val="single" w:color="000000" w:sz="8" w:space="0"/>
              <w:left w:val="nil"/>
              <w:bottom w:val="single" w:color="000000" w:sz="8" w:space="0"/>
              <w:right w:val="nil"/>
            </w:tcBorders>
            <w:shd w:val="clear" w:color="auto" w:fill="auto"/>
            <w:noWrap/>
            <w:vAlign w:val="center"/>
          </w:tcPr>
          <w:p w14:paraId="75865999">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08F3378C">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79558222">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7BB2A6F5">
            <w:pPr>
              <w:spacing w:line="240" w:lineRule="auto"/>
              <w:rPr>
                <w:rFonts w:hint="eastAsia"/>
                <w:sz w:val="18"/>
                <w:szCs w:val="18"/>
                <w:lang w:val="en-US" w:eastAsia="zh-CN"/>
              </w:rPr>
            </w:pPr>
            <w:r>
              <w:rPr>
                <w:rFonts w:hint="eastAsia"/>
                <w:sz w:val="18"/>
                <w:szCs w:val="18"/>
                <w:lang w:val="en-US" w:eastAsia="zh-CN"/>
              </w:rPr>
              <w:t>None</w:t>
            </w:r>
          </w:p>
        </w:tc>
      </w:tr>
      <w:tr w14:paraId="5E930DDD">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D5BEE92">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6322E4B3">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23084C4">
            <w:pPr>
              <w:spacing w:line="240" w:lineRule="auto"/>
              <w:rPr>
                <w:rFonts w:hint="eastAsia"/>
                <w:sz w:val="18"/>
                <w:szCs w:val="18"/>
                <w:lang w:val="en-US" w:eastAsia="zh-CN"/>
              </w:rPr>
            </w:pPr>
            <w:r>
              <w:rPr>
                <w:rFonts w:hint="eastAsia"/>
                <w:sz w:val="18"/>
                <w:szCs w:val="18"/>
                <w:lang w:val="en-US" w:eastAsia="zh-CN"/>
              </w:rPr>
              <w:t>2E</w:t>
            </w:r>
          </w:p>
        </w:tc>
        <w:tc>
          <w:tcPr>
            <w:tcW w:w="1012" w:type="dxa"/>
            <w:tcBorders>
              <w:top w:val="single" w:color="000000" w:sz="8" w:space="0"/>
              <w:left w:val="nil"/>
              <w:bottom w:val="single" w:color="000000" w:sz="8" w:space="0"/>
              <w:right w:val="nil"/>
            </w:tcBorders>
            <w:shd w:val="clear" w:color="auto" w:fill="auto"/>
            <w:noWrap/>
            <w:vAlign w:val="center"/>
          </w:tcPr>
          <w:p w14:paraId="223D47AF">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1BA5565D">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1789B92F">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7971E1C9">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08DA0830">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715B713B">
            <w:pPr>
              <w:spacing w:line="240" w:lineRule="auto"/>
              <w:rPr>
                <w:rFonts w:hint="eastAsia"/>
                <w:sz w:val="18"/>
                <w:szCs w:val="18"/>
                <w:lang w:val="en-US" w:eastAsia="zh-CN"/>
              </w:rPr>
            </w:pPr>
            <w:r>
              <w:rPr>
                <w:rFonts w:hint="eastAsia"/>
                <w:sz w:val="18"/>
                <w:szCs w:val="18"/>
                <w:lang w:val="en-US" w:eastAsia="zh-CN"/>
              </w:rPr>
              <w:t>AdaBoost</w:t>
            </w:r>
          </w:p>
        </w:tc>
        <w:tc>
          <w:tcPr>
            <w:tcW w:w="919" w:type="dxa"/>
            <w:tcBorders>
              <w:top w:val="single" w:color="000000" w:sz="8" w:space="0"/>
              <w:left w:val="nil"/>
              <w:bottom w:val="single" w:color="000000" w:sz="8" w:space="0"/>
              <w:right w:val="nil"/>
            </w:tcBorders>
            <w:shd w:val="clear" w:color="auto" w:fill="auto"/>
            <w:noWrap/>
            <w:vAlign w:val="center"/>
          </w:tcPr>
          <w:p w14:paraId="2389C782">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5279D5D1">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1C642F2D">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193AF589">
            <w:pPr>
              <w:spacing w:line="240" w:lineRule="auto"/>
              <w:rPr>
                <w:rFonts w:hint="eastAsia"/>
                <w:sz w:val="18"/>
                <w:szCs w:val="18"/>
                <w:lang w:val="en-US" w:eastAsia="zh-CN"/>
              </w:rPr>
            </w:pPr>
            <w:r>
              <w:rPr>
                <w:rFonts w:hint="eastAsia"/>
                <w:sz w:val="18"/>
                <w:szCs w:val="18"/>
                <w:lang w:val="en-US" w:eastAsia="zh-CN"/>
              </w:rPr>
              <w:t>None</w:t>
            </w:r>
          </w:p>
        </w:tc>
      </w:tr>
      <w:tr w14:paraId="5AB5EFE7">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2990AA81">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2FEF940A">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BB3D20B">
            <w:pPr>
              <w:spacing w:line="240" w:lineRule="auto"/>
              <w:rPr>
                <w:rFonts w:hint="eastAsia"/>
                <w:sz w:val="18"/>
                <w:szCs w:val="18"/>
                <w:lang w:val="en-US" w:eastAsia="zh-CN"/>
              </w:rPr>
            </w:pPr>
            <w:r>
              <w:rPr>
                <w:rFonts w:hint="eastAsia"/>
                <w:sz w:val="18"/>
                <w:szCs w:val="18"/>
                <w:lang w:val="en-US" w:eastAsia="zh-CN"/>
              </w:rPr>
              <w:t>2F</w:t>
            </w:r>
          </w:p>
        </w:tc>
        <w:tc>
          <w:tcPr>
            <w:tcW w:w="1012" w:type="dxa"/>
            <w:tcBorders>
              <w:top w:val="single" w:color="000000" w:sz="8" w:space="0"/>
              <w:left w:val="nil"/>
              <w:bottom w:val="single" w:color="000000" w:sz="8" w:space="0"/>
              <w:right w:val="nil"/>
            </w:tcBorders>
            <w:shd w:val="clear" w:color="auto" w:fill="auto"/>
            <w:noWrap/>
            <w:vAlign w:val="center"/>
          </w:tcPr>
          <w:p w14:paraId="189AC1B4">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3C970828">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0C3B0094">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1B7596CA">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32172CD0">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14CA4CE8">
            <w:pPr>
              <w:spacing w:line="240" w:lineRule="auto"/>
              <w:rPr>
                <w:rFonts w:hint="eastAsia"/>
                <w:sz w:val="18"/>
                <w:szCs w:val="18"/>
                <w:lang w:val="en-US" w:eastAsia="zh-CN"/>
              </w:rPr>
            </w:pPr>
            <w:r>
              <w:rPr>
                <w:rFonts w:hint="eastAsia"/>
                <w:sz w:val="18"/>
                <w:szCs w:val="18"/>
                <w:lang w:val="en-US" w:eastAsia="zh-CN"/>
              </w:rPr>
              <w:t>Machine Learning (Random Forest)</w:t>
            </w:r>
          </w:p>
        </w:tc>
        <w:tc>
          <w:tcPr>
            <w:tcW w:w="919" w:type="dxa"/>
            <w:tcBorders>
              <w:top w:val="single" w:color="000000" w:sz="8" w:space="0"/>
              <w:left w:val="nil"/>
              <w:bottom w:val="single" w:color="000000" w:sz="8" w:space="0"/>
              <w:right w:val="nil"/>
            </w:tcBorders>
            <w:shd w:val="clear" w:color="auto" w:fill="auto"/>
            <w:noWrap/>
            <w:vAlign w:val="center"/>
          </w:tcPr>
          <w:p w14:paraId="5A78DEE0">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401D4FF5">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446955AE">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4014DE1C">
            <w:pPr>
              <w:spacing w:line="240" w:lineRule="auto"/>
              <w:rPr>
                <w:rFonts w:hint="eastAsia"/>
                <w:sz w:val="18"/>
                <w:szCs w:val="18"/>
                <w:lang w:val="en-US" w:eastAsia="zh-CN"/>
              </w:rPr>
            </w:pPr>
            <w:r>
              <w:rPr>
                <w:rFonts w:hint="eastAsia"/>
                <w:sz w:val="18"/>
                <w:szCs w:val="18"/>
                <w:lang w:val="en-US" w:eastAsia="zh-CN"/>
              </w:rPr>
              <w:t>None</w:t>
            </w:r>
          </w:p>
        </w:tc>
      </w:tr>
      <w:tr w14:paraId="74F2B1BB">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259319E">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46D2CB3F">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523DCBA">
            <w:pPr>
              <w:spacing w:line="240" w:lineRule="auto"/>
              <w:rPr>
                <w:rFonts w:hint="eastAsia"/>
                <w:sz w:val="18"/>
                <w:szCs w:val="18"/>
                <w:lang w:val="en-US" w:eastAsia="zh-CN"/>
              </w:rPr>
            </w:pPr>
            <w:r>
              <w:rPr>
                <w:rFonts w:hint="eastAsia"/>
                <w:sz w:val="18"/>
                <w:szCs w:val="18"/>
                <w:lang w:val="en-US" w:eastAsia="zh-CN"/>
              </w:rPr>
              <w:t>2G</w:t>
            </w:r>
          </w:p>
        </w:tc>
        <w:tc>
          <w:tcPr>
            <w:tcW w:w="1012" w:type="dxa"/>
            <w:tcBorders>
              <w:top w:val="single" w:color="000000" w:sz="8" w:space="0"/>
              <w:left w:val="nil"/>
              <w:bottom w:val="single" w:color="000000" w:sz="8" w:space="0"/>
              <w:right w:val="nil"/>
            </w:tcBorders>
            <w:shd w:val="clear" w:color="auto" w:fill="auto"/>
            <w:noWrap/>
            <w:vAlign w:val="center"/>
          </w:tcPr>
          <w:p w14:paraId="0745D6C1">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694B21A8">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56D19731">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7AF30340">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0142875F">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266D05DD">
            <w:pPr>
              <w:spacing w:line="240" w:lineRule="auto"/>
              <w:rPr>
                <w:rFonts w:hint="eastAsia"/>
                <w:sz w:val="18"/>
                <w:szCs w:val="18"/>
                <w:lang w:val="en-US" w:eastAsia="zh-CN"/>
              </w:rPr>
            </w:pPr>
            <w:r>
              <w:rPr>
                <w:rFonts w:hint="eastAsia"/>
                <w:sz w:val="18"/>
                <w:szCs w:val="18"/>
                <w:lang w:val="en-US" w:eastAsia="zh-CN"/>
              </w:rPr>
              <w:t>Machine Learning (Extra Trees)</w:t>
            </w:r>
          </w:p>
        </w:tc>
        <w:tc>
          <w:tcPr>
            <w:tcW w:w="919" w:type="dxa"/>
            <w:tcBorders>
              <w:top w:val="single" w:color="000000" w:sz="8" w:space="0"/>
              <w:left w:val="nil"/>
              <w:bottom w:val="single" w:color="000000" w:sz="8" w:space="0"/>
              <w:right w:val="nil"/>
            </w:tcBorders>
            <w:shd w:val="clear" w:color="auto" w:fill="auto"/>
            <w:noWrap/>
            <w:vAlign w:val="center"/>
          </w:tcPr>
          <w:p w14:paraId="6807F8A1">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4BC7BE60">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0A71ACDB">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2C36D053">
            <w:pPr>
              <w:spacing w:line="240" w:lineRule="auto"/>
              <w:rPr>
                <w:rFonts w:hint="eastAsia"/>
                <w:sz w:val="18"/>
                <w:szCs w:val="18"/>
                <w:lang w:val="en-US" w:eastAsia="zh-CN"/>
              </w:rPr>
            </w:pPr>
            <w:r>
              <w:rPr>
                <w:rFonts w:hint="eastAsia"/>
                <w:sz w:val="18"/>
                <w:szCs w:val="18"/>
                <w:lang w:val="en-US" w:eastAsia="zh-CN"/>
              </w:rPr>
              <w:t>None</w:t>
            </w:r>
          </w:p>
        </w:tc>
      </w:tr>
      <w:tr w14:paraId="3A147233">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1ECB4B09">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6E9AB489">
            <w:pPr>
              <w:spacing w:line="240" w:lineRule="auto"/>
              <w:rPr>
                <w:rFonts w:hint="eastAsia"/>
                <w:sz w:val="18"/>
                <w:szCs w:val="18"/>
                <w:lang w:val="en-US" w:eastAsia="zh-CN"/>
              </w:rPr>
            </w:pPr>
            <w:r>
              <w:rPr>
                <w:rFonts w:hint="eastAsia"/>
                <w:sz w:val="18"/>
                <w:szCs w:val="18"/>
                <w:lang w:val="en-US" w:eastAsia="zh-CN"/>
              </w:rPr>
              <w:t>Yang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(29)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4409E3FE">
            <w:pPr>
              <w:spacing w:line="240" w:lineRule="auto"/>
              <w:rPr>
                <w:rFonts w:hint="eastAsia"/>
                <w:sz w:val="18"/>
                <w:szCs w:val="18"/>
                <w:lang w:val="en-US" w:eastAsia="zh-CN"/>
              </w:rPr>
            </w:pPr>
            <w:r>
              <w:rPr>
                <w:rFonts w:hint="eastAsia"/>
                <w:sz w:val="18"/>
                <w:szCs w:val="18"/>
                <w:lang w:val="en-US" w:eastAsia="zh-CN"/>
              </w:rPr>
              <w:t>2H</w:t>
            </w:r>
          </w:p>
        </w:tc>
        <w:tc>
          <w:tcPr>
            <w:tcW w:w="1012" w:type="dxa"/>
            <w:tcBorders>
              <w:top w:val="single" w:color="000000" w:sz="8" w:space="0"/>
              <w:left w:val="nil"/>
              <w:bottom w:val="single" w:color="000000" w:sz="8" w:space="0"/>
              <w:right w:val="nil"/>
            </w:tcBorders>
            <w:shd w:val="clear" w:color="auto" w:fill="auto"/>
            <w:noWrap/>
            <w:vAlign w:val="center"/>
          </w:tcPr>
          <w:p w14:paraId="44978579">
            <w:pPr>
              <w:spacing w:line="240" w:lineRule="auto"/>
              <w:rPr>
                <w:rFonts w:hint="eastAsia"/>
                <w:sz w:val="18"/>
                <w:szCs w:val="18"/>
                <w:lang w:val="en-US" w:eastAsia="zh-CN"/>
              </w:rPr>
            </w:pPr>
            <w:r>
              <w:rPr>
                <w:rFonts w:hint="eastAsia"/>
                <w:sz w:val="18"/>
                <w:szCs w:val="18"/>
                <w:lang w:val="en-US" w:eastAsia="zh-CN"/>
              </w:rPr>
              <w:t>Standardization</w:t>
            </w:r>
          </w:p>
        </w:tc>
        <w:tc>
          <w:tcPr>
            <w:tcW w:w="1421" w:type="dxa"/>
            <w:tcBorders>
              <w:top w:val="single" w:color="000000" w:sz="8" w:space="0"/>
              <w:left w:val="nil"/>
              <w:bottom w:val="single" w:color="000000" w:sz="8" w:space="0"/>
              <w:right w:val="nil"/>
            </w:tcBorders>
            <w:shd w:val="clear" w:color="auto" w:fill="auto"/>
            <w:noWrap/>
            <w:vAlign w:val="center"/>
          </w:tcPr>
          <w:p w14:paraId="1A2A0B88">
            <w:pPr>
              <w:spacing w:line="240" w:lineRule="auto"/>
              <w:rPr>
                <w:rFonts w:hint="eastAsia"/>
                <w:sz w:val="18"/>
                <w:szCs w:val="18"/>
                <w:lang w:val="en-US" w:eastAsia="zh-CN"/>
              </w:rPr>
            </w:pPr>
            <w:r>
              <w:rPr>
                <w:rFonts w:hint="eastAsia"/>
                <w:sz w:val="18"/>
                <w:szCs w:val="18"/>
                <w:lang w:val="en-US" w:eastAsia="zh-CN"/>
              </w:rPr>
              <w:t>Median (continuous) / Mode (categorical) imputation</w:t>
            </w:r>
          </w:p>
        </w:tc>
        <w:tc>
          <w:tcPr>
            <w:tcW w:w="1441" w:type="dxa"/>
            <w:tcBorders>
              <w:top w:val="single" w:color="000000" w:sz="8" w:space="0"/>
              <w:left w:val="nil"/>
              <w:bottom w:val="single" w:color="000000" w:sz="8" w:space="0"/>
              <w:right w:val="nil"/>
            </w:tcBorders>
            <w:shd w:val="clear" w:color="auto" w:fill="auto"/>
            <w:noWrap/>
            <w:vAlign w:val="center"/>
          </w:tcPr>
          <w:p w14:paraId="7214C3A6">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6EE2ECBF">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3BF7C7ED">
            <w:pPr>
              <w:spacing w:line="240" w:lineRule="auto"/>
              <w:rPr>
                <w:rFonts w:hint="eastAsia"/>
                <w:sz w:val="18"/>
                <w:szCs w:val="18"/>
                <w:lang w:val="en-US" w:eastAsia="zh-CN"/>
              </w:rPr>
            </w:pPr>
            <w:r>
              <w:rPr>
                <w:rFonts w:hint="eastAsia"/>
                <w:sz w:val="18"/>
                <w:szCs w:val="18"/>
                <w:lang w:val="en-US" w:eastAsia="zh-CN"/>
              </w:rPr>
              <w:t>BMI, Cr, Prealbumin, Glucose 180 min, HbA1c, TSH, Total T4, Free T4</w:t>
            </w:r>
          </w:p>
        </w:tc>
        <w:tc>
          <w:tcPr>
            <w:tcW w:w="1263" w:type="dxa"/>
            <w:tcBorders>
              <w:top w:val="single" w:color="000000" w:sz="8" w:space="0"/>
              <w:left w:val="nil"/>
              <w:bottom w:val="single" w:color="000000" w:sz="8" w:space="0"/>
              <w:right w:val="nil"/>
            </w:tcBorders>
            <w:shd w:val="clear" w:color="auto" w:fill="auto"/>
            <w:noWrap/>
            <w:vAlign w:val="center"/>
          </w:tcPr>
          <w:p w14:paraId="2B8C10AB">
            <w:pPr>
              <w:spacing w:line="240" w:lineRule="auto"/>
              <w:rPr>
                <w:rFonts w:hint="eastAsia"/>
                <w:sz w:val="18"/>
                <w:szCs w:val="18"/>
                <w:lang w:val="en-US" w:eastAsia="zh-CN"/>
              </w:rPr>
            </w:pPr>
            <w:r>
              <w:rPr>
                <w:rFonts w:hint="eastAsia"/>
                <w:sz w:val="18"/>
                <w:szCs w:val="18"/>
                <w:lang w:val="en-US" w:eastAsia="zh-CN"/>
              </w:rPr>
              <w:t>Machine Learning (XGBoost)</w:t>
            </w:r>
          </w:p>
        </w:tc>
        <w:tc>
          <w:tcPr>
            <w:tcW w:w="919" w:type="dxa"/>
            <w:tcBorders>
              <w:top w:val="single" w:color="000000" w:sz="8" w:space="0"/>
              <w:left w:val="nil"/>
              <w:bottom w:val="single" w:color="000000" w:sz="8" w:space="0"/>
              <w:right w:val="nil"/>
            </w:tcBorders>
            <w:shd w:val="clear" w:color="auto" w:fill="auto"/>
            <w:noWrap/>
            <w:vAlign w:val="center"/>
          </w:tcPr>
          <w:p w14:paraId="1204FB11">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558F69B4">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75EA1799">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11B6705D">
            <w:pPr>
              <w:spacing w:line="240" w:lineRule="auto"/>
              <w:rPr>
                <w:rFonts w:hint="eastAsia"/>
                <w:sz w:val="18"/>
                <w:szCs w:val="18"/>
                <w:lang w:val="en-US" w:eastAsia="zh-CN"/>
              </w:rPr>
            </w:pPr>
            <w:r>
              <w:rPr>
                <w:rFonts w:hint="eastAsia"/>
                <w:sz w:val="18"/>
                <w:szCs w:val="18"/>
                <w:lang w:val="en-US" w:eastAsia="zh-CN"/>
              </w:rPr>
              <w:t>None</w:t>
            </w:r>
          </w:p>
        </w:tc>
      </w:tr>
      <w:tr w14:paraId="04C424DE">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A8F0F4D">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2B73779B">
            <w:pPr>
              <w:spacing w:line="240" w:lineRule="auto"/>
              <w:rPr>
                <w:rFonts w:hint="eastAsia"/>
                <w:sz w:val="18"/>
                <w:szCs w:val="18"/>
                <w:lang w:val="en-US" w:eastAsia="zh-CN"/>
              </w:rPr>
            </w:pPr>
            <w:r>
              <w:rPr>
                <w:rFonts w:hint="eastAsia"/>
                <w:sz w:val="18"/>
                <w:szCs w:val="18"/>
                <w:lang w:val="en-US" w:eastAsia="zh-CN"/>
              </w:rPr>
              <w:t>Garcia C, et al., 2020</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(30)</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073A4B6">
            <w:pPr>
              <w:spacing w:line="240" w:lineRule="auto"/>
              <w:rPr>
                <w:rFonts w:hint="eastAsia"/>
                <w:sz w:val="18"/>
                <w:szCs w:val="18"/>
                <w:lang w:val="en-US" w:eastAsia="zh-CN"/>
              </w:rPr>
            </w:pPr>
            <w:r>
              <w:rPr>
                <w:rFonts w:hint="eastAsia"/>
                <w:sz w:val="18"/>
                <w:szCs w:val="18"/>
                <w:lang w:val="en-US" w:eastAsia="zh-CN"/>
              </w:rPr>
              <w:t>3A</w:t>
            </w:r>
          </w:p>
        </w:tc>
        <w:tc>
          <w:tcPr>
            <w:tcW w:w="1012" w:type="dxa"/>
            <w:tcBorders>
              <w:top w:val="single" w:color="000000" w:sz="8" w:space="0"/>
              <w:left w:val="nil"/>
              <w:bottom w:val="single" w:color="000000" w:sz="8" w:space="0"/>
              <w:right w:val="nil"/>
            </w:tcBorders>
            <w:shd w:val="clear" w:color="auto" w:fill="auto"/>
            <w:noWrap/>
            <w:vAlign w:val="center"/>
          </w:tcPr>
          <w:p w14:paraId="7C1B9336">
            <w:pPr>
              <w:spacing w:line="240" w:lineRule="auto"/>
              <w:rPr>
                <w:rFonts w:hint="eastAsia"/>
                <w:sz w:val="18"/>
                <w:szCs w:val="18"/>
                <w:lang w:val="en-US" w:eastAsia="zh-CN"/>
              </w:rPr>
            </w:pPr>
            <w:r>
              <w:rPr>
                <w:rFonts w:hint="eastAsia"/>
                <w:sz w:val="18"/>
                <w:szCs w:val="18"/>
                <w:lang w:val="en-US" w:eastAsia="zh-CN"/>
              </w:rPr>
              <w:t>z-score standardization</w:t>
            </w:r>
          </w:p>
        </w:tc>
        <w:tc>
          <w:tcPr>
            <w:tcW w:w="1421" w:type="dxa"/>
            <w:tcBorders>
              <w:top w:val="single" w:color="000000" w:sz="8" w:space="0"/>
              <w:left w:val="nil"/>
              <w:bottom w:val="single" w:color="000000" w:sz="8" w:space="0"/>
              <w:right w:val="nil"/>
            </w:tcBorders>
            <w:shd w:val="clear" w:color="auto" w:fill="auto"/>
            <w:noWrap/>
            <w:vAlign w:val="center"/>
          </w:tcPr>
          <w:p w14:paraId="0AFAB31B">
            <w:pPr>
              <w:spacing w:line="240" w:lineRule="auto"/>
              <w:rPr>
                <w:rFonts w:hint="eastAsia"/>
                <w:sz w:val="18"/>
                <w:szCs w:val="18"/>
                <w:lang w:val="en-US" w:eastAsia="zh-CN"/>
              </w:rPr>
            </w:pPr>
            <w:r>
              <w:rPr>
                <w:rFonts w:hint="eastAsia"/>
                <w:sz w:val="18"/>
                <w:szCs w:val="18"/>
                <w:lang w:val="en-US" w:eastAsia="zh-CN"/>
              </w:rPr>
              <w:t>Linear interpolation</w:t>
            </w:r>
          </w:p>
        </w:tc>
        <w:tc>
          <w:tcPr>
            <w:tcW w:w="1441" w:type="dxa"/>
            <w:tcBorders>
              <w:top w:val="single" w:color="000000" w:sz="8" w:space="0"/>
              <w:left w:val="nil"/>
              <w:bottom w:val="single" w:color="000000" w:sz="8" w:space="0"/>
              <w:right w:val="nil"/>
            </w:tcBorders>
            <w:shd w:val="clear" w:color="auto" w:fill="auto"/>
            <w:noWrap/>
            <w:vAlign w:val="center"/>
          </w:tcPr>
          <w:p w14:paraId="65828994">
            <w:pPr>
              <w:spacing w:line="240" w:lineRule="auto"/>
              <w:rPr>
                <w:rFonts w:hint="eastAsia"/>
                <w:sz w:val="18"/>
                <w:szCs w:val="18"/>
                <w:lang w:val="en-US" w:eastAsia="zh-CN"/>
              </w:rPr>
            </w:pPr>
            <w:r>
              <w:rPr>
                <w:rFonts w:hint="eastAsia"/>
                <w:sz w:val="18"/>
                <w:szCs w:val="18"/>
                <w:lang w:val="en-US" w:eastAsia="zh-CN"/>
              </w:rPr>
              <w:t>No feature selection (all 17 CV risk-related features)</w:t>
            </w:r>
          </w:p>
        </w:tc>
        <w:tc>
          <w:tcPr>
            <w:tcW w:w="752" w:type="dxa"/>
            <w:tcBorders>
              <w:top w:val="single" w:color="000000" w:sz="8" w:space="0"/>
              <w:left w:val="nil"/>
              <w:bottom w:val="single" w:color="000000" w:sz="8" w:space="0"/>
              <w:right w:val="nil"/>
            </w:tcBorders>
            <w:shd w:val="clear" w:color="auto" w:fill="auto"/>
            <w:noWrap/>
            <w:vAlign w:val="center"/>
          </w:tcPr>
          <w:p w14:paraId="3D6A68F8">
            <w:pPr>
              <w:spacing w:line="240" w:lineRule="auto"/>
              <w:rPr>
                <w:rFonts w:hint="eastAsia"/>
                <w:sz w:val="18"/>
                <w:szCs w:val="18"/>
                <w:lang w:val="en-US" w:eastAsia="zh-CN"/>
              </w:rPr>
            </w:pPr>
            <w:r>
              <w:rPr>
                <w:rFonts w:hint="eastAsia"/>
                <w:sz w:val="18"/>
                <w:szCs w:val="18"/>
                <w:lang w:val="en-US" w:eastAsia="zh-CN"/>
              </w:rPr>
              <w:t>17</w:t>
            </w:r>
          </w:p>
        </w:tc>
        <w:tc>
          <w:tcPr>
            <w:tcW w:w="1614" w:type="dxa"/>
            <w:tcBorders>
              <w:top w:val="single" w:color="000000" w:sz="8" w:space="0"/>
              <w:left w:val="nil"/>
              <w:bottom w:val="single" w:color="000000" w:sz="8" w:space="0"/>
              <w:right w:val="nil"/>
            </w:tcBorders>
            <w:shd w:val="clear" w:color="auto" w:fill="auto"/>
            <w:noWrap/>
            <w:vAlign w:val="center"/>
          </w:tcPr>
          <w:p w14:paraId="3A07DA4B">
            <w:pPr>
              <w:spacing w:line="240" w:lineRule="auto"/>
              <w:rPr>
                <w:rFonts w:hint="eastAsia"/>
                <w:sz w:val="18"/>
                <w:szCs w:val="18"/>
                <w:lang w:val="en-US" w:eastAsia="zh-CN"/>
              </w:rPr>
            </w:pPr>
            <w:r>
              <w:rPr>
                <w:rFonts w:hint="eastAsia"/>
                <w:sz w:val="18"/>
                <w:szCs w:val="18"/>
                <w:lang w:val="en-US" w:eastAsia="zh-CN"/>
              </w:rPr>
              <w:t>BMI, SBP, DBP, HDL, LDL, TG, HOMA-IR, Insulin, UACR, CRP, AST, ALT, GGT, VitD, Ferritin, Cr, Cystatin C</w:t>
            </w:r>
          </w:p>
        </w:tc>
        <w:tc>
          <w:tcPr>
            <w:tcW w:w="1263" w:type="dxa"/>
            <w:tcBorders>
              <w:top w:val="single" w:color="000000" w:sz="8" w:space="0"/>
              <w:left w:val="nil"/>
              <w:bottom w:val="single" w:color="000000" w:sz="8" w:space="0"/>
              <w:right w:val="nil"/>
            </w:tcBorders>
            <w:shd w:val="clear" w:color="auto" w:fill="auto"/>
            <w:noWrap/>
            <w:vAlign w:val="center"/>
          </w:tcPr>
          <w:p w14:paraId="450E2E14">
            <w:pPr>
              <w:spacing w:line="240" w:lineRule="auto"/>
              <w:rPr>
                <w:rFonts w:hint="eastAsia"/>
                <w:sz w:val="18"/>
                <w:szCs w:val="18"/>
                <w:lang w:val="en-US" w:eastAsia="zh-CN"/>
              </w:rPr>
            </w:pPr>
            <w:r>
              <w:rPr>
                <w:rFonts w:hint="eastAsia"/>
                <w:sz w:val="18"/>
                <w:szCs w:val="18"/>
                <w:lang w:val="en-US" w:eastAsia="zh-CN"/>
              </w:rPr>
              <w:t>Machine Learning (KNN)</w:t>
            </w:r>
          </w:p>
        </w:tc>
        <w:tc>
          <w:tcPr>
            <w:tcW w:w="919" w:type="dxa"/>
            <w:tcBorders>
              <w:top w:val="single" w:color="000000" w:sz="8" w:space="0"/>
              <w:left w:val="nil"/>
              <w:bottom w:val="single" w:color="000000" w:sz="8" w:space="0"/>
              <w:right w:val="nil"/>
            </w:tcBorders>
            <w:shd w:val="clear" w:color="auto" w:fill="auto"/>
            <w:noWrap/>
            <w:vAlign w:val="center"/>
          </w:tcPr>
          <w:p w14:paraId="004DAF6A">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1D4698B0">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163796FC">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1EC48478">
            <w:pPr>
              <w:spacing w:line="240" w:lineRule="auto"/>
              <w:rPr>
                <w:rFonts w:hint="eastAsia"/>
                <w:sz w:val="18"/>
                <w:szCs w:val="18"/>
                <w:lang w:val="en-US" w:eastAsia="zh-CN"/>
              </w:rPr>
            </w:pPr>
            <w:r>
              <w:rPr>
                <w:rFonts w:hint="eastAsia"/>
                <w:sz w:val="18"/>
                <w:szCs w:val="18"/>
                <w:lang w:val="en-US" w:eastAsia="zh-CN"/>
              </w:rPr>
              <w:t>None</w:t>
            </w:r>
          </w:p>
        </w:tc>
      </w:tr>
      <w:tr w14:paraId="3415517A">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7A78CCAC">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6A21649D">
            <w:pPr>
              <w:spacing w:line="240" w:lineRule="auto"/>
              <w:rPr>
                <w:rFonts w:hint="eastAsia"/>
                <w:sz w:val="18"/>
                <w:szCs w:val="18"/>
                <w:lang w:val="en-US" w:eastAsia="zh-CN"/>
              </w:rPr>
            </w:pPr>
            <w:r>
              <w:rPr>
                <w:rFonts w:hint="eastAsia"/>
                <w:sz w:val="18"/>
                <w:szCs w:val="18"/>
                <w:lang w:val="en-US" w:eastAsia="zh-CN"/>
              </w:rPr>
              <w:t>Garcia C, et al., 2020</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(30)</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3F68C3F">
            <w:pPr>
              <w:spacing w:line="240" w:lineRule="auto"/>
              <w:rPr>
                <w:rFonts w:hint="eastAsia"/>
                <w:sz w:val="18"/>
                <w:szCs w:val="18"/>
                <w:lang w:val="en-US" w:eastAsia="zh-CN"/>
              </w:rPr>
            </w:pPr>
            <w:r>
              <w:rPr>
                <w:rFonts w:hint="eastAsia"/>
                <w:sz w:val="18"/>
                <w:szCs w:val="18"/>
                <w:lang w:val="en-US" w:eastAsia="zh-CN"/>
              </w:rPr>
              <w:t>3B</w:t>
            </w:r>
          </w:p>
        </w:tc>
        <w:tc>
          <w:tcPr>
            <w:tcW w:w="1012" w:type="dxa"/>
            <w:tcBorders>
              <w:top w:val="single" w:color="000000" w:sz="8" w:space="0"/>
              <w:left w:val="nil"/>
              <w:bottom w:val="single" w:color="000000" w:sz="8" w:space="0"/>
              <w:right w:val="nil"/>
            </w:tcBorders>
            <w:shd w:val="clear" w:color="auto" w:fill="auto"/>
            <w:noWrap/>
            <w:vAlign w:val="center"/>
          </w:tcPr>
          <w:p w14:paraId="789116DC">
            <w:pPr>
              <w:spacing w:line="240" w:lineRule="auto"/>
              <w:rPr>
                <w:rFonts w:hint="eastAsia"/>
                <w:sz w:val="18"/>
                <w:szCs w:val="18"/>
                <w:lang w:val="en-US" w:eastAsia="zh-CN"/>
              </w:rPr>
            </w:pPr>
            <w:r>
              <w:rPr>
                <w:rFonts w:hint="eastAsia"/>
                <w:sz w:val="18"/>
                <w:szCs w:val="18"/>
                <w:lang w:val="en-US" w:eastAsia="zh-CN"/>
              </w:rPr>
              <w:t>z-score standardization</w:t>
            </w:r>
          </w:p>
        </w:tc>
        <w:tc>
          <w:tcPr>
            <w:tcW w:w="1421" w:type="dxa"/>
            <w:tcBorders>
              <w:top w:val="single" w:color="000000" w:sz="8" w:space="0"/>
              <w:left w:val="nil"/>
              <w:bottom w:val="single" w:color="000000" w:sz="8" w:space="0"/>
              <w:right w:val="nil"/>
            </w:tcBorders>
            <w:shd w:val="clear" w:color="auto" w:fill="auto"/>
            <w:noWrap/>
            <w:vAlign w:val="center"/>
          </w:tcPr>
          <w:p w14:paraId="74A213E9">
            <w:pPr>
              <w:spacing w:line="240" w:lineRule="auto"/>
              <w:rPr>
                <w:rFonts w:hint="eastAsia"/>
                <w:sz w:val="18"/>
                <w:szCs w:val="18"/>
                <w:lang w:val="en-US" w:eastAsia="zh-CN"/>
              </w:rPr>
            </w:pPr>
            <w:r>
              <w:rPr>
                <w:rFonts w:hint="eastAsia"/>
                <w:sz w:val="18"/>
                <w:szCs w:val="18"/>
                <w:lang w:val="en-US" w:eastAsia="zh-CN"/>
              </w:rPr>
              <w:t>Linear interpolation</w:t>
            </w:r>
          </w:p>
        </w:tc>
        <w:tc>
          <w:tcPr>
            <w:tcW w:w="1441" w:type="dxa"/>
            <w:tcBorders>
              <w:top w:val="single" w:color="000000" w:sz="8" w:space="0"/>
              <w:left w:val="nil"/>
              <w:bottom w:val="single" w:color="000000" w:sz="8" w:space="0"/>
              <w:right w:val="nil"/>
            </w:tcBorders>
            <w:shd w:val="clear" w:color="auto" w:fill="auto"/>
            <w:noWrap/>
            <w:vAlign w:val="center"/>
          </w:tcPr>
          <w:p w14:paraId="1B74DEC6">
            <w:pPr>
              <w:spacing w:line="240" w:lineRule="auto"/>
              <w:rPr>
                <w:rFonts w:hint="eastAsia"/>
                <w:sz w:val="18"/>
                <w:szCs w:val="18"/>
                <w:lang w:val="en-US" w:eastAsia="zh-CN"/>
              </w:rPr>
            </w:pPr>
            <w:r>
              <w:rPr>
                <w:rFonts w:hint="eastAsia"/>
                <w:sz w:val="18"/>
                <w:szCs w:val="18"/>
                <w:lang w:val="en-US" w:eastAsia="zh-CN"/>
              </w:rPr>
              <w:t>Based on RF feature importance</w:t>
            </w:r>
          </w:p>
        </w:tc>
        <w:tc>
          <w:tcPr>
            <w:tcW w:w="752" w:type="dxa"/>
            <w:tcBorders>
              <w:top w:val="single" w:color="000000" w:sz="8" w:space="0"/>
              <w:left w:val="nil"/>
              <w:bottom w:val="single" w:color="000000" w:sz="8" w:space="0"/>
              <w:right w:val="nil"/>
            </w:tcBorders>
            <w:shd w:val="clear" w:color="auto" w:fill="auto"/>
            <w:noWrap/>
            <w:vAlign w:val="center"/>
          </w:tcPr>
          <w:p w14:paraId="71678524">
            <w:pPr>
              <w:spacing w:line="240" w:lineRule="auto"/>
              <w:rPr>
                <w:rFonts w:hint="eastAsia"/>
                <w:sz w:val="18"/>
                <w:szCs w:val="18"/>
                <w:lang w:val="en-US" w:eastAsia="zh-CN"/>
              </w:rPr>
            </w:pPr>
            <w:r>
              <w:rPr>
                <w:rFonts w:hint="eastAsia"/>
                <w:sz w:val="18"/>
                <w:szCs w:val="18"/>
                <w:lang w:val="en-US" w:eastAsia="zh-CN"/>
              </w:rPr>
              <w:t>17</w:t>
            </w:r>
          </w:p>
        </w:tc>
        <w:tc>
          <w:tcPr>
            <w:tcW w:w="1614" w:type="dxa"/>
            <w:tcBorders>
              <w:top w:val="single" w:color="000000" w:sz="8" w:space="0"/>
              <w:left w:val="nil"/>
              <w:bottom w:val="single" w:color="000000" w:sz="8" w:space="0"/>
              <w:right w:val="nil"/>
            </w:tcBorders>
            <w:shd w:val="clear" w:color="auto" w:fill="auto"/>
            <w:noWrap/>
            <w:vAlign w:val="center"/>
          </w:tcPr>
          <w:p w14:paraId="3E830B86">
            <w:pPr>
              <w:spacing w:line="240" w:lineRule="auto"/>
              <w:rPr>
                <w:rFonts w:hint="eastAsia"/>
                <w:sz w:val="18"/>
                <w:szCs w:val="18"/>
                <w:lang w:val="en-US" w:eastAsia="zh-CN"/>
              </w:rPr>
            </w:pPr>
            <w:r>
              <w:rPr>
                <w:rFonts w:hint="eastAsia"/>
                <w:sz w:val="18"/>
                <w:szCs w:val="18"/>
                <w:lang w:val="en-US" w:eastAsia="zh-CN"/>
              </w:rPr>
              <w:t>BMI, SBP, DBP, HDL, LDL, TG, HOMA-IR, Insulin, UACR, CRP, AST, ALT, GGT, VitD, Ferritin, Cr, Cystatin C</w:t>
            </w:r>
          </w:p>
        </w:tc>
        <w:tc>
          <w:tcPr>
            <w:tcW w:w="1263" w:type="dxa"/>
            <w:tcBorders>
              <w:top w:val="single" w:color="000000" w:sz="8" w:space="0"/>
              <w:left w:val="nil"/>
              <w:bottom w:val="single" w:color="000000" w:sz="8" w:space="0"/>
              <w:right w:val="nil"/>
            </w:tcBorders>
            <w:shd w:val="clear" w:color="auto" w:fill="auto"/>
            <w:noWrap/>
            <w:vAlign w:val="center"/>
          </w:tcPr>
          <w:p w14:paraId="43A1756F">
            <w:pPr>
              <w:spacing w:line="240" w:lineRule="auto"/>
              <w:rPr>
                <w:rFonts w:hint="eastAsia"/>
                <w:sz w:val="18"/>
                <w:szCs w:val="18"/>
                <w:lang w:val="en-US" w:eastAsia="zh-CN"/>
              </w:rPr>
            </w:pPr>
            <w:r>
              <w:rPr>
                <w:rFonts w:hint="eastAsia"/>
                <w:sz w:val="18"/>
                <w:szCs w:val="18"/>
                <w:lang w:val="en-US" w:eastAsia="zh-CN"/>
              </w:rPr>
              <w:t>Machine Learning (Random Forest)</w:t>
            </w:r>
          </w:p>
        </w:tc>
        <w:tc>
          <w:tcPr>
            <w:tcW w:w="919" w:type="dxa"/>
            <w:tcBorders>
              <w:top w:val="single" w:color="000000" w:sz="8" w:space="0"/>
              <w:left w:val="nil"/>
              <w:bottom w:val="single" w:color="000000" w:sz="8" w:space="0"/>
              <w:right w:val="nil"/>
            </w:tcBorders>
            <w:shd w:val="clear" w:color="auto" w:fill="auto"/>
            <w:noWrap/>
            <w:vAlign w:val="center"/>
          </w:tcPr>
          <w:p w14:paraId="5717D609">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7B88AFC2">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0A71BE85">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38EAF75D">
            <w:pPr>
              <w:spacing w:line="240" w:lineRule="auto"/>
              <w:rPr>
                <w:rFonts w:hint="eastAsia"/>
                <w:sz w:val="18"/>
                <w:szCs w:val="18"/>
                <w:lang w:val="en-US" w:eastAsia="zh-CN"/>
              </w:rPr>
            </w:pPr>
            <w:r>
              <w:rPr>
                <w:rFonts w:hint="eastAsia"/>
                <w:sz w:val="18"/>
                <w:szCs w:val="18"/>
                <w:lang w:val="en-US" w:eastAsia="zh-CN"/>
              </w:rPr>
              <w:t>None</w:t>
            </w:r>
          </w:p>
        </w:tc>
      </w:tr>
      <w:tr w14:paraId="2F8C6883">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77C744D6">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515BD3C0">
            <w:pPr>
              <w:spacing w:line="240" w:lineRule="auto"/>
              <w:rPr>
                <w:rFonts w:hint="eastAsia"/>
                <w:sz w:val="18"/>
                <w:szCs w:val="18"/>
                <w:lang w:val="en-US" w:eastAsia="zh-CN"/>
              </w:rPr>
            </w:pPr>
            <w:r>
              <w:rPr>
                <w:rFonts w:hint="eastAsia"/>
                <w:sz w:val="18"/>
                <w:szCs w:val="18"/>
                <w:lang w:val="en-US" w:eastAsia="zh-CN"/>
              </w:rPr>
              <w:t>Garcia C, et al., 2020</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(30)</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957CD60">
            <w:pPr>
              <w:spacing w:line="240" w:lineRule="auto"/>
              <w:rPr>
                <w:rFonts w:hint="eastAsia"/>
                <w:sz w:val="18"/>
                <w:szCs w:val="18"/>
                <w:lang w:val="en-US" w:eastAsia="zh-CN"/>
              </w:rPr>
            </w:pPr>
            <w:r>
              <w:rPr>
                <w:rFonts w:hint="eastAsia"/>
                <w:sz w:val="18"/>
                <w:szCs w:val="18"/>
                <w:lang w:val="en-US" w:eastAsia="zh-CN"/>
              </w:rPr>
              <w:t>3C</w:t>
            </w:r>
          </w:p>
        </w:tc>
        <w:tc>
          <w:tcPr>
            <w:tcW w:w="1012" w:type="dxa"/>
            <w:tcBorders>
              <w:top w:val="single" w:color="000000" w:sz="8" w:space="0"/>
              <w:left w:val="nil"/>
              <w:bottom w:val="single" w:color="000000" w:sz="8" w:space="0"/>
              <w:right w:val="nil"/>
            </w:tcBorders>
            <w:shd w:val="clear" w:color="auto" w:fill="auto"/>
            <w:noWrap/>
            <w:vAlign w:val="center"/>
          </w:tcPr>
          <w:p w14:paraId="2A3EF76F">
            <w:pPr>
              <w:spacing w:line="240" w:lineRule="auto"/>
              <w:rPr>
                <w:rFonts w:hint="eastAsia"/>
                <w:sz w:val="18"/>
                <w:szCs w:val="18"/>
                <w:lang w:val="en-US" w:eastAsia="zh-CN"/>
              </w:rPr>
            </w:pPr>
            <w:r>
              <w:rPr>
                <w:rFonts w:hint="eastAsia"/>
                <w:sz w:val="18"/>
                <w:szCs w:val="18"/>
                <w:lang w:val="en-US" w:eastAsia="zh-CN"/>
              </w:rPr>
              <w:t>z-score standardization</w:t>
            </w:r>
          </w:p>
        </w:tc>
        <w:tc>
          <w:tcPr>
            <w:tcW w:w="1421" w:type="dxa"/>
            <w:tcBorders>
              <w:top w:val="single" w:color="000000" w:sz="8" w:space="0"/>
              <w:left w:val="nil"/>
              <w:bottom w:val="single" w:color="000000" w:sz="8" w:space="0"/>
              <w:right w:val="nil"/>
            </w:tcBorders>
            <w:shd w:val="clear" w:color="auto" w:fill="auto"/>
            <w:noWrap/>
            <w:vAlign w:val="center"/>
          </w:tcPr>
          <w:p w14:paraId="78CA3C58">
            <w:pPr>
              <w:spacing w:line="240" w:lineRule="auto"/>
              <w:rPr>
                <w:rFonts w:hint="eastAsia"/>
                <w:sz w:val="18"/>
                <w:szCs w:val="18"/>
                <w:lang w:val="en-US" w:eastAsia="zh-CN"/>
              </w:rPr>
            </w:pPr>
            <w:r>
              <w:rPr>
                <w:rFonts w:hint="eastAsia"/>
                <w:sz w:val="18"/>
                <w:szCs w:val="18"/>
                <w:lang w:val="en-US" w:eastAsia="zh-CN"/>
              </w:rPr>
              <w:t>Linear interpolation</w:t>
            </w:r>
          </w:p>
        </w:tc>
        <w:tc>
          <w:tcPr>
            <w:tcW w:w="1441" w:type="dxa"/>
            <w:tcBorders>
              <w:top w:val="single" w:color="000000" w:sz="8" w:space="0"/>
              <w:left w:val="nil"/>
              <w:bottom w:val="single" w:color="000000" w:sz="8" w:space="0"/>
              <w:right w:val="nil"/>
            </w:tcBorders>
            <w:shd w:val="clear" w:color="auto" w:fill="auto"/>
            <w:noWrap/>
            <w:vAlign w:val="center"/>
          </w:tcPr>
          <w:p w14:paraId="673507C4">
            <w:pPr>
              <w:spacing w:line="240" w:lineRule="auto"/>
              <w:rPr>
                <w:rFonts w:hint="eastAsia"/>
                <w:sz w:val="18"/>
                <w:szCs w:val="18"/>
                <w:lang w:val="en-US" w:eastAsia="zh-CN"/>
              </w:rPr>
            </w:pPr>
            <w:r>
              <w:rPr>
                <w:rFonts w:hint="eastAsia"/>
                <w:sz w:val="18"/>
                <w:szCs w:val="18"/>
                <w:lang w:val="en-US" w:eastAsia="zh-CN"/>
              </w:rPr>
              <w:t>Based on RF feature importance</w:t>
            </w:r>
          </w:p>
        </w:tc>
        <w:tc>
          <w:tcPr>
            <w:tcW w:w="752" w:type="dxa"/>
            <w:tcBorders>
              <w:top w:val="single" w:color="000000" w:sz="8" w:space="0"/>
              <w:left w:val="nil"/>
              <w:bottom w:val="single" w:color="000000" w:sz="8" w:space="0"/>
              <w:right w:val="nil"/>
            </w:tcBorders>
            <w:shd w:val="clear" w:color="auto" w:fill="auto"/>
            <w:noWrap/>
            <w:vAlign w:val="center"/>
          </w:tcPr>
          <w:p w14:paraId="57BB6513">
            <w:pPr>
              <w:spacing w:line="240" w:lineRule="auto"/>
              <w:rPr>
                <w:rFonts w:hint="eastAsia"/>
                <w:sz w:val="18"/>
                <w:szCs w:val="18"/>
                <w:lang w:val="en-US" w:eastAsia="zh-CN"/>
              </w:rPr>
            </w:pPr>
            <w:r>
              <w:rPr>
                <w:rFonts w:hint="eastAsia"/>
                <w:sz w:val="18"/>
                <w:szCs w:val="18"/>
                <w:lang w:val="en-US" w:eastAsia="zh-CN"/>
              </w:rPr>
              <w:t>3</w:t>
            </w:r>
          </w:p>
        </w:tc>
        <w:tc>
          <w:tcPr>
            <w:tcW w:w="1614" w:type="dxa"/>
            <w:tcBorders>
              <w:top w:val="single" w:color="000000" w:sz="8" w:space="0"/>
              <w:left w:val="nil"/>
              <w:bottom w:val="single" w:color="000000" w:sz="8" w:space="0"/>
              <w:right w:val="nil"/>
            </w:tcBorders>
            <w:shd w:val="clear" w:color="auto" w:fill="auto"/>
            <w:noWrap/>
            <w:vAlign w:val="center"/>
          </w:tcPr>
          <w:p w14:paraId="3B2BE295">
            <w:pPr>
              <w:spacing w:line="240" w:lineRule="auto"/>
              <w:rPr>
                <w:rFonts w:hint="eastAsia"/>
                <w:sz w:val="18"/>
                <w:szCs w:val="18"/>
                <w:lang w:val="en-US" w:eastAsia="zh-CN"/>
              </w:rPr>
            </w:pPr>
            <w:r>
              <w:rPr>
                <w:rFonts w:hint="eastAsia"/>
                <w:sz w:val="18"/>
                <w:szCs w:val="18"/>
                <w:lang w:val="en-US" w:eastAsia="zh-CN"/>
              </w:rPr>
              <w:t>BMI, HOMA-IR, Insulin</w:t>
            </w:r>
          </w:p>
        </w:tc>
        <w:tc>
          <w:tcPr>
            <w:tcW w:w="1263" w:type="dxa"/>
            <w:tcBorders>
              <w:top w:val="single" w:color="000000" w:sz="8" w:space="0"/>
              <w:left w:val="nil"/>
              <w:bottom w:val="single" w:color="000000" w:sz="8" w:space="0"/>
              <w:right w:val="nil"/>
            </w:tcBorders>
            <w:shd w:val="clear" w:color="auto" w:fill="auto"/>
            <w:noWrap/>
            <w:vAlign w:val="center"/>
          </w:tcPr>
          <w:p w14:paraId="256A85E4">
            <w:pPr>
              <w:spacing w:line="240" w:lineRule="auto"/>
              <w:rPr>
                <w:rFonts w:hint="eastAsia"/>
                <w:sz w:val="18"/>
                <w:szCs w:val="18"/>
                <w:lang w:val="en-US" w:eastAsia="zh-CN"/>
              </w:rPr>
            </w:pPr>
            <w:r>
              <w:rPr>
                <w:rFonts w:hint="eastAsia"/>
                <w:sz w:val="18"/>
                <w:szCs w:val="18"/>
                <w:lang w:val="en-US" w:eastAsia="zh-CN"/>
              </w:rPr>
              <w:t>Machine Learning (KNN)</w:t>
            </w:r>
          </w:p>
        </w:tc>
        <w:tc>
          <w:tcPr>
            <w:tcW w:w="919" w:type="dxa"/>
            <w:tcBorders>
              <w:top w:val="single" w:color="000000" w:sz="8" w:space="0"/>
              <w:left w:val="nil"/>
              <w:bottom w:val="single" w:color="000000" w:sz="8" w:space="0"/>
              <w:right w:val="nil"/>
            </w:tcBorders>
            <w:shd w:val="clear" w:color="auto" w:fill="auto"/>
            <w:noWrap/>
            <w:vAlign w:val="center"/>
          </w:tcPr>
          <w:p w14:paraId="46C6B0E4">
            <w:pPr>
              <w:spacing w:line="240" w:lineRule="auto"/>
              <w:rPr>
                <w:rFonts w:hint="eastAsia"/>
                <w:sz w:val="18"/>
                <w:szCs w:val="18"/>
                <w:lang w:val="en-US" w:eastAsia="zh-CN"/>
              </w:rPr>
            </w:pPr>
            <w:r>
              <w:rPr>
                <w:rFonts w:hint="eastAsia"/>
                <w:sz w:val="18"/>
                <w:szCs w:val="18"/>
                <w:lang w:val="en-US" w:eastAsia="zh-CN"/>
              </w:rPr>
              <w:t>None</w:t>
            </w:r>
          </w:p>
        </w:tc>
        <w:tc>
          <w:tcPr>
            <w:tcW w:w="957" w:type="dxa"/>
            <w:tcBorders>
              <w:top w:val="single" w:color="000000" w:sz="8" w:space="0"/>
              <w:left w:val="nil"/>
              <w:bottom w:val="single" w:color="000000" w:sz="8" w:space="0"/>
              <w:right w:val="nil"/>
            </w:tcBorders>
            <w:shd w:val="clear" w:color="auto" w:fill="auto"/>
            <w:noWrap/>
            <w:vAlign w:val="center"/>
          </w:tcPr>
          <w:p w14:paraId="3DA914E4">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7B531AE1">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3ABEB4EE">
            <w:pPr>
              <w:spacing w:line="240" w:lineRule="auto"/>
              <w:rPr>
                <w:rFonts w:hint="eastAsia"/>
                <w:sz w:val="18"/>
                <w:szCs w:val="18"/>
                <w:lang w:val="en-US" w:eastAsia="zh-CN"/>
              </w:rPr>
            </w:pPr>
            <w:r>
              <w:rPr>
                <w:rFonts w:hint="eastAsia"/>
                <w:sz w:val="18"/>
                <w:szCs w:val="18"/>
                <w:lang w:val="en-US" w:eastAsia="zh-CN"/>
              </w:rPr>
              <w:t>None</w:t>
            </w:r>
          </w:p>
        </w:tc>
      </w:tr>
      <w:tr w14:paraId="657AB63F">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13310775">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4EE9219C">
            <w:pPr>
              <w:spacing w:line="240" w:lineRule="auto"/>
              <w:rPr>
                <w:rFonts w:hint="eastAsia"/>
                <w:sz w:val="18"/>
                <w:szCs w:val="18"/>
                <w:lang w:val="en-US" w:eastAsia="zh-CN"/>
              </w:rPr>
            </w:pPr>
            <w:r>
              <w:rPr>
                <w:rFonts w:hint="eastAsia"/>
                <w:sz w:val="18"/>
                <w:szCs w:val="18"/>
                <w:lang w:val="en-US" w:eastAsia="zh-CN"/>
              </w:rPr>
              <w:t>Liu Q, et al., 2020</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&lt;EndNote&gt;&lt;Cite&gt;&lt;Author&gt;Liu&lt;/Author&gt;&lt;Year&gt;2020&lt;/Year&gt;&lt;RecNum&gt;558&lt;/RecNum&gt;&lt;DisplayText&gt;(31)&lt;/DisplayText&gt;&lt;record&gt;&lt;rec-number&gt;558&lt;/rec-number&gt;&lt;foreign-keys&gt;&lt;key app="EN" db-id="earspdaa1vazprerafqvx9tx5pvfaxf9awz0" timestamp="1775314802"&gt;558&lt;/key&gt;&lt;/foreign-keys&gt;&lt;ref-type name="期刊文献"&gt;17&lt;/ref-type&gt;&lt;contributors&gt;&lt;authors&gt;&lt;author&gt;Liu, Q.&lt;/author&gt;&lt;author&gt;Yuan, J.&lt;/author&gt;&lt;author&gt;Bakeyi, M.&lt;/author&gt;&lt;author&gt;Li, J.&lt;/author&gt;&lt;author&gt;Zhang, Z.&lt;/author&gt;&lt;author&gt;Yang, X.&lt;/author&gt;&lt;author&gt;Gao, F.&lt;/author&gt;&lt;/authors&gt;&lt;/contributors&gt;&lt;auth-address&gt;Department of Cardiology of People&amp;apos;s Hospital of Xinjiang Uygur Autonomous Region, Urumqi, Xinjiang, China.&amp;#xD;The First Affiliated Hospital of Xinjiang Medical University, Urumqi, Xinjiang Uygur Autonomous Region, China.&amp;#xD;Department of Respiratory and Intensive Care Medicine of People&amp;apos;s Hospital of Xinjiang Uygur Autonomous Region, Urumqi, Xinjiang, China.&lt;/auth-address&gt;&lt;titles&gt;&lt;title&gt;Development and Validation of a Nomogram to Predict Type 2 Diabetes Mellitus in Overweight and Obese Adults: A Prospective Cohort Study from 82938 Adults in China&lt;/title&gt;&lt;secondary-title&gt;Int J Endocrinol&lt;/secondary-title&gt;&lt;/titles&gt;&lt;periodical&gt;&lt;full-title&gt;Int J Endocrinol&lt;/full-title&gt;&lt;/periodical&gt;&lt;pages&gt;8899556&lt;/pages&gt;&lt;volume&gt;2020&lt;/volume&gt;&lt;edition&gt;20201207&lt;/edition&gt;&lt;dates&gt;&lt;year&gt;2020&lt;/year&gt;&lt;/dates&gt;&lt;isbn&gt;1687-8337 (Print)&amp;#xD;1687-8337&lt;/isbn&gt;&lt;accession-num&gt;33488707&lt;/accession-num&gt;&lt;urls&gt;&lt;/urls&gt;&lt;custom1&gt;The authors declare that they have no conflicts of interest.&lt;/custom1&gt;&lt;custom2&gt;PMC7775153&lt;/custom2&gt;&lt;electronic-resource-num&gt;10.1155/2020/8899556&lt;/electronic-resource-num&gt;&lt;remote-database-provider&gt;NLM&lt;/remote-database-provider&gt;&lt;language&gt;eng&lt;/language&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(31)</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6B545578">
            <w:pPr>
              <w:spacing w:line="240" w:lineRule="auto"/>
              <w:rPr>
                <w:rFonts w:hint="eastAsia"/>
                <w:sz w:val="18"/>
                <w:szCs w:val="18"/>
                <w:lang w:val="en-US" w:eastAsia="zh-CN"/>
              </w:rPr>
            </w:pPr>
            <w:r>
              <w:rPr>
                <w:rFonts w:hint="eastAsia"/>
                <w:sz w:val="18"/>
                <w:szCs w:val="18"/>
                <w:lang w:val="en-US" w:eastAsia="zh-CN"/>
              </w:rPr>
              <w:t>4A</w:t>
            </w:r>
          </w:p>
        </w:tc>
        <w:tc>
          <w:tcPr>
            <w:tcW w:w="1012" w:type="dxa"/>
            <w:tcBorders>
              <w:top w:val="single" w:color="000000" w:sz="8" w:space="0"/>
              <w:left w:val="nil"/>
              <w:bottom w:val="single" w:color="000000" w:sz="8" w:space="0"/>
              <w:right w:val="nil"/>
            </w:tcBorders>
            <w:shd w:val="clear" w:color="auto" w:fill="auto"/>
            <w:noWrap/>
            <w:vAlign w:val="center"/>
          </w:tcPr>
          <w:p w14:paraId="6DBAB15D">
            <w:pPr>
              <w:spacing w:line="240" w:lineRule="auto"/>
              <w:rPr>
                <w:rFonts w:hint="eastAsia"/>
                <w:sz w:val="18"/>
                <w:szCs w:val="18"/>
                <w:lang w:val="en-US" w:eastAsia="zh-CN"/>
              </w:rPr>
            </w:pPr>
            <w:r>
              <w:rPr>
                <w:rFonts w:hint="eastAsia"/>
                <w:sz w:val="18"/>
                <w:szCs w:val="18"/>
                <w:lang w:val="en-US" w:eastAsia="zh-CN"/>
              </w:rPr>
              <w:t>Partial categorization</w:t>
            </w:r>
          </w:p>
        </w:tc>
        <w:tc>
          <w:tcPr>
            <w:tcW w:w="1421" w:type="dxa"/>
            <w:tcBorders>
              <w:top w:val="single" w:color="000000" w:sz="8" w:space="0"/>
              <w:left w:val="nil"/>
              <w:bottom w:val="single" w:color="000000" w:sz="8" w:space="0"/>
              <w:right w:val="nil"/>
            </w:tcBorders>
            <w:shd w:val="clear" w:color="auto" w:fill="auto"/>
            <w:noWrap/>
            <w:vAlign w:val="center"/>
          </w:tcPr>
          <w:p w14:paraId="146250E6">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2E12676">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60E8697F">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3BD15445">
            <w:pPr>
              <w:spacing w:line="240" w:lineRule="auto"/>
              <w:rPr>
                <w:rFonts w:hint="eastAsia"/>
                <w:sz w:val="18"/>
                <w:szCs w:val="18"/>
                <w:lang w:val="en-US" w:eastAsia="zh-CN"/>
              </w:rPr>
            </w:pPr>
            <w:r>
              <w:rPr>
                <w:rFonts w:hint="eastAsia"/>
                <w:sz w:val="18"/>
                <w:szCs w:val="18"/>
                <w:lang w:val="en-US" w:eastAsia="zh-CN"/>
              </w:rPr>
              <w:t>Age, Family history of T2DM, BMI, FBG, TC, TG</w:t>
            </w:r>
          </w:p>
        </w:tc>
        <w:tc>
          <w:tcPr>
            <w:tcW w:w="1263" w:type="dxa"/>
            <w:tcBorders>
              <w:top w:val="single" w:color="000000" w:sz="8" w:space="0"/>
              <w:left w:val="nil"/>
              <w:bottom w:val="single" w:color="000000" w:sz="8" w:space="0"/>
              <w:right w:val="nil"/>
            </w:tcBorders>
            <w:shd w:val="clear" w:color="auto" w:fill="auto"/>
            <w:noWrap/>
            <w:vAlign w:val="center"/>
          </w:tcPr>
          <w:p w14:paraId="7EE7F597">
            <w:pPr>
              <w:spacing w:line="240" w:lineRule="auto"/>
              <w:rPr>
                <w:rFonts w:hint="eastAsia"/>
                <w:sz w:val="18"/>
                <w:szCs w:val="18"/>
                <w:lang w:val="en-US" w:eastAsia="zh-CN"/>
              </w:rPr>
            </w:pPr>
            <w:r>
              <w:rPr>
                <w:rFonts w:hint="eastAsia"/>
                <w:sz w:val="18"/>
                <w:szCs w:val="18"/>
                <w:lang w:val="en-US" w:eastAsia="zh-CN"/>
              </w:rPr>
              <w:t>Cox proportional hazards model</w:t>
            </w:r>
          </w:p>
        </w:tc>
        <w:tc>
          <w:tcPr>
            <w:tcW w:w="919" w:type="dxa"/>
            <w:tcBorders>
              <w:top w:val="single" w:color="000000" w:sz="8" w:space="0"/>
              <w:left w:val="nil"/>
              <w:bottom w:val="single" w:color="000000" w:sz="8" w:space="0"/>
              <w:right w:val="nil"/>
            </w:tcBorders>
            <w:shd w:val="clear" w:color="auto" w:fill="auto"/>
            <w:noWrap/>
            <w:vAlign w:val="center"/>
          </w:tcPr>
          <w:p w14:paraId="3988F1E4">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14294886">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7866D6D3">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69B5CEB2">
            <w:pPr>
              <w:spacing w:line="240" w:lineRule="auto"/>
              <w:rPr>
                <w:rFonts w:hint="eastAsia"/>
                <w:sz w:val="18"/>
                <w:szCs w:val="18"/>
                <w:lang w:val="en-US" w:eastAsia="zh-CN"/>
              </w:rPr>
            </w:pPr>
            <w:r>
              <w:rPr>
                <w:rFonts w:hint="eastAsia"/>
                <w:sz w:val="18"/>
                <w:szCs w:val="18"/>
                <w:lang w:val="en-US" w:eastAsia="zh-CN"/>
              </w:rPr>
              <w:t>None</w:t>
            </w:r>
          </w:p>
        </w:tc>
      </w:tr>
      <w:tr w14:paraId="75E4976D">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85E42BF">
            <w:pPr>
              <w:spacing w:line="240" w:lineRule="auto"/>
              <w:rPr>
                <w:rFonts w:hint="eastAsia"/>
                <w:sz w:val="18"/>
                <w:szCs w:val="18"/>
                <w:lang w:val="en-US" w:eastAsia="zh-CN"/>
              </w:rPr>
            </w:pPr>
            <w:r>
              <w:rPr>
                <w:rFonts w:hint="eastAsia"/>
                <w:sz w:val="18"/>
                <w:szCs w:val="18"/>
                <w:lang w:val="en-US" w:eastAsia="zh-CN"/>
              </w:rPr>
              <w:t>New-onset T2DM</w:t>
            </w:r>
          </w:p>
        </w:tc>
        <w:tc>
          <w:tcPr>
            <w:tcW w:w="840" w:type="dxa"/>
            <w:tcBorders>
              <w:top w:val="single" w:color="000000" w:sz="8" w:space="0"/>
              <w:left w:val="nil"/>
              <w:bottom w:val="single" w:color="000000" w:sz="8" w:space="0"/>
              <w:right w:val="nil"/>
            </w:tcBorders>
            <w:shd w:val="clear" w:color="auto" w:fill="auto"/>
            <w:noWrap/>
            <w:vAlign w:val="center"/>
          </w:tcPr>
          <w:p w14:paraId="6600A52F">
            <w:pPr>
              <w:spacing w:line="240" w:lineRule="auto"/>
              <w:rPr>
                <w:rFonts w:hint="eastAsia"/>
                <w:sz w:val="18"/>
                <w:szCs w:val="18"/>
                <w:lang w:val="en-US" w:eastAsia="zh-CN"/>
              </w:rPr>
            </w:pPr>
            <w:r>
              <w:rPr>
                <w:rFonts w:hint="eastAsia"/>
                <w:sz w:val="18"/>
                <w:szCs w:val="18"/>
                <w:lang w:val="en-US" w:eastAsia="zh-CN"/>
              </w:rPr>
              <w:t>Liu Q, et al., 2020</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&lt;EndNote&gt;&lt;Cite&gt;&lt;Author&gt;Liu&lt;/Author&gt;&lt;Year&gt;2020&lt;/Year&gt;&lt;RecNum&gt;558&lt;/RecNum&gt;&lt;DisplayText&gt;(31)&lt;/DisplayText&gt;&lt;record&gt;&lt;rec-number&gt;558&lt;/rec-number&gt;&lt;foreign-keys&gt;&lt;key app="EN" db-id="earspdaa1vazprerafqvx9tx5pvfaxf9awz0" timestamp="1775314802"&gt;558&lt;/key&gt;&lt;/foreign-keys&gt;&lt;ref-type name="期刊文献"&gt;17&lt;/ref-type&gt;&lt;contributors&gt;&lt;authors&gt;&lt;author&gt;Liu, Q.&lt;/author&gt;&lt;author&gt;Yuan, J.&lt;/author&gt;&lt;author&gt;Bakeyi, M.&lt;/author&gt;&lt;author&gt;Li, J.&lt;/author&gt;&lt;author&gt;Zhang, Z.&lt;/author&gt;&lt;author&gt;Yang, X.&lt;/author&gt;&lt;author&gt;Gao, F.&lt;/author&gt;&lt;/authors&gt;&lt;/contributors&gt;&lt;auth-address&gt;Department of Cardiology of People&amp;apos;s Hospital of Xinjiang Uygur Autonomous Region, Urumqi, Xinjiang, China.&amp;#xD;The First Affiliated Hospital of Xinjiang Medical University, Urumqi, Xinjiang Uygur Autonomous Region, China.&amp;#xD;Department of Respiratory and Intensive Care Medicine of People&amp;apos;s Hospital of Xinjiang Uygur Autonomous Region, Urumqi, Xinjiang, China.&lt;/auth-address&gt;&lt;titles&gt;&lt;title&gt;Development and Validation of a Nomogram to Predict Type 2 Diabetes Mellitus in Overweight and Obese Adults: A Prospective Cohort Study from 82938 Adults in China&lt;/title&gt;&lt;secondary-title&gt;Int J Endocrinol&lt;/secondary-title&gt;&lt;/titles&gt;&lt;periodical&gt;&lt;full-title&gt;Int J Endocrinol&lt;/full-title&gt;&lt;/periodical&gt;&lt;pages&gt;8899556&lt;/pages&gt;&lt;volume&gt;2020&lt;/volume&gt;&lt;edition&gt;20201207&lt;/edition&gt;&lt;dates&gt;&lt;year&gt;2020&lt;/year&gt;&lt;/dates&gt;&lt;isbn&gt;1687-8337 (Print)&amp;#xD;1687-8337&lt;/isbn&gt;&lt;accession-num&gt;33488707&lt;/accession-num&gt;&lt;urls&gt;&lt;/urls&gt;&lt;custom1&gt;The authors declare that they have no conflicts of interest.&lt;/custom1&gt;&lt;custom2&gt;PMC7775153&lt;/custom2&gt;&lt;electronic-resource-num&gt;10.1155/2020/8899556&lt;/electronic-resource-num&gt;&lt;remote-database-provider&gt;NLM&lt;/remote-database-provider&gt;&lt;language&gt;eng&lt;/language&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(31)</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15EF49F">
            <w:pPr>
              <w:spacing w:line="240" w:lineRule="auto"/>
              <w:rPr>
                <w:rFonts w:hint="eastAsia"/>
                <w:sz w:val="18"/>
                <w:szCs w:val="18"/>
                <w:lang w:val="en-US" w:eastAsia="zh-CN"/>
              </w:rPr>
            </w:pPr>
            <w:r>
              <w:rPr>
                <w:rFonts w:hint="eastAsia"/>
                <w:sz w:val="18"/>
                <w:szCs w:val="18"/>
                <w:lang w:val="en-US" w:eastAsia="zh-CN"/>
              </w:rPr>
              <w:t>4B</w:t>
            </w:r>
          </w:p>
        </w:tc>
        <w:tc>
          <w:tcPr>
            <w:tcW w:w="1012" w:type="dxa"/>
            <w:tcBorders>
              <w:top w:val="single" w:color="000000" w:sz="8" w:space="0"/>
              <w:left w:val="nil"/>
              <w:bottom w:val="single" w:color="000000" w:sz="8" w:space="0"/>
              <w:right w:val="nil"/>
            </w:tcBorders>
            <w:shd w:val="clear" w:color="auto" w:fill="auto"/>
            <w:noWrap/>
            <w:vAlign w:val="center"/>
          </w:tcPr>
          <w:p w14:paraId="425E588F">
            <w:pPr>
              <w:spacing w:line="240" w:lineRule="auto"/>
              <w:rPr>
                <w:rFonts w:hint="eastAsia"/>
                <w:sz w:val="18"/>
                <w:szCs w:val="18"/>
                <w:lang w:val="en-US" w:eastAsia="zh-CN"/>
              </w:rPr>
            </w:pPr>
            <w:r>
              <w:rPr>
                <w:rFonts w:hint="eastAsia"/>
                <w:sz w:val="18"/>
                <w:szCs w:val="18"/>
                <w:lang w:val="en-US" w:eastAsia="zh-CN"/>
              </w:rPr>
              <w:t>Partial categorization</w:t>
            </w:r>
          </w:p>
        </w:tc>
        <w:tc>
          <w:tcPr>
            <w:tcW w:w="1421" w:type="dxa"/>
            <w:tcBorders>
              <w:top w:val="single" w:color="000000" w:sz="8" w:space="0"/>
              <w:left w:val="nil"/>
              <w:bottom w:val="single" w:color="000000" w:sz="8" w:space="0"/>
              <w:right w:val="nil"/>
            </w:tcBorders>
            <w:shd w:val="clear" w:color="auto" w:fill="auto"/>
            <w:noWrap/>
            <w:vAlign w:val="center"/>
          </w:tcPr>
          <w:p w14:paraId="7761DBF1">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121472E9">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780B4B1C">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05EE7131">
            <w:pPr>
              <w:spacing w:line="240" w:lineRule="auto"/>
              <w:rPr>
                <w:rFonts w:hint="eastAsia"/>
                <w:sz w:val="18"/>
                <w:szCs w:val="18"/>
                <w:lang w:val="en-US" w:eastAsia="zh-CN"/>
              </w:rPr>
            </w:pPr>
            <w:r>
              <w:rPr>
                <w:rFonts w:hint="eastAsia"/>
                <w:sz w:val="18"/>
                <w:szCs w:val="18"/>
                <w:lang w:val="en-US" w:eastAsia="zh-CN"/>
              </w:rPr>
              <w:t>Age, Family history of T2DM, BMI, FBG, TC, TG</w:t>
            </w:r>
          </w:p>
        </w:tc>
        <w:tc>
          <w:tcPr>
            <w:tcW w:w="1263" w:type="dxa"/>
            <w:tcBorders>
              <w:top w:val="single" w:color="000000" w:sz="8" w:space="0"/>
              <w:left w:val="nil"/>
              <w:bottom w:val="single" w:color="000000" w:sz="8" w:space="0"/>
              <w:right w:val="nil"/>
            </w:tcBorders>
            <w:shd w:val="clear" w:color="auto" w:fill="auto"/>
            <w:noWrap/>
            <w:vAlign w:val="center"/>
          </w:tcPr>
          <w:p w14:paraId="657D68C4">
            <w:pPr>
              <w:spacing w:line="240" w:lineRule="auto"/>
              <w:rPr>
                <w:rFonts w:hint="eastAsia"/>
                <w:sz w:val="18"/>
                <w:szCs w:val="18"/>
                <w:lang w:val="en-US" w:eastAsia="zh-CN"/>
              </w:rPr>
            </w:pPr>
            <w:r>
              <w:rPr>
                <w:rFonts w:hint="eastAsia"/>
                <w:sz w:val="18"/>
                <w:szCs w:val="18"/>
                <w:lang w:val="en-US" w:eastAsia="zh-CN"/>
              </w:rPr>
              <w:t>Cox proportional hazards model</w:t>
            </w:r>
          </w:p>
        </w:tc>
        <w:tc>
          <w:tcPr>
            <w:tcW w:w="919" w:type="dxa"/>
            <w:tcBorders>
              <w:top w:val="single" w:color="000000" w:sz="8" w:space="0"/>
              <w:left w:val="nil"/>
              <w:bottom w:val="single" w:color="000000" w:sz="8" w:space="0"/>
              <w:right w:val="nil"/>
            </w:tcBorders>
            <w:shd w:val="clear" w:color="auto" w:fill="auto"/>
            <w:noWrap/>
            <w:vAlign w:val="center"/>
          </w:tcPr>
          <w:p w14:paraId="1D3492C8">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406F5459">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67290DF0">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440D15F6">
            <w:pPr>
              <w:spacing w:line="240" w:lineRule="auto"/>
              <w:rPr>
                <w:rFonts w:hint="eastAsia"/>
                <w:sz w:val="18"/>
                <w:szCs w:val="18"/>
                <w:lang w:val="en-US" w:eastAsia="zh-CN"/>
              </w:rPr>
            </w:pPr>
            <w:r>
              <w:rPr>
                <w:rFonts w:hint="eastAsia"/>
                <w:sz w:val="18"/>
                <w:szCs w:val="18"/>
                <w:lang w:val="en-US" w:eastAsia="zh-CN"/>
              </w:rPr>
              <w:t>None</w:t>
            </w:r>
          </w:p>
        </w:tc>
      </w:tr>
      <w:tr w14:paraId="36BDBAD3">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CAD031D">
            <w:pPr>
              <w:spacing w:line="240" w:lineRule="auto"/>
              <w:rPr>
                <w:rFonts w:hint="eastAsia"/>
                <w:sz w:val="18"/>
                <w:szCs w:val="18"/>
                <w:lang w:val="en-US" w:eastAsia="zh-CN"/>
              </w:rPr>
            </w:pPr>
            <w:r>
              <w:rPr>
                <w:rFonts w:hint="eastAsia"/>
                <w:sz w:val="18"/>
                <w:szCs w:val="18"/>
                <w:lang w:val="en-US" w:eastAsia="zh-CN"/>
              </w:rPr>
              <w:t>SLD (confirmed by ultrasound)</w:t>
            </w:r>
          </w:p>
        </w:tc>
        <w:tc>
          <w:tcPr>
            <w:tcW w:w="840" w:type="dxa"/>
            <w:tcBorders>
              <w:top w:val="single" w:color="000000" w:sz="8" w:space="0"/>
              <w:left w:val="nil"/>
              <w:bottom w:val="single" w:color="000000" w:sz="8" w:space="0"/>
              <w:right w:val="nil"/>
            </w:tcBorders>
            <w:shd w:val="clear" w:color="auto" w:fill="auto"/>
            <w:noWrap/>
            <w:vAlign w:val="center"/>
          </w:tcPr>
          <w:p w14:paraId="77A28C36">
            <w:pPr>
              <w:spacing w:line="240" w:lineRule="auto"/>
              <w:rPr>
                <w:rFonts w:hint="eastAsia"/>
                <w:sz w:val="18"/>
                <w:szCs w:val="18"/>
                <w:lang w:val="en-US" w:eastAsia="zh-CN"/>
              </w:rPr>
            </w:pPr>
            <w:r>
              <w:rPr>
                <w:rFonts w:hint="eastAsia"/>
                <w:sz w:val="18"/>
                <w:szCs w:val="18"/>
                <w:lang w:val="en-US" w:eastAsia="zh-CN"/>
              </w:rPr>
              <w:t>Park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78D82AA">
            <w:pPr>
              <w:spacing w:line="240" w:lineRule="auto"/>
              <w:rPr>
                <w:rFonts w:hint="eastAsia"/>
                <w:sz w:val="18"/>
                <w:szCs w:val="18"/>
                <w:lang w:val="en-US" w:eastAsia="zh-CN"/>
              </w:rPr>
            </w:pPr>
            <w:r>
              <w:rPr>
                <w:rFonts w:hint="eastAsia"/>
                <w:sz w:val="18"/>
                <w:szCs w:val="18"/>
                <w:lang w:val="en-US" w:eastAsia="zh-CN"/>
              </w:rPr>
              <w:t>5A</w:t>
            </w:r>
          </w:p>
        </w:tc>
        <w:tc>
          <w:tcPr>
            <w:tcW w:w="1012" w:type="dxa"/>
            <w:tcBorders>
              <w:top w:val="single" w:color="000000" w:sz="8" w:space="0"/>
              <w:left w:val="nil"/>
              <w:bottom w:val="single" w:color="000000" w:sz="8" w:space="0"/>
              <w:right w:val="nil"/>
            </w:tcBorders>
            <w:shd w:val="clear" w:color="auto" w:fill="auto"/>
            <w:noWrap/>
            <w:vAlign w:val="center"/>
          </w:tcPr>
          <w:p w14:paraId="0ACDD13C">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A46DA07">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9DB0D63">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400B2B37">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3D2AA343">
            <w:pPr>
              <w:spacing w:line="240" w:lineRule="auto"/>
              <w:rPr>
                <w:rFonts w:hint="eastAsia"/>
                <w:sz w:val="18"/>
                <w:szCs w:val="18"/>
                <w:lang w:val="en-US" w:eastAsia="zh-CN"/>
              </w:rPr>
            </w:pPr>
            <w:r>
              <w:rPr>
                <w:rFonts w:hint="eastAsia"/>
                <w:sz w:val="18"/>
                <w:szCs w:val="18"/>
                <w:lang w:val="en-US" w:eastAsia="zh-CN"/>
              </w:rPr>
              <w:t>Age, Sex, BMI, Diabetes history, Dyslipidemia history</w:t>
            </w:r>
          </w:p>
        </w:tc>
        <w:tc>
          <w:tcPr>
            <w:tcW w:w="1263" w:type="dxa"/>
            <w:tcBorders>
              <w:top w:val="single" w:color="000000" w:sz="8" w:space="0"/>
              <w:left w:val="nil"/>
              <w:bottom w:val="single" w:color="000000" w:sz="8" w:space="0"/>
              <w:right w:val="nil"/>
            </w:tcBorders>
            <w:shd w:val="clear" w:color="auto" w:fill="auto"/>
            <w:noWrap/>
            <w:vAlign w:val="center"/>
          </w:tcPr>
          <w:p w14:paraId="70F3F07C">
            <w:pPr>
              <w:spacing w:line="240" w:lineRule="auto"/>
              <w:rPr>
                <w:rFonts w:hint="eastAsia"/>
                <w:sz w:val="18"/>
                <w:szCs w:val="18"/>
                <w:lang w:val="en-US" w:eastAsia="zh-CN"/>
              </w:rPr>
            </w:pPr>
            <w:r>
              <w:rPr>
                <w:rFonts w:hint="eastAsia"/>
                <w:sz w:val="18"/>
                <w:szCs w:val="18"/>
                <w:lang w:val="en-US" w:eastAsia="zh-CN"/>
              </w:rPr>
              <w:t>Logistic regression (optimized by Random Forest)</w:t>
            </w:r>
          </w:p>
        </w:tc>
        <w:tc>
          <w:tcPr>
            <w:tcW w:w="919" w:type="dxa"/>
            <w:tcBorders>
              <w:top w:val="single" w:color="000000" w:sz="8" w:space="0"/>
              <w:left w:val="nil"/>
              <w:bottom w:val="single" w:color="000000" w:sz="8" w:space="0"/>
              <w:right w:val="nil"/>
            </w:tcBorders>
            <w:shd w:val="clear" w:color="auto" w:fill="auto"/>
            <w:noWrap/>
            <w:vAlign w:val="center"/>
          </w:tcPr>
          <w:p w14:paraId="7FFA3E66">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51165B02">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2D9A14CA">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2F9FC8E3">
            <w:pPr>
              <w:spacing w:line="240" w:lineRule="auto"/>
              <w:rPr>
                <w:rFonts w:hint="eastAsia"/>
                <w:sz w:val="18"/>
                <w:szCs w:val="18"/>
                <w:lang w:val="en-US" w:eastAsia="zh-CN"/>
              </w:rPr>
            </w:pPr>
            <w:r>
              <w:rPr>
                <w:rFonts w:hint="eastAsia"/>
                <w:sz w:val="18"/>
                <w:szCs w:val="18"/>
                <w:lang w:val="en-US" w:eastAsia="zh-CN"/>
              </w:rPr>
              <w:t>None</w:t>
            </w:r>
          </w:p>
        </w:tc>
      </w:tr>
      <w:tr w14:paraId="4237E05B">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70C13505">
            <w:pPr>
              <w:spacing w:line="240" w:lineRule="auto"/>
              <w:rPr>
                <w:rFonts w:hint="eastAsia"/>
                <w:sz w:val="18"/>
                <w:szCs w:val="18"/>
                <w:lang w:val="en-US" w:eastAsia="zh-CN"/>
              </w:rPr>
            </w:pPr>
            <w:r>
              <w:rPr>
                <w:rFonts w:hint="eastAsia"/>
                <w:sz w:val="18"/>
                <w:szCs w:val="18"/>
                <w:lang w:val="en-US" w:eastAsia="zh-CN"/>
              </w:rPr>
              <w:t>SLD (confirmed by ultrasound)</w:t>
            </w:r>
          </w:p>
        </w:tc>
        <w:tc>
          <w:tcPr>
            <w:tcW w:w="840" w:type="dxa"/>
            <w:tcBorders>
              <w:top w:val="single" w:color="000000" w:sz="8" w:space="0"/>
              <w:left w:val="nil"/>
              <w:bottom w:val="single" w:color="000000" w:sz="8" w:space="0"/>
              <w:right w:val="nil"/>
            </w:tcBorders>
            <w:shd w:val="clear" w:color="auto" w:fill="auto"/>
            <w:noWrap/>
            <w:vAlign w:val="center"/>
          </w:tcPr>
          <w:p w14:paraId="64A91622">
            <w:pPr>
              <w:spacing w:line="240" w:lineRule="auto"/>
              <w:rPr>
                <w:rFonts w:hint="eastAsia"/>
                <w:sz w:val="18"/>
                <w:szCs w:val="18"/>
                <w:lang w:val="en-US" w:eastAsia="zh-CN"/>
              </w:rPr>
            </w:pPr>
            <w:r>
              <w:rPr>
                <w:rFonts w:hint="eastAsia"/>
                <w:sz w:val="18"/>
                <w:szCs w:val="18"/>
                <w:lang w:val="en-US" w:eastAsia="zh-CN"/>
              </w:rPr>
              <w:t>Park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8137B25">
            <w:pPr>
              <w:spacing w:line="240" w:lineRule="auto"/>
              <w:rPr>
                <w:rFonts w:hint="eastAsia"/>
                <w:sz w:val="18"/>
                <w:szCs w:val="18"/>
                <w:lang w:val="en-US" w:eastAsia="zh-CN"/>
              </w:rPr>
            </w:pPr>
            <w:r>
              <w:rPr>
                <w:rFonts w:hint="eastAsia"/>
                <w:sz w:val="18"/>
                <w:szCs w:val="18"/>
                <w:lang w:val="en-US" w:eastAsia="zh-CN"/>
              </w:rPr>
              <w:t>5B</w:t>
            </w:r>
          </w:p>
        </w:tc>
        <w:tc>
          <w:tcPr>
            <w:tcW w:w="1012" w:type="dxa"/>
            <w:tcBorders>
              <w:top w:val="single" w:color="000000" w:sz="8" w:space="0"/>
              <w:left w:val="nil"/>
              <w:bottom w:val="single" w:color="000000" w:sz="8" w:space="0"/>
              <w:right w:val="nil"/>
            </w:tcBorders>
            <w:shd w:val="clear" w:color="auto" w:fill="auto"/>
            <w:noWrap/>
            <w:vAlign w:val="center"/>
          </w:tcPr>
          <w:p w14:paraId="04525E3B">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13123344">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4046BCB">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5C20B784">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2A7B2FB6">
            <w:pPr>
              <w:spacing w:line="240" w:lineRule="auto"/>
              <w:rPr>
                <w:rFonts w:hint="eastAsia"/>
                <w:sz w:val="18"/>
                <w:szCs w:val="18"/>
                <w:lang w:val="en-US" w:eastAsia="zh-CN"/>
              </w:rPr>
            </w:pPr>
            <w:r>
              <w:rPr>
                <w:rFonts w:hint="eastAsia"/>
                <w:sz w:val="18"/>
                <w:szCs w:val="18"/>
                <w:lang w:val="en-US" w:eastAsia="zh-CN"/>
              </w:rPr>
              <w:t>Sex, BMI, Body fat mass / Muscle mass, Diabetes history, Dyslipidemia history</w:t>
            </w:r>
          </w:p>
        </w:tc>
        <w:tc>
          <w:tcPr>
            <w:tcW w:w="1263" w:type="dxa"/>
            <w:tcBorders>
              <w:top w:val="single" w:color="000000" w:sz="8" w:space="0"/>
              <w:left w:val="nil"/>
              <w:bottom w:val="single" w:color="000000" w:sz="8" w:space="0"/>
              <w:right w:val="nil"/>
            </w:tcBorders>
            <w:shd w:val="clear" w:color="auto" w:fill="auto"/>
            <w:noWrap/>
            <w:vAlign w:val="center"/>
          </w:tcPr>
          <w:p w14:paraId="7CA4F17D">
            <w:pPr>
              <w:spacing w:line="240" w:lineRule="auto"/>
              <w:rPr>
                <w:rFonts w:hint="eastAsia"/>
                <w:sz w:val="18"/>
                <w:szCs w:val="18"/>
                <w:lang w:val="en-US" w:eastAsia="zh-CN"/>
              </w:rPr>
            </w:pPr>
            <w:r>
              <w:rPr>
                <w:rFonts w:hint="eastAsia"/>
                <w:sz w:val="18"/>
                <w:szCs w:val="18"/>
                <w:lang w:val="en-US" w:eastAsia="zh-CN"/>
              </w:rPr>
              <w:t>Logistic regression (optimized by Random Forest)</w:t>
            </w:r>
          </w:p>
        </w:tc>
        <w:tc>
          <w:tcPr>
            <w:tcW w:w="919" w:type="dxa"/>
            <w:tcBorders>
              <w:top w:val="single" w:color="000000" w:sz="8" w:space="0"/>
              <w:left w:val="nil"/>
              <w:bottom w:val="single" w:color="000000" w:sz="8" w:space="0"/>
              <w:right w:val="nil"/>
            </w:tcBorders>
            <w:shd w:val="clear" w:color="auto" w:fill="auto"/>
            <w:noWrap/>
            <w:vAlign w:val="center"/>
          </w:tcPr>
          <w:p w14:paraId="17D5EA59">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0C850A1E">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386D11DE">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4BF54419">
            <w:pPr>
              <w:spacing w:line="240" w:lineRule="auto"/>
              <w:rPr>
                <w:rFonts w:hint="eastAsia"/>
                <w:sz w:val="18"/>
                <w:szCs w:val="18"/>
                <w:lang w:val="en-US" w:eastAsia="zh-CN"/>
              </w:rPr>
            </w:pPr>
            <w:r>
              <w:rPr>
                <w:rFonts w:hint="eastAsia"/>
                <w:sz w:val="18"/>
                <w:szCs w:val="18"/>
                <w:lang w:val="en-US" w:eastAsia="zh-CN"/>
              </w:rPr>
              <w:t>None</w:t>
            </w:r>
          </w:p>
        </w:tc>
      </w:tr>
      <w:tr w14:paraId="63514C6D">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155B5CB">
            <w:pPr>
              <w:spacing w:line="240" w:lineRule="auto"/>
              <w:rPr>
                <w:rFonts w:hint="eastAsia"/>
                <w:sz w:val="18"/>
                <w:szCs w:val="18"/>
                <w:lang w:val="en-US" w:eastAsia="zh-CN"/>
              </w:rPr>
            </w:pPr>
            <w:r>
              <w:rPr>
                <w:rFonts w:hint="eastAsia"/>
                <w:sz w:val="18"/>
                <w:szCs w:val="18"/>
                <w:lang w:val="en-US" w:eastAsia="zh-CN"/>
              </w:rPr>
              <w:t>SLD (confirmed by ultrasound)</w:t>
            </w:r>
          </w:p>
        </w:tc>
        <w:tc>
          <w:tcPr>
            <w:tcW w:w="840" w:type="dxa"/>
            <w:tcBorders>
              <w:top w:val="single" w:color="000000" w:sz="8" w:space="0"/>
              <w:left w:val="nil"/>
              <w:bottom w:val="single" w:color="000000" w:sz="8" w:space="0"/>
              <w:right w:val="nil"/>
            </w:tcBorders>
            <w:shd w:val="clear" w:color="auto" w:fill="auto"/>
            <w:noWrap/>
            <w:vAlign w:val="center"/>
          </w:tcPr>
          <w:p w14:paraId="597E5094">
            <w:pPr>
              <w:spacing w:line="240" w:lineRule="auto"/>
              <w:rPr>
                <w:rFonts w:hint="eastAsia"/>
                <w:sz w:val="18"/>
                <w:szCs w:val="18"/>
                <w:lang w:val="en-US" w:eastAsia="zh-CN"/>
              </w:rPr>
            </w:pPr>
            <w:r>
              <w:rPr>
                <w:rFonts w:hint="eastAsia"/>
                <w:sz w:val="18"/>
                <w:szCs w:val="18"/>
                <w:lang w:val="en-US" w:eastAsia="zh-CN"/>
              </w:rPr>
              <w:t>Park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70A116A3">
            <w:pPr>
              <w:spacing w:line="240" w:lineRule="auto"/>
              <w:rPr>
                <w:rFonts w:hint="eastAsia"/>
                <w:sz w:val="18"/>
                <w:szCs w:val="18"/>
                <w:lang w:val="en-US" w:eastAsia="zh-CN"/>
              </w:rPr>
            </w:pPr>
            <w:r>
              <w:rPr>
                <w:rFonts w:hint="eastAsia"/>
                <w:sz w:val="18"/>
                <w:szCs w:val="18"/>
                <w:lang w:val="en-US" w:eastAsia="zh-CN"/>
              </w:rPr>
              <w:t>5C</w:t>
            </w:r>
          </w:p>
        </w:tc>
        <w:tc>
          <w:tcPr>
            <w:tcW w:w="1012" w:type="dxa"/>
            <w:tcBorders>
              <w:top w:val="single" w:color="000000" w:sz="8" w:space="0"/>
              <w:left w:val="nil"/>
              <w:bottom w:val="single" w:color="000000" w:sz="8" w:space="0"/>
              <w:right w:val="nil"/>
            </w:tcBorders>
            <w:shd w:val="clear" w:color="auto" w:fill="auto"/>
            <w:noWrap/>
            <w:vAlign w:val="center"/>
          </w:tcPr>
          <w:p w14:paraId="025252E3">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BC03BDC">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72CBA4A1">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0F27A1B4">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4F8B00AF">
            <w:pPr>
              <w:spacing w:line="240" w:lineRule="auto"/>
              <w:rPr>
                <w:rFonts w:hint="eastAsia"/>
                <w:sz w:val="18"/>
                <w:szCs w:val="18"/>
                <w:lang w:val="en-US" w:eastAsia="zh-CN"/>
              </w:rPr>
            </w:pPr>
            <w:r>
              <w:rPr>
                <w:rFonts w:hint="eastAsia"/>
                <w:sz w:val="18"/>
                <w:szCs w:val="18"/>
                <w:lang w:val="en-US" w:eastAsia="zh-CN"/>
              </w:rPr>
              <w:t>Sex, BMI, VFA / Muscle mass, Diabetes history, Dyslipidemia history</w:t>
            </w:r>
          </w:p>
        </w:tc>
        <w:tc>
          <w:tcPr>
            <w:tcW w:w="1263" w:type="dxa"/>
            <w:tcBorders>
              <w:top w:val="single" w:color="000000" w:sz="8" w:space="0"/>
              <w:left w:val="nil"/>
              <w:bottom w:val="single" w:color="000000" w:sz="8" w:space="0"/>
              <w:right w:val="nil"/>
            </w:tcBorders>
            <w:shd w:val="clear" w:color="auto" w:fill="auto"/>
            <w:noWrap/>
            <w:vAlign w:val="center"/>
          </w:tcPr>
          <w:p w14:paraId="74CDFBA9">
            <w:pPr>
              <w:spacing w:line="240" w:lineRule="auto"/>
              <w:rPr>
                <w:rFonts w:hint="eastAsia"/>
                <w:sz w:val="18"/>
                <w:szCs w:val="18"/>
                <w:lang w:val="en-US" w:eastAsia="zh-CN"/>
              </w:rPr>
            </w:pPr>
            <w:r>
              <w:rPr>
                <w:rFonts w:hint="eastAsia"/>
                <w:sz w:val="18"/>
                <w:szCs w:val="18"/>
                <w:lang w:val="en-US" w:eastAsia="zh-CN"/>
              </w:rPr>
              <w:t>Logistic regression (optimized by Random Forest)</w:t>
            </w:r>
          </w:p>
        </w:tc>
        <w:tc>
          <w:tcPr>
            <w:tcW w:w="919" w:type="dxa"/>
            <w:tcBorders>
              <w:top w:val="single" w:color="000000" w:sz="8" w:space="0"/>
              <w:left w:val="nil"/>
              <w:bottom w:val="single" w:color="000000" w:sz="8" w:space="0"/>
              <w:right w:val="nil"/>
            </w:tcBorders>
            <w:shd w:val="clear" w:color="auto" w:fill="auto"/>
            <w:noWrap/>
            <w:vAlign w:val="center"/>
          </w:tcPr>
          <w:p w14:paraId="017429E2">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0E5DB71D">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2A42CA2C">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76608587">
            <w:pPr>
              <w:spacing w:line="240" w:lineRule="auto"/>
              <w:rPr>
                <w:rFonts w:hint="eastAsia"/>
                <w:sz w:val="18"/>
                <w:szCs w:val="18"/>
                <w:lang w:val="en-US" w:eastAsia="zh-CN"/>
              </w:rPr>
            </w:pPr>
            <w:r>
              <w:rPr>
                <w:rFonts w:hint="eastAsia"/>
                <w:sz w:val="18"/>
                <w:szCs w:val="18"/>
                <w:lang w:val="en-US" w:eastAsia="zh-CN"/>
              </w:rPr>
              <w:t>None</w:t>
            </w:r>
          </w:p>
        </w:tc>
      </w:tr>
      <w:tr w14:paraId="44A801DD">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038D7E6">
            <w:pPr>
              <w:spacing w:line="240" w:lineRule="auto"/>
              <w:rPr>
                <w:rFonts w:hint="eastAsia"/>
                <w:sz w:val="18"/>
                <w:szCs w:val="18"/>
                <w:lang w:val="en-US" w:eastAsia="zh-CN"/>
              </w:rPr>
            </w:pPr>
            <w:r>
              <w:rPr>
                <w:rFonts w:hint="eastAsia"/>
                <w:sz w:val="18"/>
                <w:szCs w:val="18"/>
                <w:lang w:val="en-US" w:eastAsia="zh-CN"/>
              </w:rPr>
              <w:t>OSA</w:t>
            </w:r>
          </w:p>
        </w:tc>
        <w:tc>
          <w:tcPr>
            <w:tcW w:w="840" w:type="dxa"/>
            <w:tcBorders>
              <w:top w:val="single" w:color="000000" w:sz="8" w:space="0"/>
              <w:left w:val="nil"/>
              <w:bottom w:val="single" w:color="000000" w:sz="8" w:space="0"/>
              <w:right w:val="nil"/>
            </w:tcBorders>
            <w:shd w:val="clear" w:color="auto" w:fill="auto"/>
            <w:noWrap/>
            <w:vAlign w:val="center"/>
          </w:tcPr>
          <w:p w14:paraId="2FC9A2F5">
            <w:pPr>
              <w:spacing w:line="240" w:lineRule="auto"/>
              <w:rPr>
                <w:rFonts w:hint="eastAsia"/>
                <w:sz w:val="18"/>
                <w:szCs w:val="18"/>
                <w:lang w:val="en-US" w:eastAsia="zh-CN"/>
              </w:rPr>
            </w:pPr>
            <w:r>
              <w:rPr>
                <w:rFonts w:hint="eastAsia"/>
                <w:sz w:val="18"/>
                <w:szCs w:val="18"/>
                <w:lang w:val="en-US" w:eastAsia="zh-CN"/>
              </w:rPr>
              <w:t>Zhu X,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PEVuZE5vdGU+PENpdGU+PEF1dGhvcj5aaHU8L0F1dGhvcj48WWVhcj4yMDI1PC9ZZWFyPjxSZWNO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(33)</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109A222">
            <w:pPr>
              <w:spacing w:line="240" w:lineRule="auto"/>
              <w:rPr>
                <w:rFonts w:hint="eastAsia"/>
                <w:sz w:val="18"/>
                <w:szCs w:val="18"/>
                <w:lang w:val="en-US" w:eastAsia="zh-CN"/>
              </w:rPr>
            </w:pPr>
            <w:r>
              <w:rPr>
                <w:rFonts w:hint="eastAsia"/>
                <w:sz w:val="18"/>
                <w:szCs w:val="18"/>
                <w:lang w:val="en-US" w:eastAsia="zh-CN"/>
              </w:rPr>
              <w:t>6</w:t>
            </w:r>
          </w:p>
        </w:tc>
        <w:tc>
          <w:tcPr>
            <w:tcW w:w="1012" w:type="dxa"/>
            <w:tcBorders>
              <w:top w:val="single" w:color="000000" w:sz="8" w:space="0"/>
              <w:left w:val="nil"/>
              <w:bottom w:val="single" w:color="000000" w:sz="8" w:space="0"/>
              <w:right w:val="nil"/>
            </w:tcBorders>
            <w:shd w:val="clear" w:color="auto" w:fill="auto"/>
            <w:noWrap/>
            <w:vAlign w:val="center"/>
          </w:tcPr>
          <w:p w14:paraId="30EA2889">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00C17D3C">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1110724B">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5A852CA1">
            <w:pPr>
              <w:spacing w:line="240" w:lineRule="auto"/>
              <w:rPr>
                <w:rFonts w:hint="eastAsia"/>
                <w:sz w:val="18"/>
                <w:szCs w:val="18"/>
                <w:lang w:val="en-US" w:eastAsia="zh-CN"/>
              </w:rPr>
            </w:pPr>
            <w:r>
              <w:rPr>
                <w:rFonts w:hint="eastAsia"/>
                <w:sz w:val="18"/>
                <w:szCs w:val="18"/>
                <w:lang w:val="en-US" w:eastAsia="zh-CN"/>
              </w:rPr>
              <w:t>4</w:t>
            </w:r>
          </w:p>
        </w:tc>
        <w:tc>
          <w:tcPr>
            <w:tcW w:w="1614" w:type="dxa"/>
            <w:tcBorders>
              <w:top w:val="single" w:color="000000" w:sz="8" w:space="0"/>
              <w:left w:val="nil"/>
              <w:bottom w:val="single" w:color="000000" w:sz="8" w:space="0"/>
              <w:right w:val="nil"/>
            </w:tcBorders>
            <w:shd w:val="clear" w:color="auto" w:fill="auto"/>
            <w:noWrap/>
            <w:vAlign w:val="center"/>
          </w:tcPr>
          <w:p w14:paraId="1B372996">
            <w:pPr>
              <w:spacing w:line="240" w:lineRule="auto"/>
              <w:rPr>
                <w:rFonts w:hint="eastAsia"/>
                <w:sz w:val="18"/>
                <w:szCs w:val="18"/>
                <w:lang w:val="en-US" w:eastAsia="zh-CN"/>
              </w:rPr>
            </w:pPr>
            <w:r>
              <w:rPr>
                <w:rFonts w:hint="eastAsia"/>
                <w:sz w:val="18"/>
                <w:szCs w:val="18"/>
                <w:lang w:val="en-US" w:eastAsia="zh-CN"/>
              </w:rPr>
              <w:t>Age, CC, NAFLD (Y/N), Mean SpO₂</w:t>
            </w:r>
          </w:p>
        </w:tc>
        <w:tc>
          <w:tcPr>
            <w:tcW w:w="1263" w:type="dxa"/>
            <w:tcBorders>
              <w:top w:val="single" w:color="000000" w:sz="8" w:space="0"/>
              <w:left w:val="nil"/>
              <w:bottom w:val="single" w:color="000000" w:sz="8" w:space="0"/>
              <w:right w:val="nil"/>
            </w:tcBorders>
            <w:shd w:val="clear" w:color="auto" w:fill="auto"/>
            <w:noWrap/>
            <w:vAlign w:val="center"/>
          </w:tcPr>
          <w:p w14:paraId="22030A1D">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4B99EFA5">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04281D11">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47C976A3">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784D9353">
            <w:pPr>
              <w:spacing w:line="240" w:lineRule="auto"/>
              <w:rPr>
                <w:rFonts w:hint="eastAsia"/>
                <w:sz w:val="18"/>
                <w:szCs w:val="18"/>
                <w:lang w:val="en-US" w:eastAsia="zh-CN"/>
              </w:rPr>
            </w:pPr>
            <w:r>
              <w:rPr>
                <w:rFonts w:hint="eastAsia"/>
                <w:sz w:val="18"/>
                <w:szCs w:val="18"/>
                <w:lang w:val="en-US" w:eastAsia="zh-CN"/>
              </w:rPr>
              <w:t>None</w:t>
            </w:r>
          </w:p>
        </w:tc>
      </w:tr>
      <w:tr w14:paraId="2505596E">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699CFE7D">
            <w:pPr>
              <w:spacing w:line="240" w:lineRule="auto"/>
              <w:rPr>
                <w:rFonts w:hint="eastAsia"/>
                <w:sz w:val="18"/>
                <w:szCs w:val="18"/>
                <w:lang w:val="en-US" w:eastAsia="zh-CN"/>
              </w:rPr>
            </w:pPr>
            <w:r>
              <w:rPr>
                <w:rFonts w:hint="eastAsia"/>
                <w:sz w:val="18"/>
                <w:szCs w:val="18"/>
                <w:lang w:val="en-US" w:eastAsia="zh-CN"/>
              </w:rPr>
              <w:t>First-time ASCVD</w:t>
            </w:r>
          </w:p>
        </w:tc>
        <w:tc>
          <w:tcPr>
            <w:tcW w:w="840" w:type="dxa"/>
            <w:tcBorders>
              <w:top w:val="single" w:color="000000" w:sz="8" w:space="0"/>
              <w:left w:val="nil"/>
              <w:bottom w:val="single" w:color="000000" w:sz="8" w:space="0"/>
              <w:right w:val="nil"/>
            </w:tcBorders>
            <w:shd w:val="clear" w:color="auto" w:fill="auto"/>
            <w:noWrap/>
            <w:vAlign w:val="center"/>
          </w:tcPr>
          <w:p w14:paraId="618FCC9A">
            <w:pPr>
              <w:spacing w:line="240" w:lineRule="auto"/>
              <w:rPr>
                <w:rFonts w:hint="eastAsia"/>
                <w:sz w:val="18"/>
                <w:szCs w:val="18"/>
                <w:lang w:val="en-US" w:eastAsia="zh-CN"/>
              </w:rPr>
            </w:pPr>
            <w:r>
              <w:rPr>
                <w:rFonts w:hint="eastAsia"/>
                <w:sz w:val="18"/>
                <w:szCs w:val="18"/>
                <w:lang w:val="en-US" w:eastAsia="zh-CN"/>
              </w:rPr>
              <w:t>Zhou Y,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PEVuZE5vdGU+PENpdGU+PEF1dGhvcj5aaG91PC9BdXRob3I+PFllYXI+MjAyNTwvWWVhcj48UmVj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(34)</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D86B9DD">
            <w:pPr>
              <w:spacing w:line="240" w:lineRule="auto"/>
              <w:rPr>
                <w:rFonts w:hint="eastAsia"/>
                <w:sz w:val="18"/>
                <w:szCs w:val="18"/>
                <w:lang w:val="en-US" w:eastAsia="zh-CN"/>
              </w:rPr>
            </w:pPr>
            <w:r>
              <w:rPr>
                <w:rFonts w:hint="eastAsia"/>
                <w:sz w:val="18"/>
                <w:szCs w:val="18"/>
                <w:lang w:val="en-US" w:eastAsia="zh-CN"/>
              </w:rPr>
              <w:t>7A</w:t>
            </w:r>
          </w:p>
        </w:tc>
        <w:tc>
          <w:tcPr>
            <w:tcW w:w="1012" w:type="dxa"/>
            <w:tcBorders>
              <w:top w:val="single" w:color="000000" w:sz="8" w:space="0"/>
              <w:left w:val="nil"/>
              <w:bottom w:val="single" w:color="000000" w:sz="8" w:space="0"/>
              <w:right w:val="nil"/>
            </w:tcBorders>
            <w:shd w:val="clear" w:color="auto" w:fill="auto"/>
            <w:noWrap/>
            <w:vAlign w:val="center"/>
          </w:tcPr>
          <w:p w14:paraId="0C4E9AA7">
            <w:pPr>
              <w:spacing w:line="240" w:lineRule="auto"/>
              <w:rPr>
                <w:rFonts w:hint="eastAsia"/>
                <w:sz w:val="18"/>
                <w:szCs w:val="18"/>
                <w:lang w:val="en-US" w:eastAsia="zh-CN"/>
              </w:rPr>
            </w:pPr>
            <w:r>
              <w:rPr>
                <w:rFonts w:hint="eastAsia"/>
                <w:sz w:val="18"/>
                <w:szCs w:val="18"/>
                <w:lang w:val="en-US" w:eastAsia="zh-CN"/>
              </w:rPr>
              <w:t>Partial log-transformation</w:t>
            </w:r>
          </w:p>
        </w:tc>
        <w:tc>
          <w:tcPr>
            <w:tcW w:w="1421" w:type="dxa"/>
            <w:tcBorders>
              <w:top w:val="single" w:color="000000" w:sz="8" w:space="0"/>
              <w:left w:val="nil"/>
              <w:bottom w:val="single" w:color="000000" w:sz="8" w:space="0"/>
              <w:right w:val="nil"/>
            </w:tcBorders>
            <w:shd w:val="clear" w:color="auto" w:fill="auto"/>
            <w:noWrap/>
            <w:vAlign w:val="center"/>
          </w:tcPr>
          <w:p w14:paraId="716013DB">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02FC8788">
            <w:pPr>
              <w:spacing w:line="240" w:lineRule="auto"/>
              <w:rPr>
                <w:rFonts w:hint="eastAsia"/>
                <w:sz w:val="18"/>
                <w:szCs w:val="18"/>
                <w:lang w:val="en-US" w:eastAsia="zh-CN"/>
              </w:rPr>
            </w:pPr>
            <w:r>
              <w:rPr>
                <w:rFonts w:hint="eastAsia"/>
                <w:sz w:val="18"/>
                <w:szCs w:val="18"/>
                <w:lang w:val="en-US" w:eastAsia="zh-CN"/>
              </w:rPr>
              <w:t>Univariate + backward stepwise</w:t>
            </w:r>
          </w:p>
        </w:tc>
        <w:tc>
          <w:tcPr>
            <w:tcW w:w="752" w:type="dxa"/>
            <w:tcBorders>
              <w:top w:val="single" w:color="000000" w:sz="8" w:space="0"/>
              <w:left w:val="nil"/>
              <w:bottom w:val="single" w:color="000000" w:sz="8" w:space="0"/>
              <w:right w:val="nil"/>
            </w:tcBorders>
            <w:shd w:val="clear" w:color="auto" w:fill="auto"/>
            <w:noWrap/>
            <w:vAlign w:val="center"/>
          </w:tcPr>
          <w:p w14:paraId="27EC789C">
            <w:pPr>
              <w:spacing w:line="240" w:lineRule="auto"/>
              <w:rPr>
                <w:rFonts w:hint="eastAsia"/>
                <w:sz w:val="18"/>
                <w:szCs w:val="18"/>
                <w:lang w:val="en-US" w:eastAsia="zh-CN"/>
              </w:rPr>
            </w:pPr>
            <w:r>
              <w:rPr>
                <w:rFonts w:hint="eastAsia"/>
                <w:sz w:val="18"/>
                <w:szCs w:val="18"/>
                <w:lang w:val="en-US" w:eastAsia="zh-CN"/>
              </w:rPr>
              <w:t>11</w:t>
            </w:r>
          </w:p>
        </w:tc>
        <w:tc>
          <w:tcPr>
            <w:tcW w:w="1614" w:type="dxa"/>
            <w:tcBorders>
              <w:top w:val="single" w:color="000000" w:sz="8" w:space="0"/>
              <w:left w:val="nil"/>
              <w:bottom w:val="single" w:color="000000" w:sz="8" w:space="0"/>
              <w:right w:val="nil"/>
            </w:tcBorders>
            <w:shd w:val="clear" w:color="auto" w:fill="auto"/>
            <w:noWrap/>
            <w:vAlign w:val="center"/>
          </w:tcPr>
          <w:p w14:paraId="3073A642">
            <w:pPr>
              <w:spacing w:line="240" w:lineRule="auto"/>
              <w:rPr>
                <w:rFonts w:hint="eastAsia"/>
                <w:sz w:val="18"/>
                <w:szCs w:val="18"/>
                <w:lang w:val="en-US" w:eastAsia="zh-CN"/>
              </w:rPr>
            </w:pPr>
            <w:r>
              <w:rPr>
                <w:rFonts w:hint="eastAsia"/>
                <w:sz w:val="18"/>
                <w:szCs w:val="18"/>
                <w:lang w:val="en-US" w:eastAsia="zh-CN"/>
              </w:rPr>
              <w:t>Age (log), Race, Smoking, WHR, DM, HTN, ABI, Treated/untreated SBP, TC, HDL-C, eGFR(log)</w:t>
            </w:r>
          </w:p>
        </w:tc>
        <w:tc>
          <w:tcPr>
            <w:tcW w:w="1263" w:type="dxa"/>
            <w:tcBorders>
              <w:top w:val="single" w:color="000000" w:sz="8" w:space="0"/>
              <w:left w:val="nil"/>
              <w:bottom w:val="single" w:color="000000" w:sz="8" w:space="0"/>
              <w:right w:val="nil"/>
            </w:tcBorders>
            <w:shd w:val="clear" w:color="auto" w:fill="auto"/>
            <w:noWrap/>
            <w:vAlign w:val="center"/>
          </w:tcPr>
          <w:p w14:paraId="014F756F">
            <w:pPr>
              <w:spacing w:line="240" w:lineRule="auto"/>
              <w:rPr>
                <w:rFonts w:hint="eastAsia"/>
                <w:sz w:val="18"/>
                <w:szCs w:val="18"/>
                <w:lang w:val="en-US" w:eastAsia="zh-CN"/>
              </w:rPr>
            </w:pPr>
            <w:r>
              <w:rPr>
                <w:rFonts w:hint="eastAsia"/>
                <w:sz w:val="18"/>
                <w:szCs w:val="18"/>
                <w:lang w:val="en-US" w:eastAsia="zh-CN"/>
              </w:rPr>
              <w:t>Cox proportional hazards regression</w:t>
            </w:r>
          </w:p>
        </w:tc>
        <w:tc>
          <w:tcPr>
            <w:tcW w:w="919" w:type="dxa"/>
            <w:tcBorders>
              <w:top w:val="single" w:color="000000" w:sz="8" w:space="0"/>
              <w:left w:val="nil"/>
              <w:bottom w:val="single" w:color="000000" w:sz="8" w:space="0"/>
              <w:right w:val="nil"/>
            </w:tcBorders>
            <w:shd w:val="clear" w:color="auto" w:fill="auto"/>
            <w:noWrap/>
            <w:vAlign w:val="center"/>
          </w:tcPr>
          <w:p w14:paraId="6BB02ACE">
            <w:pPr>
              <w:spacing w:line="240" w:lineRule="auto"/>
              <w:rPr>
                <w:rFonts w:hint="eastAsia"/>
                <w:sz w:val="18"/>
                <w:szCs w:val="18"/>
                <w:lang w:val="en-US" w:eastAsia="zh-CN"/>
              </w:rPr>
            </w:pPr>
            <w:r>
              <w:rPr>
                <w:rFonts w:hint="eastAsia"/>
                <w:sz w:val="18"/>
                <w:szCs w:val="18"/>
                <w:lang w:val="en-US" w:eastAsia="zh-CN"/>
              </w:rPr>
              <w:t>Online calculator</w:t>
            </w:r>
          </w:p>
        </w:tc>
        <w:tc>
          <w:tcPr>
            <w:tcW w:w="957" w:type="dxa"/>
            <w:tcBorders>
              <w:top w:val="single" w:color="000000" w:sz="8" w:space="0"/>
              <w:left w:val="nil"/>
              <w:bottom w:val="single" w:color="000000" w:sz="8" w:space="0"/>
              <w:right w:val="nil"/>
            </w:tcBorders>
            <w:shd w:val="clear" w:color="auto" w:fill="auto"/>
            <w:noWrap/>
            <w:vAlign w:val="center"/>
          </w:tcPr>
          <w:p w14:paraId="3938C369">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5AAFA4D8">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521F7034">
            <w:pPr>
              <w:spacing w:line="240" w:lineRule="auto"/>
              <w:rPr>
                <w:rFonts w:hint="eastAsia"/>
                <w:sz w:val="18"/>
                <w:szCs w:val="18"/>
                <w:lang w:val="en-US" w:eastAsia="zh-CN"/>
              </w:rPr>
            </w:pPr>
            <w:r>
              <w:rPr>
                <w:rFonts w:hint="eastAsia"/>
                <w:sz w:val="18"/>
                <w:szCs w:val="18"/>
                <w:lang w:val="en-US" w:eastAsia="zh-CN"/>
              </w:rPr>
              <w:t>Present</w:t>
            </w:r>
          </w:p>
        </w:tc>
      </w:tr>
      <w:tr w14:paraId="1F6F5C51">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7598E789">
            <w:pPr>
              <w:spacing w:line="240" w:lineRule="auto"/>
              <w:rPr>
                <w:rFonts w:hint="eastAsia"/>
                <w:sz w:val="18"/>
                <w:szCs w:val="18"/>
                <w:lang w:val="en-US" w:eastAsia="zh-CN"/>
              </w:rPr>
            </w:pPr>
            <w:r>
              <w:rPr>
                <w:rFonts w:hint="eastAsia"/>
                <w:sz w:val="18"/>
                <w:szCs w:val="18"/>
                <w:lang w:val="en-US" w:eastAsia="zh-CN"/>
              </w:rPr>
              <w:t>First-time ASCVD</w:t>
            </w:r>
          </w:p>
        </w:tc>
        <w:tc>
          <w:tcPr>
            <w:tcW w:w="840" w:type="dxa"/>
            <w:tcBorders>
              <w:top w:val="single" w:color="000000" w:sz="8" w:space="0"/>
              <w:left w:val="nil"/>
              <w:bottom w:val="single" w:color="000000" w:sz="8" w:space="0"/>
              <w:right w:val="nil"/>
            </w:tcBorders>
            <w:shd w:val="clear" w:color="auto" w:fill="auto"/>
            <w:noWrap/>
            <w:vAlign w:val="center"/>
          </w:tcPr>
          <w:p w14:paraId="1E2D4425">
            <w:pPr>
              <w:spacing w:line="240" w:lineRule="auto"/>
              <w:rPr>
                <w:rFonts w:hint="eastAsia"/>
                <w:sz w:val="18"/>
                <w:szCs w:val="18"/>
                <w:lang w:val="en-US" w:eastAsia="zh-CN"/>
              </w:rPr>
            </w:pPr>
            <w:r>
              <w:rPr>
                <w:rFonts w:hint="eastAsia"/>
                <w:sz w:val="18"/>
                <w:szCs w:val="18"/>
                <w:lang w:val="en-US" w:eastAsia="zh-CN"/>
              </w:rPr>
              <w:t>Zhou Y,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PEVuZE5vdGU+PENpdGU+PEF1dGhvcj5aaG91PC9BdXRob3I+PFllYXI+MjAyNTwvWWVhcj48UmVj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(34)</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38938B3">
            <w:pPr>
              <w:spacing w:line="240" w:lineRule="auto"/>
              <w:rPr>
                <w:rFonts w:hint="eastAsia"/>
                <w:sz w:val="18"/>
                <w:szCs w:val="18"/>
                <w:lang w:val="en-US" w:eastAsia="zh-CN"/>
              </w:rPr>
            </w:pPr>
            <w:r>
              <w:rPr>
                <w:rFonts w:hint="eastAsia"/>
                <w:sz w:val="18"/>
                <w:szCs w:val="18"/>
                <w:lang w:val="en-US" w:eastAsia="zh-CN"/>
              </w:rPr>
              <w:t>7B</w:t>
            </w:r>
          </w:p>
        </w:tc>
        <w:tc>
          <w:tcPr>
            <w:tcW w:w="1012" w:type="dxa"/>
            <w:tcBorders>
              <w:top w:val="single" w:color="000000" w:sz="8" w:space="0"/>
              <w:left w:val="nil"/>
              <w:bottom w:val="single" w:color="000000" w:sz="8" w:space="0"/>
              <w:right w:val="nil"/>
            </w:tcBorders>
            <w:shd w:val="clear" w:color="auto" w:fill="auto"/>
            <w:noWrap/>
            <w:vAlign w:val="center"/>
          </w:tcPr>
          <w:p w14:paraId="23445FC7">
            <w:pPr>
              <w:spacing w:line="240" w:lineRule="auto"/>
              <w:rPr>
                <w:rFonts w:hint="eastAsia"/>
                <w:sz w:val="18"/>
                <w:szCs w:val="18"/>
                <w:lang w:val="en-US" w:eastAsia="zh-CN"/>
              </w:rPr>
            </w:pPr>
            <w:r>
              <w:rPr>
                <w:rFonts w:hint="eastAsia"/>
                <w:sz w:val="18"/>
                <w:szCs w:val="18"/>
                <w:lang w:val="en-US" w:eastAsia="zh-CN"/>
              </w:rPr>
              <w:t>Partial log-transformation</w:t>
            </w:r>
          </w:p>
        </w:tc>
        <w:tc>
          <w:tcPr>
            <w:tcW w:w="1421" w:type="dxa"/>
            <w:tcBorders>
              <w:top w:val="single" w:color="000000" w:sz="8" w:space="0"/>
              <w:left w:val="nil"/>
              <w:bottom w:val="single" w:color="000000" w:sz="8" w:space="0"/>
              <w:right w:val="nil"/>
            </w:tcBorders>
            <w:shd w:val="clear" w:color="auto" w:fill="auto"/>
            <w:noWrap/>
            <w:vAlign w:val="center"/>
          </w:tcPr>
          <w:p w14:paraId="1568BCDF">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3B7CDDC2">
            <w:pPr>
              <w:spacing w:line="240" w:lineRule="auto"/>
              <w:rPr>
                <w:rFonts w:hint="eastAsia"/>
                <w:sz w:val="18"/>
                <w:szCs w:val="18"/>
                <w:lang w:val="en-US" w:eastAsia="zh-CN"/>
              </w:rPr>
            </w:pPr>
            <w:r>
              <w:rPr>
                <w:rFonts w:hint="eastAsia"/>
                <w:sz w:val="18"/>
                <w:szCs w:val="18"/>
                <w:lang w:val="en-US" w:eastAsia="zh-CN"/>
              </w:rPr>
              <w:t>Univariate + backward stepwise</w:t>
            </w:r>
          </w:p>
        </w:tc>
        <w:tc>
          <w:tcPr>
            <w:tcW w:w="752" w:type="dxa"/>
            <w:tcBorders>
              <w:top w:val="single" w:color="000000" w:sz="8" w:space="0"/>
              <w:left w:val="nil"/>
              <w:bottom w:val="single" w:color="000000" w:sz="8" w:space="0"/>
              <w:right w:val="nil"/>
            </w:tcBorders>
            <w:shd w:val="clear" w:color="auto" w:fill="auto"/>
            <w:noWrap/>
            <w:vAlign w:val="center"/>
          </w:tcPr>
          <w:p w14:paraId="251A7A2E">
            <w:pPr>
              <w:spacing w:line="240" w:lineRule="auto"/>
              <w:rPr>
                <w:rFonts w:hint="eastAsia"/>
                <w:sz w:val="18"/>
                <w:szCs w:val="18"/>
                <w:lang w:val="en-US" w:eastAsia="zh-CN"/>
              </w:rPr>
            </w:pPr>
            <w:r>
              <w:rPr>
                <w:rFonts w:hint="eastAsia"/>
                <w:sz w:val="18"/>
                <w:szCs w:val="18"/>
                <w:lang w:val="en-US" w:eastAsia="zh-CN"/>
              </w:rPr>
              <w:t>10</w:t>
            </w:r>
          </w:p>
        </w:tc>
        <w:tc>
          <w:tcPr>
            <w:tcW w:w="1614" w:type="dxa"/>
            <w:tcBorders>
              <w:top w:val="single" w:color="000000" w:sz="8" w:space="0"/>
              <w:left w:val="nil"/>
              <w:bottom w:val="single" w:color="000000" w:sz="8" w:space="0"/>
              <w:right w:val="nil"/>
            </w:tcBorders>
            <w:shd w:val="clear" w:color="auto" w:fill="auto"/>
            <w:noWrap/>
            <w:vAlign w:val="center"/>
          </w:tcPr>
          <w:p w14:paraId="5284364B">
            <w:pPr>
              <w:spacing w:line="240" w:lineRule="auto"/>
              <w:rPr>
                <w:rFonts w:hint="eastAsia"/>
                <w:sz w:val="18"/>
                <w:szCs w:val="18"/>
                <w:lang w:val="en-US" w:eastAsia="zh-CN"/>
              </w:rPr>
            </w:pPr>
            <w:r>
              <w:rPr>
                <w:rFonts w:hint="eastAsia"/>
                <w:sz w:val="18"/>
                <w:szCs w:val="18"/>
                <w:lang w:val="en-US" w:eastAsia="zh-CN"/>
              </w:rPr>
              <w:t>Age (log), Race, Smoking, ASCVD family history, DM, HTN, ABI, Treated/untreated SBP, TC, HDL-C, FPG</w:t>
            </w:r>
          </w:p>
        </w:tc>
        <w:tc>
          <w:tcPr>
            <w:tcW w:w="1263" w:type="dxa"/>
            <w:tcBorders>
              <w:top w:val="single" w:color="000000" w:sz="8" w:space="0"/>
              <w:left w:val="nil"/>
              <w:bottom w:val="single" w:color="000000" w:sz="8" w:space="0"/>
              <w:right w:val="nil"/>
            </w:tcBorders>
            <w:shd w:val="clear" w:color="auto" w:fill="auto"/>
            <w:noWrap/>
            <w:vAlign w:val="center"/>
          </w:tcPr>
          <w:p w14:paraId="275B427C">
            <w:pPr>
              <w:spacing w:line="240" w:lineRule="auto"/>
              <w:rPr>
                <w:rFonts w:hint="eastAsia"/>
                <w:sz w:val="18"/>
                <w:szCs w:val="18"/>
                <w:lang w:val="en-US" w:eastAsia="zh-CN"/>
              </w:rPr>
            </w:pPr>
            <w:r>
              <w:rPr>
                <w:rFonts w:hint="eastAsia"/>
                <w:sz w:val="18"/>
                <w:szCs w:val="18"/>
                <w:lang w:val="en-US" w:eastAsia="zh-CN"/>
              </w:rPr>
              <w:t>Cox proportional hazards regression</w:t>
            </w:r>
          </w:p>
        </w:tc>
        <w:tc>
          <w:tcPr>
            <w:tcW w:w="919" w:type="dxa"/>
            <w:tcBorders>
              <w:top w:val="single" w:color="000000" w:sz="8" w:space="0"/>
              <w:left w:val="nil"/>
              <w:bottom w:val="single" w:color="000000" w:sz="8" w:space="0"/>
              <w:right w:val="nil"/>
            </w:tcBorders>
            <w:shd w:val="clear" w:color="auto" w:fill="auto"/>
            <w:noWrap/>
            <w:vAlign w:val="center"/>
          </w:tcPr>
          <w:p w14:paraId="5F8802B5">
            <w:pPr>
              <w:spacing w:line="240" w:lineRule="auto"/>
              <w:rPr>
                <w:rFonts w:hint="eastAsia"/>
                <w:sz w:val="18"/>
                <w:szCs w:val="18"/>
                <w:lang w:val="en-US" w:eastAsia="zh-CN"/>
              </w:rPr>
            </w:pPr>
            <w:r>
              <w:rPr>
                <w:rFonts w:hint="eastAsia"/>
                <w:sz w:val="18"/>
                <w:szCs w:val="18"/>
                <w:lang w:val="en-US" w:eastAsia="zh-CN"/>
              </w:rPr>
              <w:t>Online calculator</w:t>
            </w:r>
          </w:p>
        </w:tc>
        <w:tc>
          <w:tcPr>
            <w:tcW w:w="957" w:type="dxa"/>
            <w:tcBorders>
              <w:top w:val="single" w:color="000000" w:sz="8" w:space="0"/>
              <w:left w:val="nil"/>
              <w:bottom w:val="single" w:color="000000" w:sz="8" w:space="0"/>
              <w:right w:val="nil"/>
            </w:tcBorders>
            <w:shd w:val="clear" w:color="auto" w:fill="auto"/>
            <w:noWrap/>
            <w:vAlign w:val="center"/>
          </w:tcPr>
          <w:p w14:paraId="0E831835">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72C9E81E">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78F95879">
            <w:pPr>
              <w:spacing w:line="240" w:lineRule="auto"/>
              <w:rPr>
                <w:rFonts w:hint="eastAsia"/>
                <w:sz w:val="18"/>
                <w:szCs w:val="18"/>
                <w:lang w:val="en-US" w:eastAsia="zh-CN"/>
              </w:rPr>
            </w:pPr>
            <w:r>
              <w:rPr>
                <w:rFonts w:hint="eastAsia"/>
                <w:sz w:val="18"/>
                <w:szCs w:val="18"/>
                <w:lang w:val="en-US" w:eastAsia="zh-CN"/>
              </w:rPr>
              <w:t>Present</w:t>
            </w:r>
          </w:p>
        </w:tc>
      </w:tr>
      <w:tr w14:paraId="24537F31">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CFF216E">
            <w:pPr>
              <w:spacing w:line="240" w:lineRule="auto"/>
              <w:rPr>
                <w:rFonts w:hint="eastAsia"/>
                <w:sz w:val="18"/>
                <w:szCs w:val="18"/>
                <w:lang w:val="en-US" w:eastAsia="zh-CN"/>
              </w:rPr>
            </w:pPr>
            <w:r>
              <w:rPr>
                <w:rFonts w:hint="eastAsia"/>
                <w:sz w:val="18"/>
                <w:szCs w:val="18"/>
                <w:lang w:val="en-US" w:eastAsia="zh-CN"/>
              </w:rPr>
              <w:t>Systemic Thromboembolism</w:t>
            </w:r>
          </w:p>
        </w:tc>
        <w:tc>
          <w:tcPr>
            <w:tcW w:w="840" w:type="dxa"/>
            <w:tcBorders>
              <w:top w:val="single" w:color="000000" w:sz="8" w:space="0"/>
              <w:left w:val="nil"/>
              <w:bottom w:val="single" w:color="000000" w:sz="8" w:space="0"/>
              <w:right w:val="nil"/>
            </w:tcBorders>
            <w:shd w:val="clear" w:color="auto" w:fill="auto"/>
            <w:noWrap/>
            <w:vAlign w:val="center"/>
          </w:tcPr>
          <w:p w14:paraId="27593029">
            <w:pPr>
              <w:spacing w:line="240" w:lineRule="auto"/>
              <w:rPr>
                <w:rFonts w:hint="eastAsia"/>
                <w:sz w:val="18"/>
                <w:szCs w:val="18"/>
                <w:lang w:val="en-US" w:eastAsia="zh-CN"/>
              </w:rPr>
            </w:pPr>
            <w:r>
              <w:rPr>
                <w:rFonts w:hint="eastAsia"/>
                <w:sz w:val="18"/>
                <w:szCs w:val="18"/>
                <w:lang w:val="en-US" w:eastAsia="zh-CN"/>
              </w:rPr>
              <w:t>Yu M, et al., 2024</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&lt;EndNote&gt;&lt;Cite&gt;&lt;Author&gt;Yu&lt;/Author&gt;&lt;Year&gt;2024&lt;/Year&gt;&lt;RecNum&gt;540&lt;/RecNum&gt;&lt;DisplayText&gt;(35)&lt;/DisplayText&gt;&lt;record&gt;&lt;rec-number&gt;540&lt;/rec-number&gt;&lt;foreign-keys&gt;&lt;key app="EN" db-id="earspdaa1vazprerafqvx9tx5pvfaxf9awz0" timestamp="1775312456"&gt;540&lt;/key&gt;&lt;/foreign-keys&gt;&lt;ref-type name="期刊文献"&gt;17&lt;/ref-type&gt;&lt;contributors&gt;&lt;authors&gt;&lt;author&gt;Yu, M.&lt;/author&gt;&lt;author&gt;Li, X.&lt;/author&gt;&lt;author&gt;Zong, L.&lt;/author&gt;&lt;author&gt;Wang, Z.&lt;/author&gt;&lt;author&gt;Lv, Q.&lt;/author&gt;&lt;/authors&gt;&lt;/contributors&gt;&lt;auth-address&gt;Department of Pharmacy, Zhongshan Hospital, Fudan University, Shanghai, China.&lt;/auth-address&gt;&lt;titles&gt;&lt;title&gt;A Novel Body Mass Index-Based Thromboembolic Risk Score for Overweight Patients with Nonvalvular Atrial Fibrillation&lt;/title&gt;&lt;secondary-title&gt;Anatol J Cardiol&lt;/secondary-title&gt;&lt;/titles&gt;&lt;periodical&gt;&lt;full-title&gt;Anatol J Cardiol&lt;/full-title&gt;&lt;/periodical&gt;&lt;pages&gt;35-43&lt;/pages&gt;&lt;volume&gt;28&lt;/volume&gt;&lt;number&gt;1&lt;/number&gt;&lt;edition&gt;20231114&lt;/edition&gt;&lt;keywords&gt;&lt;keyword&gt;Humans&lt;/keyword&gt;&lt;keyword&gt;*Atrial Fibrillation/complications&lt;/keyword&gt;&lt;keyword&gt;Body Mass Index&lt;/keyword&gt;&lt;keyword&gt;Retrospective Studies&lt;/keyword&gt;&lt;keyword&gt;Overweight/complications&lt;/keyword&gt;&lt;keyword&gt;Risk Factors&lt;/keyword&gt;&lt;keyword&gt;*Thromboembolism/etiology&lt;/keyword&gt;&lt;keyword&gt;*Thrombosis&lt;/keyword&gt;&lt;keyword&gt;Risk Assessment/methods&lt;/keyword&gt;&lt;keyword&gt;*Stroke&lt;/keyword&gt;&lt;/keywords&gt;&lt;dates&gt;&lt;year&gt;2024&lt;/year&gt;&lt;pub-dates&gt;&lt;date&gt;Jan 2&lt;/date&gt;&lt;/pub-dates&gt;&lt;/dates&gt;&lt;isbn&gt;2149-2263 (Print)&amp;#xD;2149-2263&lt;/isbn&gt;&lt;accession-num&gt;37961898&lt;/accession-num&gt;&lt;urls&gt;&lt;/urls&gt;&lt;custom1&gt;Declaration of Interests: The authors have no conflict of interest to declare.&lt;/custom1&gt;&lt;custom2&gt;PMC10796238&lt;/custom2&gt;&lt;electronic-resource-num&gt;10.14744/AnatolJCardiol.2023.3373&lt;/electronic-resource-num&gt;&lt;remote-database-provider&gt;NLM&lt;/remote-database-provider&gt;&lt;language&gt;eng&lt;/language&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(35)</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34CD5444">
            <w:pPr>
              <w:spacing w:line="240" w:lineRule="auto"/>
              <w:rPr>
                <w:rFonts w:hint="eastAsia"/>
                <w:sz w:val="18"/>
                <w:szCs w:val="18"/>
                <w:lang w:val="en-US" w:eastAsia="zh-CN"/>
              </w:rPr>
            </w:pPr>
            <w:r>
              <w:rPr>
                <w:rFonts w:hint="eastAsia"/>
                <w:sz w:val="18"/>
                <w:szCs w:val="18"/>
                <w:lang w:val="en-US" w:eastAsia="zh-CN"/>
              </w:rPr>
              <w:t>8A</w:t>
            </w:r>
          </w:p>
        </w:tc>
        <w:tc>
          <w:tcPr>
            <w:tcW w:w="1012" w:type="dxa"/>
            <w:tcBorders>
              <w:top w:val="single" w:color="000000" w:sz="8" w:space="0"/>
              <w:left w:val="nil"/>
              <w:bottom w:val="single" w:color="000000" w:sz="8" w:space="0"/>
              <w:right w:val="nil"/>
            </w:tcBorders>
            <w:shd w:val="clear" w:color="auto" w:fill="auto"/>
            <w:noWrap/>
            <w:vAlign w:val="center"/>
          </w:tcPr>
          <w:p w14:paraId="29F5B5D8">
            <w:pPr>
              <w:spacing w:line="240" w:lineRule="auto"/>
              <w:rPr>
                <w:rFonts w:hint="eastAsia"/>
                <w:sz w:val="18"/>
                <w:szCs w:val="18"/>
                <w:lang w:val="en-US" w:eastAsia="zh-CN"/>
              </w:rPr>
            </w:pPr>
            <w:r>
              <w:rPr>
                <w:rFonts w:hint="eastAsia"/>
                <w:sz w:val="18"/>
                <w:szCs w:val="18"/>
                <w:lang w:val="en-US" w:eastAsia="zh-CN"/>
              </w:rPr>
              <w:t>Partial categorization</w:t>
            </w:r>
          </w:p>
        </w:tc>
        <w:tc>
          <w:tcPr>
            <w:tcW w:w="1421" w:type="dxa"/>
            <w:tcBorders>
              <w:top w:val="single" w:color="000000" w:sz="8" w:space="0"/>
              <w:left w:val="nil"/>
              <w:bottom w:val="single" w:color="000000" w:sz="8" w:space="0"/>
              <w:right w:val="nil"/>
            </w:tcBorders>
            <w:shd w:val="clear" w:color="auto" w:fill="auto"/>
            <w:noWrap/>
            <w:vAlign w:val="center"/>
          </w:tcPr>
          <w:p w14:paraId="0EBDFAAE">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1DDE1537">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65AE7078">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6461139C">
            <w:pPr>
              <w:spacing w:line="240" w:lineRule="auto"/>
              <w:rPr>
                <w:rFonts w:hint="eastAsia"/>
                <w:sz w:val="18"/>
                <w:szCs w:val="18"/>
                <w:lang w:val="en-US" w:eastAsia="zh-CN"/>
              </w:rPr>
            </w:pPr>
            <w:r>
              <w:rPr>
                <w:rFonts w:hint="eastAsia"/>
                <w:sz w:val="18"/>
                <w:szCs w:val="18"/>
                <w:lang w:val="en-US" w:eastAsia="zh-CN"/>
              </w:rPr>
              <w:t>Age, BMI, Stroke, HF, PLT, eGFR, LVEF</w:t>
            </w:r>
          </w:p>
        </w:tc>
        <w:tc>
          <w:tcPr>
            <w:tcW w:w="1263" w:type="dxa"/>
            <w:tcBorders>
              <w:top w:val="single" w:color="000000" w:sz="8" w:space="0"/>
              <w:left w:val="nil"/>
              <w:bottom w:val="single" w:color="000000" w:sz="8" w:space="0"/>
              <w:right w:val="nil"/>
            </w:tcBorders>
            <w:shd w:val="clear" w:color="auto" w:fill="auto"/>
            <w:noWrap/>
            <w:vAlign w:val="center"/>
          </w:tcPr>
          <w:p w14:paraId="7E023C5C">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586E7013">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7E4ABE9A">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42BC8478">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6BEF3A9F">
            <w:pPr>
              <w:spacing w:line="240" w:lineRule="auto"/>
              <w:rPr>
                <w:rFonts w:hint="eastAsia"/>
                <w:sz w:val="18"/>
                <w:szCs w:val="18"/>
                <w:lang w:val="en-US" w:eastAsia="zh-CN"/>
              </w:rPr>
            </w:pPr>
            <w:r>
              <w:rPr>
                <w:rFonts w:hint="eastAsia"/>
                <w:sz w:val="18"/>
                <w:szCs w:val="18"/>
                <w:lang w:val="en-US" w:eastAsia="zh-CN"/>
              </w:rPr>
              <w:t>None</w:t>
            </w:r>
          </w:p>
        </w:tc>
      </w:tr>
      <w:tr w14:paraId="13A713D9">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2F8BE1B5">
            <w:pPr>
              <w:spacing w:line="240" w:lineRule="auto"/>
              <w:rPr>
                <w:rFonts w:hint="eastAsia"/>
                <w:sz w:val="18"/>
                <w:szCs w:val="18"/>
                <w:lang w:val="en-US" w:eastAsia="zh-CN"/>
              </w:rPr>
            </w:pPr>
            <w:r>
              <w:rPr>
                <w:rFonts w:hint="eastAsia"/>
                <w:sz w:val="18"/>
                <w:szCs w:val="18"/>
                <w:lang w:val="en-US" w:eastAsia="zh-CN"/>
              </w:rPr>
              <w:t>Systemic Thromboembolism</w:t>
            </w:r>
          </w:p>
        </w:tc>
        <w:tc>
          <w:tcPr>
            <w:tcW w:w="840" w:type="dxa"/>
            <w:tcBorders>
              <w:top w:val="single" w:color="000000" w:sz="8" w:space="0"/>
              <w:left w:val="nil"/>
              <w:bottom w:val="single" w:color="000000" w:sz="8" w:space="0"/>
              <w:right w:val="nil"/>
            </w:tcBorders>
            <w:shd w:val="clear" w:color="auto" w:fill="auto"/>
            <w:noWrap/>
            <w:vAlign w:val="center"/>
          </w:tcPr>
          <w:p w14:paraId="05112443">
            <w:pPr>
              <w:spacing w:line="240" w:lineRule="auto"/>
              <w:rPr>
                <w:rFonts w:hint="eastAsia"/>
                <w:sz w:val="18"/>
                <w:szCs w:val="18"/>
                <w:lang w:val="en-US" w:eastAsia="zh-CN"/>
              </w:rPr>
            </w:pPr>
            <w:r>
              <w:rPr>
                <w:rFonts w:hint="eastAsia"/>
                <w:sz w:val="18"/>
                <w:szCs w:val="18"/>
                <w:lang w:val="en-US" w:eastAsia="zh-CN"/>
              </w:rPr>
              <w:t>Yu M, et al., 2024</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&lt;EndNote&gt;&lt;Cite&gt;&lt;Author&gt;Yu&lt;/Author&gt;&lt;Year&gt;2024&lt;/Year&gt;&lt;RecNum&gt;540&lt;/RecNum&gt;&lt;DisplayText&gt;(35)&lt;/DisplayText&gt;&lt;record&gt;&lt;rec-number&gt;540&lt;/rec-number&gt;&lt;foreign-keys&gt;&lt;key app="EN" db-id="earspdaa1vazprerafqvx9tx5pvfaxf9awz0" timestamp="1775312456"&gt;540&lt;/key&gt;&lt;/foreign-keys&gt;&lt;ref-type name="期刊文献"&gt;17&lt;/ref-type&gt;&lt;contributors&gt;&lt;authors&gt;&lt;author&gt;Yu, M.&lt;/author&gt;&lt;author&gt;Li, X.&lt;/author&gt;&lt;author&gt;Zong, L.&lt;/author&gt;&lt;author&gt;Wang, Z.&lt;/author&gt;&lt;author&gt;Lv, Q.&lt;/author&gt;&lt;/authors&gt;&lt;/contributors&gt;&lt;auth-address&gt;Department of Pharmacy, Zhongshan Hospital, Fudan University, Shanghai, China.&lt;/auth-address&gt;&lt;titles&gt;&lt;title&gt;A Novel Body Mass Index-Based Thromboembolic Risk Score for Overweight Patients with Nonvalvular Atrial Fibrillation&lt;/title&gt;&lt;secondary-title&gt;Anatol J Cardiol&lt;/secondary-title&gt;&lt;/titles&gt;&lt;periodical&gt;&lt;full-title&gt;Anatol J Cardiol&lt;/full-title&gt;&lt;/periodical&gt;&lt;pages&gt;35-43&lt;/pages&gt;&lt;volume&gt;28&lt;/volume&gt;&lt;number&gt;1&lt;/number&gt;&lt;edition&gt;20231114&lt;/edition&gt;&lt;keywords&gt;&lt;keyword&gt;Humans&lt;/keyword&gt;&lt;keyword&gt;*Atrial Fibrillation/complications&lt;/keyword&gt;&lt;keyword&gt;Body Mass Index&lt;/keyword&gt;&lt;keyword&gt;Retrospective Studies&lt;/keyword&gt;&lt;keyword&gt;Overweight/complications&lt;/keyword&gt;&lt;keyword&gt;Risk Factors&lt;/keyword&gt;&lt;keyword&gt;*Thromboembolism/etiology&lt;/keyword&gt;&lt;keyword&gt;*Thrombosis&lt;/keyword&gt;&lt;keyword&gt;Risk Assessment/methods&lt;/keyword&gt;&lt;keyword&gt;*Stroke&lt;/keyword&gt;&lt;/keywords&gt;&lt;dates&gt;&lt;year&gt;2024&lt;/year&gt;&lt;pub-dates&gt;&lt;date&gt;Jan 2&lt;/date&gt;&lt;/pub-dates&gt;&lt;/dates&gt;&lt;isbn&gt;2149-2263 (Print)&amp;#xD;2149-2263&lt;/isbn&gt;&lt;accession-num&gt;37961898&lt;/accession-num&gt;&lt;urls&gt;&lt;/urls&gt;&lt;custom1&gt;Declaration of Interests: The authors have no conflict of interest to declare.&lt;/custom1&gt;&lt;custom2&gt;PMC10796238&lt;/custom2&gt;&lt;electronic-resource-num&gt;10.14744/AnatolJCardiol.2023.3373&lt;/electronic-resource-num&gt;&lt;remote-database-provider&gt;NLM&lt;/remote-database-provider&gt;&lt;language&gt;eng&lt;/language&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(35)</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7E6D543">
            <w:pPr>
              <w:spacing w:line="240" w:lineRule="auto"/>
              <w:rPr>
                <w:rFonts w:hint="eastAsia"/>
                <w:sz w:val="18"/>
                <w:szCs w:val="18"/>
                <w:lang w:val="en-US" w:eastAsia="zh-CN"/>
              </w:rPr>
            </w:pPr>
            <w:r>
              <w:rPr>
                <w:rFonts w:hint="eastAsia"/>
                <w:sz w:val="18"/>
                <w:szCs w:val="18"/>
                <w:lang w:val="en-US" w:eastAsia="zh-CN"/>
              </w:rPr>
              <w:t>8B</w:t>
            </w:r>
          </w:p>
        </w:tc>
        <w:tc>
          <w:tcPr>
            <w:tcW w:w="1012" w:type="dxa"/>
            <w:tcBorders>
              <w:top w:val="single" w:color="000000" w:sz="8" w:space="0"/>
              <w:left w:val="nil"/>
              <w:bottom w:val="single" w:color="000000" w:sz="8" w:space="0"/>
              <w:right w:val="nil"/>
            </w:tcBorders>
            <w:shd w:val="clear" w:color="auto" w:fill="auto"/>
            <w:noWrap/>
            <w:vAlign w:val="center"/>
          </w:tcPr>
          <w:p w14:paraId="0E95FEC8">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493E9710">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03C7AFD">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11A34154">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291A87DB">
            <w:pPr>
              <w:spacing w:line="240" w:lineRule="auto"/>
              <w:rPr>
                <w:rFonts w:hint="eastAsia"/>
                <w:sz w:val="18"/>
                <w:szCs w:val="18"/>
                <w:lang w:val="en-US" w:eastAsia="zh-CN"/>
              </w:rPr>
            </w:pPr>
            <w:r>
              <w:rPr>
                <w:rFonts w:hint="eastAsia"/>
                <w:sz w:val="18"/>
                <w:szCs w:val="18"/>
                <w:lang w:val="en-US" w:eastAsia="zh-CN"/>
              </w:rPr>
              <w:t>Age, BMI, Stroke, HF, PLT, eGFR, LVEF</w:t>
            </w:r>
          </w:p>
        </w:tc>
        <w:tc>
          <w:tcPr>
            <w:tcW w:w="1263" w:type="dxa"/>
            <w:tcBorders>
              <w:top w:val="single" w:color="000000" w:sz="8" w:space="0"/>
              <w:left w:val="nil"/>
              <w:bottom w:val="single" w:color="000000" w:sz="8" w:space="0"/>
              <w:right w:val="nil"/>
            </w:tcBorders>
            <w:shd w:val="clear" w:color="auto" w:fill="auto"/>
            <w:noWrap/>
            <w:vAlign w:val="center"/>
          </w:tcPr>
          <w:p w14:paraId="57FC6D40">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667FF3F">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6B9BBA96">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7C6BC03B">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2B4D986E">
            <w:pPr>
              <w:spacing w:line="240" w:lineRule="auto"/>
              <w:rPr>
                <w:rFonts w:hint="eastAsia"/>
                <w:sz w:val="18"/>
                <w:szCs w:val="18"/>
                <w:lang w:val="en-US" w:eastAsia="zh-CN"/>
              </w:rPr>
            </w:pPr>
            <w:r>
              <w:rPr>
                <w:rFonts w:hint="eastAsia"/>
                <w:sz w:val="18"/>
                <w:szCs w:val="18"/>
                <w:lang w:val="en-US" w:eastAsia="zh-CN"/>
              </w:rPr>
              <w:t>None</w:t>
            </w:r>
          </w:p>
        </w:tc>
      </w:tr>
      <w:tr w14:paraId="37C93B26">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3B61073">
            <w:pPr>
              <w:spacing w:line="240" w:lineRule="auto"/>
              <w:rPr>
                <w:rFonts w:hint="eastAsia"/>
                <w:sz w:val="18"/>
                <w:szCs w:val="18"/>
                <w:lang w:val="en-US" w:eastAsia="zh-CN"/>
              </w:rPr>
            </w:pPr>
            <w:r>
              <w:rPr>
                <w:rFonts w:hint="eastAsia"/>
                <w:sz w:val="18"/>
                <w:szCs w:val="18"/>
                <w:lang w:val="en-US" w:eastAsia="zh-CN"/>
              </w:rPr>
              <w:t>Hyperuricemia</w:t>
            </w:r>
          </w:p>
        </w:tc>
        <w:tc>
          <w:tcPr>
            <w:tcW w:w="840" w:type="dxa"/>
            <w:tcBorders>
              <w:top w:val="single" w:color="000000" w:sz="8" w:space="0"/>
              <w:left w:val="nil"/>
              <w:bottom w:val="single" w:color="000000" w:sz="8" w:space="0"/>
              <w:right w:val="nil"/>
            </w:tcBorders>
            <w:shd w:val="clear" w:color="auto" w:fill="auto"/>
            <w:noWrap/>
            <w:vAlign w:val="center"/>
          </w:tcPr>
          <w:p w14:paraId="11D0E1CA">
            <w:pPr>
              <w:spacing w:line="240" w:lineRule="auto"/>
              <w:rPr>
                <w:rFonts w:hint="eastAsia"/>
                <w:sz w:val="18"/>
                <w:szCs w:val="18"/>
                <w:lang w:val="en-US" w:eastAsia="zh-CN"/>
              </w:rPr>
            </w:pPr>
            <w:r>
              <w:rPr>
                <w:rFonts w:hint="eastAsia"/>
                <w:sz w:val="18"/>
                <w:szCs w:val="18"/>
                <w:lang w:val="en-US" w:eastAsia="zh-CN"/>
              </w:rPr>
              <w:t>Jing J, et al., 2024</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&lt;EndNote&gt;&lt;Cite&gt;&lt;Author&gt;JING Jianying&lt;/Author&gt;&lt;Year&gt;2024&lt;/Year&gt;&lt;RecNum&gt;532&lt;/RecNum&gt;&lt;DisplayText&gt;(36)&lt;/DisplayText&gt;&lt;record&gt;&lt;rec-number&gt;532&lt;/rec-number&gt;&lt;foreign-keys&gt;&lt;key app="EN" db-id="earspdaa1vazprerafqvx9tx5pvfaxf9awz0" timestamp="1775309810"&gt;532&lt;/key&gt;&lt;/foreign-keys&gt;&lt;ref-type name="期刊文献"&gt;17&lt;/ref-type&gt;&lt;contributors&gt;&lt;authors&gt;&lt;author&gt;JING Jianying, XIAO Ningting, GUO Xuemei, JING Xueming, XIE Rong, HE Yonglong&lt;/author&gt;&lt;/authors&gt;&lt;/contributors&gt;&lt;titles&gt;&lt;title&gt;Prediction and evaluation of nomogram model on risk of hyperuricemia in overweight and obese children and adolescents&lt;/title&gt;&lt;secondary-title&gt;Chongqing Medical Journal&lt;/secondary-title&gt;&lt;/titles&gt;&lt;periodical&gt;&lt;full-title&gt;Chongqing Medical Journal&lt;/full-title&gt;&lt;/periodical&gt;&lt;pages&gt;220-225&lt;/pages&gt;&lt;volume&gt;53&lt;/volume&gt;&lt;number&gt;2&lt;/number&gt;&lt;section&gt;220&lt;/section&gt;&lt;dates&gt;&lt;year&gt;2024&lt;/year&gt;&lt;/dates&gt;&lt;urls&gt;&lt;/urls&gt;&lt;electronic-resource-num&gt;DOI: 10.3969/j.issn.1671-8348.2024.02.012&lt;/electronic-resource-num&gt;&lt;/record&gt;&lt;/Cite&gt;&lt;/EndNote&gt;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(36)</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5186DED">
            <w:pPr>
              <w:spacing w:line="240" w:lineRule="auto"/>
              <w:rPr>
                <w:rFonts w:hint="eastAsia"/>
                <w:sz w:val="18"/>
                <w:szCs w:val="18"/>
                <w:lang w:val="en-US" w:eastAsia="zh-CN"/>
              </w:rPr>
            </w:pPr>
            <w:r>
              <w:rPr>
                <w:rFonts w:hint="eastAsia"/>
                <w:sz w:val="18"/>
                <w:szCs w:val="18"/>
                <w:lang w:val="en-US" w:eastAsia="zh-CN"/>
              </w:rPr>
              <w:t>9</w:t>
            </w:r>
          </w:p>
        </w:tc>
        <w:tc>
          <w:tcPr>
            <w:tcW w:w="1012" w:type="dxa"/>
            <w:tcBorders>
              <w:top w:val="single" w:color="000000" w:sz="8" w:space="0"/>
              <w:left w:val="nil"/>
              <w:bottom w:val="single" w:color="000000" w:sz="8" w:space="0"/>
              <w:right w:val="nil"/>
            </w:tcBorders>
            <w:shd w:val="clear" w:color="auto" w:fill="auto"/>
            <w:noWrap/>
            <w:vAlign w:val="center"/>
          </w:tcPr>
          <w:p w14:paraId="3BF838FF">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A1DD49A">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4994886E">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1A490D77">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6CCEA6D1">
            <w:pPr>
              <w:spacing w:line="240" w:lineRule="auto"/>
              <w:rPr>
                <w:rFonts w:hint="eastAsia"/>
                <w:sz w:val="18"/>
                <w:szCs w:val="18"/>
                <w:lang w:val="en-US" w:eastAsia="zh-CN"/>
              </w:rPr>
            </w:pPr>
            <w:r>
              <w:rPr>
                <w:rFonts w:hint="eastAsia"/>
                <w:sz w:val="18"/>
                <w:szCs w:val="18"/>
                <w:lang w:val="en-US" w:eastAsia="zh-CN"/>
              </w:rPr>
              <w:t>Age, Sex, TG, Ca, Serum Cr</w:t>
            </w:r>
          </w:p>
        </w:tc>
        <w:tc>
          <w:tcPr>
            <w:tcW w:w="1263" w:type="dxa"/>
            <w:tcBorders>
              <w:top w:val="single" w:color="000000" w:sz="8" w:space="0"/>
              <w:left w:val="nil"/>
              <w:bottom w:val="single" w:color="000000" w:sz="8" w:space="0"/>
              <w:right w:val="nil"/>
            </w:tcBorders>
            <w:shd w:val="clear" w:color="auto" w:fill="auto"/>
            <w:noWrap/>
            <w:vAlign w:val="center"/>
          </w:tcPr>
          <w:p w14:paraId="6877688D">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6C1E95F6">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6F311C04">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197C3AC6">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1386B1D6">
            <w:pPr>
              <w:spacing w:line="240" w:lineRule="auto"/>
              <w:rPr>
                <w:rFonts w:hint="eastAsia"/>
                <w:sz w:val="18"/>
                <w:szCs w:val="18"/>
                <w:lang w:val="en-US" w:eastAsia="zh-CN"/>
              </w:rPr>
            </w:pPr>
            <w:r>
              <w:rPr>
                <w:rFonts w:hint="eastAsia"/>
                <w:sz w:val="18"/>
                <w:szCs w:val="18"/>
                <w:lang w:val="en-US" w:eastAsia="zh-CN"/>
              </w:rPr>
              <w:t>None</w:t>
            </w:r>
          </w:p>
        </w:tc>
      </w:tr>
      <w:tr w14:paraId="1D344F50">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DA0CE5D">
            <w:pPr>
              <w:spacing w:line="240" w:lineRule="auto"/>
              <w:rPr>
                <w:rFonts w:hint="eastAsia"/>
                <w:sz w:val="18"/>
                <w:szCs w:val="18"/>
                <w:lang w:val="en-US" w:eastAsia="zh-CN"/>
              </w:rPr>
            </w:pPr>
            <w:r>
              <w:rPr>
                <w:rFonts w:hint="eastAsia"/>
                <w:sz w:val="18"/>
                <w:szCs w:val="18"/>
                <w:lang w:val="en-US" w:eastAsia="zh-CN"/>
              </w:rPr>
              <w:t>New-onset CKD</w:t>
            </w:r>
          </w:p>
        </w:tc>
        <w:tc>
          <w:tcPr>
            <w:tcW w:w="840" w:type="dxa"/>
            <w:tcBorders>
              <w:top w:val="single" w:color="000000" w:sz="8" w:space="0"/>
              <w:left w:val="nil"/>
              <w:bottom w:val="single" w:color="000000" w:sz="8" w:space="0"/>
              <w:right w:val="nil"/>
            </w:tcBorders>
            <w:shd w:val="clear" w:color="auto" w:fill="auto"/>
            <w:noWrap/>
            <w:vAlign w:val="center"/>
          </w:tcPr>
          <w:p w14:paraId="4C7576CB">
            <w:pPr>
              <w:spacing w:line="240" w:lineRule="auto"/>
              <w:rPr>
                <w:rFonts w:hint="eastAsia"/>
                <w:sz w:val="18"/>
                <w:szCs w:val="18"/>
                <w:lang w:val="en-US" w:eastAsia="zh-CN"/>
              </w:rPr>
            </w:pPr>
            <w:r>
              <w:rPr>
                <w:rFonts w:hint="eastAsia"/>
                <w:sz w:val="18"/>
                <w:szCs w:val="18"/>
                <w:lang w:val="en-US" w:eastAsia="zh-CN"/>
              </w:rPr>
              <w:t>Zhang H, et al., 2024</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PEVuZE5vdGU+PENpdGU+PEF1dGhvcj5aaGFuZzwvQXV0aG9yPjxZZWFyPjIwMjQ8L1llYXI+PFJl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(37)</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3A2ACFB1">
            <w:pPr>
              <w:spacing w:line="240" w:lineRule="auto"/>
              <w:rPr>
                <w:rFonts w:hint="eastAsia"/>
                <w:sz w:val="18"/>
                <w:szCs w:val="18"/>
                <w:lang w:val="en-US" w:eastAsia="zh-CN"/>
              </w:rPr>
            </w:pPr>
            <w:r>
              <w:rPr>
                <w:rFonts w:hint="eastAsia"/>
                <w:sz w:val="18"/>
                <w:szCs w:val="18"/>
                <w:lang w:val="en-US" w:eastAsia="zh-CN"/>
              </w:rPr>
              <w:t>10</w:t>
            </w:r>
          </w:p>
        </w:tc>
        <w:tc>
          <w:tcPr>
            <w:tcW w:w="1012" w:type="dxa"/>
            <w:tcBorders>
              <w:top w:val="single" w:color="000000" w:sz="8" w:space="0"/>
              <w:left w:val="nil"/>
              <w:bottom w:val="single" w:color="000000" w:sz="8" w:space="0"/>
              <w:right w:val="nil"/>
            </w:tcBorders>
            <w:shd w:val="clear" w:color="auto" w:fill="auto"/>
            <w:noWrap/>
            <w:vAlign w:val="center"/>
          </w:tcPr>
          <w:p w14:paraId="51BB3EDA">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0DE2337C">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69F1846E">
            <w:pPr>
              <w:spacing w:line="240" w:lineRule="auto"/>
              <w:rPr>
                <w:rFonts w:hint="eastAsia"/>
                <w:sz w:val="18"/>
                <w:szCs w:val="18"/>
                <w:lang w:val="en-US" w:eastAsia="zh-CN"/>
              </w:rPr>
            </w:pPr>
            <w:r>
              <w:rPr>
                <w:rFonts w:hint="eastAsia"/>
                <w:sz w:val="18"/>
                <w:szCs w:val="18"/>
                <w:lang w:val="en-US" w:eastAsia="zh-CN"/>
              </w:rPr>
              <w:t>LASSO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47C0886F">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6CD12283">
            <w:pPr>
              <w:spacing w:line="240" w:lineRule="auto"/>
              <w:rPr>
                <w:rFonts w:hint="eastAsia"/>
                <w:sz w:val="18"/>
                <w:szCs w:val="18"/>
                <w:lang w:val="en-US" w:eastAsia="zh-CN"/>
              </w:rPr>
            </w:pPr>
            <w:r>
              <w:rPr>
                <w:rFonts w:hint="eastAsia"/>
                <w:sz w:val="18"/>
                <w:szCs w:val="18"/>
                <w:lang w:val="en-US" w:eastAsia="zh-CN"/>
              </w:rPr>
              <w:t>Age, Sex, BMI, HTN, FBG, HbA1c, TG</w:t>
            </w:r>
          </w:p>
        </w:tc>
        <w:tc>
          <w:tcPr>
            <w:tcW w:w="1263" w:type="dxa"/>
            <w:tcBorders>
              <w:top w:val="single" w:color="000000" w:sz="8" w:space="0"/>
              <w:left w:val="nil"/>
              <w:bottom w:val="single" w:color="000000" w:sz="8" w:space="0"/>
              <w:right w:val="nil"/>
            </w:tcBorders>
            <w:shd w:val="clear" w:color="auto" w:fill="auto"/>
            <w:noWrap/>
            <w:vAlign w:val="center"/>
          </w:tcPr>
          <w:p w14:paraId="1CE0088E">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00DB968D">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57C384C8">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61D9FFDF">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62413745">
            <w:pPr>
              <w:spacing w:line="240" w:lineRule="auto"/>
              <w:rPr>
                <w:rFonts w:hint="eastAsia"/>
                <w:sz w:val="18"/>
                <w:szCs w:val="18"/>
                <w:lang w:val="en-US" w:eastAsia="zh-CN"/>
              </w:rPr>
            </w:pPr>
            <w:r>
              <w:rPr>
                <w:rFonts w:hint="eastAsia"/>
                <w:sz w:val="18"/>
                <w:szCs w:val="18"/>
                <w:lang w:val="en-US" w:eastAsia="zh-CN"/>
              </w:rPr>
              <w:t>None</w:t>
            </w:r>
          </w:p>
        </w:tc>
      </w:tr>
      <w:tr w14:paraId="0205F3F9">
        <w:trPr>
          <w:trHeight w:val="351" w:hRule="atLeast"/>
        </w:trPr>
        <w:tc>
          <w:tcPr>
            <w:tcW w:w="13679" w:type="dxa"/>
            <w:gridSpan w:val="13"/>
            <w:tcBorders>
              <w:top w:val="single" w:color="000000" w:sz="8" w:space="0"/>
              <w:left w:val="nil"/>
              <w:bottom w:val="single" w:color="000000" w:sz="8" w:space="0"/>
              <w:right w:val="nil"/>
            </w:tcBorders>
            <w:shd w:val="clear" w:color="auto" w:fill="DBE3F4" w:themeFill="accent1" w:themeFillTint="32"/>
            <w:noWrap/>
            <w:vAlign w:val="center"/>
          </w:tcPr>
          <w:p w14:paraId="42222B74">
            <w:pPr>
              <w:spacing w:line="240" w:lineRule="auto"/>
              <w:rPr>
                <w:rFonts w:hint="default" w:ascii="Times New Roman Bold" w:hAnsi="Times New Roman Bold" w:cs="Times New Roman Bold"/>
                <w:b/>
                <w:bCs/>
                <w:sz w:val="18"/>
                <w:szCs w:val="18"/>
                <w:lang w:val="en-US" w:eastAsia="zh-CN"/>
              </w:rPr>
            </w:pPr>
            <w:r>
              <w:rPr>
                <w:rFonts w:hint="default" w:ascii="Times New Roman Bold" w:hAnsi="Times New Roman Bold" w:cs="Times New Roman Bold"/>
                <w:b/>
                <w:bCs/>
                <w:sz w:val="18"/>
                <w:szCs w:val="18"/>
                <w:lang w:val="en-US" w:eastAsia="zh-CN"/>
              </w:rPr>
              <w:t>Cross-sectional Study</w:t>
            </w:r>
          </w:p>
        </w:tc>
      </w:tr>
      <w:tr w14:paraId="19044B8F">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023421A">
            <w:pPr>
              <w:spacing w:line="240" w:lineRule="auto"/>
              <w:rPr>
                <w:rFonts w:hint="eastAsia"/>
                <w:sz w:val="18"/>
                <w:szCs w:val="18"/>
                <w:lang w:val="en-US" w:eastAsia="zh-CN"/>
              </w:rPr>
            </w:pPr>
            <w:r>
              <w:rPr>
                <w:rFonts w:hint="eastAsia"/>
                <w:sz w:val="18"/>
                <w:szCs w:val="18"/>
                <w:lang w:val="en-US" w:eastAsia="zh-CN"/>
              </w:rPr>
              <w:t>Hypertension</w:t>
            </w:r>
          </w:p>
        </w:tc>
        <w:tc>
          <w:tcPr>
            <w:tcW w:w="840" w:type="dxa"/>
            <w:tcBorders>
              <w:top w:val="single" w:color="000000" w:sz="8" w:space="0"/>
              <w:left w:val="nil"/>
              <w:bottom w:val="single" w:color="000000" w:sz="8" w:space="0"/>
              <w:right w:val="nil"/>
            </w:tcBorders>
            <w:shd w:val="clear" w:color="auto" w:fill="auto"/>
            <w:noWrap/>
            <w:vAlign w:val="center"/>
          </w:tcPr>
          <w:p w14:paraId="3532F6E7">
            <w:pPr>
              <w:spacing w:line="240" w:lineRule="auto"/>
              <w:rPr>
                <w:rFonts w:hint="eastAsia"/>
                <w:sz w:val="18"/>
                <w:szCs w:val="18"/>
                <w:lang w:val="en-US" w:eastAsia="zh-CN"/>
              </w:rPr>
            </w:pPr>
            <w:r>
              <w:rPr>
                <w:rFonts w:hint="eastAsia"/>
                <w:sz w:val="18"/>
                <w:szCs w:val="18"/>
                <w:lang w:val="en-US" w:eastAsia="zh-CN"/>
              </w:rPr>
              <w:t>Yang X, et al., 2025</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&lt;EndNote&gt;&lt;Cite&gt;&lt;Author&gt;YANG Xiulin&lt;/Author&gt;&lt;Year&gt;2025&lt;/Year&gt;&lt;RecNum&gt;530&lt;/RecNum&gt;&lt;DisplayText&gt;(38)&lt;/DisplayText&gt;&lt;record&gt;&lt;rec-number&gt;530&lt;/rec-number&gt;&lt;foreign-keys&gt;&lt;key app="EN" db-id="earspdaa1vazprerafqvx9tx5pvfaxf9awz0" timestamp="1775309523"&gt;530&lt;/key&gt;&lt;/foreign-keys&gt;&lt;ref-type name="期刊文献"&gt;17&lt;/ref-type&gt;&lt;contributors&gt;&lt;authors&gt;&lt;author&gt;YANG Xiulin, CHENG Peng, MA Bin, MA Weihong, HAI Xiangjun&lt;/author&gt;&lt;/authors&gt;&lt;/contributors&gt;&lt;titles&gt;&lt;title&gt;Construction and evaluation of a nomogram model for predicting the risk of hypertension in Dongxiang adults based on obesity and muscle mass indices&lt;/title&gt;&lt;secondary-title&gt;Acta Anatomica Sinica&lt;/secondary-title&gt;&lt;/titles&gt;&lt;periodical&gt;&lt;full-title&gt;Acta Anatomica Sinica&lt;/full-title&gt;&lt;/periodical&gt;&lt;pages&gt;336-341&lt;/pages&gt;&lt;volume&gt;56&lt;/volume&gt;&lt;number&gt;3&lt;/number&gt;&lt;section&gt;336&lt;/section&gt;&lt;dates&gt;&lt;year&gt;2025&lt;/year&gt;&lt;/dates&gt;&lt;urls&gt;&lt;/urls&gt;&lt;electronic-resource-num&gt;DOI: 10.16098/j.issn.0529-1356.2025.03.012&lt;/electronic-resource-num&gt;&lt;/record&gt;&lt;/Cite&gt;&lt;/EndNote&gt;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(38)</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3517DFBD">
            <w:pPr>
              <w:spacing w:line="240" w:lineRule="auto"/>
              <w:rPr>
                <w:rFonts w:hint="eastAsia"/>
                <w:sz w:val="18"/>
                <w:szCs w:val="18"/>
                <w:lang w:val="en-US" w:eastAsia="zh-CN"/>
              </w:rPr>
            </w:pPr>
            <w:r>
              <w:rPr>
                <w:rFonts w:hint="eastAsia"/>
                <w:sz w:val="18"/>
                <w:szCs w:val="18"/>
                <w:lang w:val="en-US" w:eastAsia="zh-CN"/>
              </w:rPr>
              <w:t>11</w:t>
            </w:r>
          </w:p>
        </w:tc>
        <w:tc>
          <w:tcPr>
            <w:tcW w:w="1012" w:type="dxa"/>
            <w:tcBorders>
              <w:top w:val="single" w:color="000000" w:sz="8" w:space="0"/>
              <w:left w:val="nil"/>
              <w:bottom w:val="single" w:color="000000" w:sz="8" w:space="0"/>
              <w:right w:val="nil"/>
            </w:tcBorders>
            <w:shd w:val="clear" w:color="auto" w:fill="auto"/>
            <w:noWrap/>
            <w:vAlign w:val="center"/>
          </w:tcPr>
          <w:p w14:paraId="4F4CBBA1">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3DC3828A">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7D3AD01F">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4412B338">
            <w:pPr>
              <w:spacing w:line="240" w:lineRule="auto"/>
              <w:rPr>
                <w:rFonts w:hint="eastAsia"/>
                <w:sz w:val="18"/>
                <w:szCs w:val="18"/>
                <w:lang w:val="en-US" w:eastAsia="zh-CN"/>
              </w:rPr>
            </w:pPr>
            <w:r>
              <w:rPr>
                <w:rFonts w:hint="eastAsia"/>
                <w:sz w:val="18"/>
                <w:szCs w:val="18"/>
                <w:lang w:val="en-US" w:eastAsia="zh-CN"/>
              </w:rPr>
              <w:t>9</w:t>
            </w:r>
          </w:p>
        </w:tc>
        <w:tc>
          <w:tcPr>
            <w:tcW w:w="1614" w:type="dxa"/>
            <w:tcBorders>
              <w:top w:val="single" w:color="000000" w:sz="8" w:space="0"/>
              <w:left w:val="nil"/>
              <w:bottom w:val="single" w:color="000000" w:sz="8" w:space="0"/>
              <w:right w:val="nil"/>
            </w:tcBorders>
            <w:shd w:val="clear" w:color="auto" w:fill="auto"/>
            <w:noWrap/>
            <w:vAlign w:val="center"/>
          </w:tcPr>
          <w:p w14:paraId="009D1152">
            <w:pPr>
              <w:spacing w:line="240" w:lineRule="auto"/>
              <w:rPr>
                <w:rFonts w:hint="eastAsia"/>
                <w:sz w:val="18"/>
                <w:szCs w:val="18"/>
                <w:lang w:val="en-US" w:eastAsia="zh-CN"/>
              </w:rPr>
            </w:pPr>
            <w:r>
              <w:rPr>
                <w:rFonts w:hint="eastAsia"/>
                <w:sz w:val="18"/>
                <w:szCs w:val="18"/>
                <w:lang w:val="en-US" w:eastAsia="zh-CN"/>
              </w:rPr>
              <w:t>Age, NC, PI, WHR, AVI, BAI, ASMI, LFWR, TMWR</w:t>
            </w:r>
          </w:p>
        </w:tc>
        <w:tc>
          <w:tcPr>
            <w:tcW w:w="1263" w:type="dxa"/>
            <w:tcBorders>
              <w:top w:val="single" w:color="000000" w:sz="8" w:space="0"/>
              <w:left w:val="nil"/>
              <w:bottom w:val="single" w:color="000000" w:sz="8" w:space="0"/>
              <w:right w:val="nil"/>
            </w:tcBorders>
            <w:shd w:val="clear" w:color="auto" w:fill="auto"/>
            <w:noWrap/>
            <w:vAlign w:val="center"/>
          </w:tcPr>
          <w:p w14:paraId="4500BC6B">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1E866B8E">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17836F4C">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7583D3E2">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49EBA318">
            <w:pPr>
              <w:spacing w:line="240" w:lineRule="auto"/>
              <w:rPr>
                <w:rFonts w:hint="eastAsia"/>
                <w:sz w:val="18"/>
                <w:szCs w:val="18"/>
                <w:lang w:val="en-US" w:eastAsia="zh-CN"/>
              </w:rPr>
            </w:pPr>
            <w:r>
              <w:rPr>
                <w:rFonts w:hint="eastAsia"/>
                <w:sz w:val="18"/>
                <w:szCs w:val="18"/>
                <w:lang w:val="en-US" w:eastAsia="zh-CN"/>
              </w:rPr>
              <w:t>None</w:t>
            </w:r>
          </w:p>
        </w:tc>
      </w:tr>
      <w:tr w14:paraId="194B543D">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328AB86">
            <w:pPr>
              <w:spacing w:line="240" w:lineRule="auto"/>
              <w:rPr>
                <w:rFonts w:hint="eastAsia"/>
                <w:sz w:val="18"/>
                <w:szCs w:val="18"/>
                <w:lang w:val="en-US" w:eastAsia="zh-CN"/>
              </w:rPr>
            </w:pPr>
            <w:r>
              <w:rPr>
                <w:rFonts w:hint="eastAsia"/>
                <w:sz w:val="18"/>
                <w:szCs w:val="18"/>
                <w:lang w:val="en-US" w:eastAsia="zh-CN"/>
              </w:rPr>
              <w:t>Dyslipidemia</w:t>
            </w:r>
          </w:p>
        </w:tc>
        <w:tc>
          <w:tcPr>
            <w:tcW w:w="840" w:type="dxa"/>
            <w:tcBorders>
              <w:top w:val="single" w:color="000000" w:sz="8" w:space="0"/>
              <w:left w:val="nil"/>
              <w:bottom w:val="single" w:color="000000" w:sz="8" w:space="0"/>
              <w:right w:val="nil"/>
            </w:tcBorders>
            <w:shd w:val="clear" w:color="auto" w:fill="auto"/>
            <w:noWrap/>
            <w:vAlign w:val="center"/>
          </w:tcPr>
          <w:p w14:paraId="0822644D">
            <w:pPr>
              <w:spacing w:line="240" w:lineRule="auto"/>
              <w:rPr>
                <w:rFonts w:hint="eastAsia"/>
                <w:sz w:val="18"/>
                <w:szCs w:val="18"/>
                <w:lang w:val="en-US" w:eastAsia="zh-CN"/>
              </w:rPr>
            </w:pPr>
            <w:r>
              <w:rPr>
                <w:rFonts w:hint="eastAsia"/>
                <w:sz w:val="18"/>
                <w:szCs w:val="18"/>
                <w:lang w:val="en-US" w:eastAsia="zh-CN"/>
              </w:rPr>
              <w:t>Liao J, et al., 2023</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&lt;EndNote&gt;&lt;Cite&gt;&lt;Author&gt;LIAO Jing&lt;/Author&gt;&lt;Year&gt;2023&lt;/Year&gt;&lt;RecNum&gt;534&lt;/RecNum&gt;&lt;DisplayText&gt;(39)&lt;/DisplayText&gt;&lt;record&gt;&lt;rec-number&gt;534&lt;/rec-number&gt;&lt;foreign-keys&gt;&lt;key app="EN" db-id="earspdaa1vazprerafqvx9tx5pvfaxf9awz0" timestamp="1775310079"&gt;534&lt;/key&gt;&lt;/foreign-keys&gt;&lt;ref-type name="期刊文献"&gt;17&lt;/ref-type&gt;&lt;contributors&gt;&lt;authors&gt;&lt;author&gt;LIAO Jing, ZHU Lin&lt;/author&gt;&lt;/authors&gt;&lt;/contributors&gt;&lt;titles&gt;&lt;title&gt;Nomograph model for predicting the risk of dyslipidemia with anthropometric indices in obese adolescents aged 13-16 years&lt;/title&gt;&lt;secondary-title&gt;Chinese Journal of Child Health Care&lt;/secondary-title&gt;&lt;/titles&gt;&lt;periodical&gt;&lt;full-title&gt;Chinese Journal of Child Health Care&lt;/full-title&gt;&lt;/periodical&gt;&lt;pages&gt;379-384&lt;/pages&gt;&lt;volume&gt;31&lt;/volume&gt;&lt;number&gt;4&lt;/number&gt;&lt;section&gt;379&lt;/section&gt;&lt;dates&gt;&lt;year&gt;2023&lt;/year&gt;&lt;/dates&gt;&lt;urls&gt;&lt;/urls&gt;&lt;electronic-resource-num&gt;DOI: 10.11852/zgetbjzz2022-1080&lt;/electronic-resource-num&gt;&lt;/record&gt;&lt;/Cite&gt;&lt;/EndNote&gt;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A19820F">
            <w:pPr>
              <w:spacing w:line="240" w:lineRule="auto"/>
              <w:rPr>
                <w:rFonts w:hint="eastAsia"/>
                <w:sz w:val="18"/>
                <w:szCs w:val="18"/>
                <w:lang w:val="en-US" w:eastAsia="zh-CN"/>
              </w:rPr>
            </w:pPr>
            <w:r>
              <w:rPr>
                <w:rFonts w:hint="eastAsia"/>
                <w:sz w:val="18"/>
                <w:szCs w:val="18"/>
                <w:lang w:val="en-US" w:eastAsia="zh-CN"/>
              </w:rPr>
              <w:t>12A</w:t>
            </w:r>
          </w:p>
        </w:tc>
        <w:tc>
          <w:tcPr>
            <w:tcW w:w="1012" w:type="dxa"/>
            <w:tcBorders>
              <w:top w:val="single" w:color="000000" w:sz="8" w:space="0"/>
              <w:left w:val="nil"/>
              <w:bottom w:val="single" w:color="000000" w:sz="8" w:space="0"/>
              <w:right w:val="nil"/>
            </w:tcBorders>
            <w:shd w:val="clear" w:color="auto" w:fill="auto"/>
            <w:noWrap/>
            <w:vAlign w:val="center"/>
          </w:tcPr>
          <w:p w14:paraId="5A2A2717">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6B0E8930">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5448F5A">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2F84F0A7">
            <w:pPr>
              <w:spacing w:line="240" w:lineRule="auto"/>
              <w:rPr>
                <w:rFonts w:hint="eastAsia"/>
                <w:sz w:val="18"/>
                <w:szCs w:val="18"/>
                <w:lang w:val="en-US" w:eastAsia="zh-CN"/>
              </w:rPr>
            </w:pPr>
            <w:r>
              <w:rPr>
                <w:rFonts w:hint="eastAsia"/>
                <w:sz w:val="18"/>
                <w:szCs w:val="18"/>
                <w:lang w:val="en-US" w:eastAsia="zh-CN"/>
              </w:rPr>
              <w:t>3</w:t>
            </w:r>
          </w:p>
        </w:tc>
        <w:tc>
          <w:tcPr>
            <w:tcW w:w="1614" w:type="dxa"/>
            <w:tcBorders>
              <w:top w:val="single" w:color="000000" w:sz="8" w:space="0"/>
              <w:left w:val="nil"/>
              <w:bottom w:val="single" w:color="000000" w:sz="8" w:space="0"/>
              <w:right w:val="nil"/>
            </w:tcBorders>
            <w:shd w:val="clear" w:color="auto" w:fill="auto"/>
            <w:noWrap/>
            <w:vAlign w:val="center"/>
          </w:tcPr>
          <w:p w14:paraId="3B27FB18">
            <w:pPr>
              <w:spacing w:line="240" w:lineRule="auto"/>
              <w:rPr>
                <w:rFonts w:hint="eastAsia"/>
                <w:sz w:val="18"/>
                <w:szCs w:val="18"/>
                <w:lang w:val="en-US" w:eastAsia="zh-CN"/>
              </w:rPr>
            </w:pPr>
            <w:r>
              <w:rPr>
                <w:rFonts w:hint="eastAsia"/>
                <w:sz w:val="18"/>
                <w:szCs w:val="18"/>
                <w:lang w:val="en-US" w:eastAsia="zh-CN"/>
              </w:rPr>
              <w:t>Chest circumference, Thigh circumference, ABSI</w:t>
            </w:r>
          </w:p>
        </w:tc>
        <w:tc>
          <w:tcPr>
            <w:tcW w:w="1263" w:type="dxa"/>
            <w:tcBorders>
              <w:top w:val="single" w:color="000000" w:sz="8" w:space="0"/>
              <w:left w:val="nil"/>
              <w:bottom w:val="single" w:color="000000" w:sz="8" w:space="0"/>
              <w:right w:val="nil"/>
            </w:tcBorders>
            <w:shd w:val="clear" w:color="auto" w:fill="auto"/>
            <w:noWrap/>
            <w:vAlign w:val="center"/>
          </w:tcPr>
          <w:p w14:paraId="086A8C34">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16A52A45">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6D93828D">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4E3707B4">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441121EE">
            <w:pPr>
              <w:spacing w:line="240" w:lineRule="auto"/>
              <w:rPr>
                <w:rFonts w:hint="eastAsia"/>
                <w:sz w:val="18"/>
                <w:szCs w:val="18"/>
                <w:lang w:val="en-US" w:eastAsia="zh-CN"/>
              </w:rPr>
            </w:pPr>
            <w:r>
              <w:rPr>
                <w:rFonts w:hint="eastAsia"/>
                <w:sz w:val="18"/>
                <w:szCs w:val="18"/>
                <w:lang w:val="en-US" w:eastAsia="zh-CN"/>
              </w:rPr>
              <w:t>None</w:t>
            </w:r>
          </w:p>
        </w:tc>
      </w:tr>
      <w:tr w14:paraId="31B6EE8C">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6BC4998E">
            <w:pPr>
              <w:spacing w:line="240" w:lineRule="auto"/>
              <w:rPr>
                <w:rFonts w:hint="eastAsia"/>
                <w:sz w:val="18"/>
                <w:szCs w:val="18"/>
                <w:lang w:val="en-US" w:eastAsia="zh-CN"/>
              </w:rPr>
            </w:pPr>
            <w:r>
              <w:rPr>
                <w:rFonts w:hint="eastAsia"/>
                <w:sz w:val="18"/>
                <w:szCs w:val="18"/>
                <w:lang w:val="en-US" w:eastAsia="zh-CN"/>
              </w:rPr>
              <w:t>Dyslipidemia</w:t>
            </w:r>
          </w:p>
        </w:tc>
        <w:tc>
          <w:tcPr>
            <w:tcW w:w="840" w:type="dxa"/>
            <w:tcBorders>
              <w:top w:val="single" w:color="000000" w:sz="8" w:space="0"/>
              <w:left w:val="nil"/>
              <w:bottom w:val="single" w:color="000000" w:sz="8" w:space="0"/>
              <w:right w:val="nil"/>
            </w:tcBorders>
            <w:shd w:val="clear" w:color="auto" w:fill="auto"/>
            <w:noWrap/>
            <w:vAlign w:val="center"/>
          </w:tcPr>
          <w:p w14:paraId="471A6E4A">
            <w:pPr>
              <w:spacing w:line="240" w:lineRule="auto"/>
              <w:rPr>
                <w:rFonts w:hint="eastAsia"/>
                <w:sz w:val="18"/>
                <w:szCs w:val="18"/>
                <w:lang w:val="en-US" w:eastAsia="zh-CN"/>
              </w:rPr>
            </w:pPr>
            <w:r>
              <w:rPr>
                <w:rFonts w:hint="eastAsia"/>
                <w:sz w:val="18"/>
                <w:szCs w:val="18"/>
                <w:lang w:val="en-US" w:eastAsia="zh-CN"/>
              </w:rPr>
              <w:t>Liao J, et al., 2023</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&lt;EndNote&gt;&lt;Cite&gt;&lt;Author&gt;LIAO Jing&lt;/Author&gt;&lt;Year&gt;2023&lt;/Year&gt;&lt;RecNum&gt;534&lt;/RecNum&gt;&lt;DisplayText&gt;(39)&lt;/DisplayText&gt;&lt;record&gt;&lt;rec-number&gt;534&lt;/rec-number&gt;&lt;foreign-keys&gt;&lt;key app="EN" db-id="earspdaa1vazprerafqvx9tx5pvfaxf9awz0" timestamp="1775310079"&gt;534&lt;/key&gt;&lt;/foreign-keys&gt;&lt;ref-type name="期刊文献"&gt;17&lt;/ref-type&gt;&lt;contributors&gt;&lt;authors&gt;&lt;author&gt;LIAO Jing, ZHU Lin&lt;/author&gt;&lt;/authors&gt;&lt;/contributors&gt;&lt;titles&gt;&lt;title&gt;Nomograph model for predicting the risk of dyslipidemia with anthropometric indices in obese adolescents aged 13-16 years&lt;/title&gt;&lt;secondary-title&gt;Chinese Journal of Child Health Care&lt;/secondary-title&gt;&lt;/titles&gt;&lt;periodical&gt;&lt;full-title&gt;Chinese Journal of Child Health Care&lt;/full-title&gt;&lt;/periodical&gt;&lt;pages&gt;379-384&lt;/pages&gt;&lt;volume&gt;31&lt;/volume&gt;&lt;number&gt;4&lt;/number&gt;&lt;section&gt;379&lt;/section&gt;&lt;dates&gt;&lt;year&gt;2023&lt;/year&gt;&lt;/dates&gt;&lt;urls&gt;&lt;/urls&gt;&lt;electronic-resource-num&gt;DOI: 10.11852/zgetbjzz2022-1080&lt;/electronic-resource-num&gt;&lt;/record&gt;&lt;/Cite&gt;&lt;/EndNote&gt;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(39)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DB0DD1B">
            <w:pPr>
              <w:spacing w:line="240" w:lineRule="auto"/>
              <w:rPr>
                <w:rFonts w:hint="eastAsia"/>
                <w:sz w:val="18"/>
                <w:szCs w:val="18"/>
                <w:lang w:val="en-US" w:eastAsia="zh-CN"/>
              </w:rPr>
            </w:pPr>
            <w:r>
              <w:rPr>
                <w:rFonts w:hint="eastAsia"/>
                <w:sz w:val="18"/>
                <w:szCs w:val="18"/>
                <w:lang w:val="en-US" w:eastAsia="zh-CN"/>
              </w:rPr>
              <w:t>12B</w:t>
            </w:r>
          </w:p>
        </w:tc>
        <w:tc>
          <w:tcPr>
            <w:tcW w:w="1012" w:type="dxa"/>
            <w:tcBorders>
              <w:top w:val="single" w:color="000000" w:sz="8" w:space="0"/>
              <w:left w:val="nil"/>
              <w:bottom w:val="single" w:color="000000" w:sz="8" w:space="0"/>
              <w:right w:val="nil"/>
            </w:tcBorders>
            <w:shd w:val="clear" w:color="auto" w:fill="auto"/>
            <w:noWrap/>
            <w:vAlign w:val="center"/>
          </w:tcPr>
          <w:p w14:paraId="31A57AF0">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85797E5">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40E2179B">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5100A269">
            <w:pPr>
              <w:spacing w:line="240" w:lineRule="auto"/>
              <w:rPr>
                <w:rFonts w:hint="eastAsia"/>
                <w:sz w:val="18"/>
                <w:szCs w:val="18"/>
                <w:lang w:val="en-US" w:eastAsia="zh-CN"/>
              </w:rPr>
            </w:pPr>
            <w:r>
              <w:rPr>
                <w:rFonts w:hint="eastAsia"/>
                <w:sz w:val="18"/>
                <w:szCs w:val="18"/>
                <w:lang w:val="en-US" w:eastAsia="zh-CN"/>
              </w:rPr>
              <w:t>3</w:t>
            </w:r>
          </w:p>
        </w:tc>
        <w:tc>
          <w:tcPr>
            <w:tcW w:w="1614" w:type="dxa"/>
            <w:tcBorders>
              <w:top w:val="single" w:color="000000" w:sz="8" w:space="0"/>
              <w:left w:val="nil"/>
              <w:bottom w:val="single" w:color="000000" w:sz="8" w:space="0"/>
              <w:right w:val="nil"/>
            </w:tcBorders>
            <w:shd w:val="clear" w:color="auto" w:fill="auto"/>
            <w:noWrap/>
            <w:vAlign w:val="center"/>
          </w:tcPr>
          <w:p w14:paraId="7A9847F1">
            <w:pPr>
              <w:spacing w:line="240" w:lineRule="auto"/>
              <w:rPr>
                <w:rFonts w:hint="eastAsia"/>
                <w:sz w:val="18"/>
                <w:szCs w:val="18"/>
                <w:lang w:val="en-US" w:eastAsia="zh-CN"/>
              </w:rPr>
            </w:pPr>
            <w:r>
              <w:rPr>
                <w:rFonts w:hint="eastAsia"/>
                <w:sz w:val="18"/>
                <w:szCs w:val="18"/>
                <w:lang w:val="en-US" w:eastAsia="zh-CN"/>
              </w:rPr>
              <w:t>BMI, TMI, ABSI</w:t>
            </w:r>
          </w:p>
        </w:tc>
        <w:tc>
          <w:tcPr>
            <w:tcW w:w="1263" w:type="dxa"/>
            <w:tcBorders>
              <w:top w:val="single" w:color="000000" w:sz="8" w:space="0"/>
              <w:left w:val="nil"/>
              <w:bottom w:val="single" w:color="000000" w:sz="8" w:space="0"/>
              <w:right w:val="nil"/>
            </w:tcBorders>
            <w:shd w:val="clear" w:color="auto" w:fill="auto"/>
            <w:noWrap/>
            <w:vAlign w:val="center"/>
          </w:tcPr>
          <w:p w14:paraId="4FD1604B">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21FC236">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604CEB36">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38CDEE55">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38CF1FE0">
            <w:pPr>
              <w:spacing w:line="240" w:lineRule="auto"/>
              <w:rPr>
                <w:rFonts w:hint="eastAsia"/>
                <w:sz w:val="18"/>
                <w:szCs w:val="18"/>
                <w:lang w:val="en-US" w:eastAsia="zh-CN"/>
              </w:rPr>
            </w:pPr>
            <w:r>
              <w:rPr>
                <w:rFonts w:hint="eastAsia"/>
                <w:sz w:val="18"/>
                <w:szCs w:val="18"/>
                <w:lang w:val="en-US" w:eastAsia="zh-CN"/>
              </w:rPr>
              <w:t>None</w:t>
            </w:r>
          </w:p>
        </w:tc>
      </w:tr>
      <w:tr w14:paraId="4CCD5BE6">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0674AA96">
            <w:pPr>
              <w:spacing w:line="240" w:lineRule="auto"/>
              <w:rPr>
                <w:rFonts w:hint="eastAsia"/>
                <w:sz w:val="18"/>
                <w:szCs w:val="18"/>
                <w:lang w:val="en-US" w:eastAsia="zh-CN"/>
              </w:rPr>
            </w:pPr>
            <w:r>
              <w:rPr>
                <w:rFonts w:hint="eastAsia"/>
                <w:sz w:val="18"/>
                <w:szCs w:val="18"/>
                <w:lang w:val="en-US" w:eastAsia="zh-CN"/>
              </w:rPr>
              <w:t>NAFLD</w:t>
            </w:r>
          </w:p>
        </w:tc>
        <w:tc>
          <w:tcPr>
            <w:tcW w:w="840" w:type="dxa"/>
            <w:tcBorders>
              <w:top w:val="single" w:color="000000" w:sz="8" w:space="0"/>
              <w:left w:val="nil"/>
              <w:bottom w:val="single" w:color="000000" w:sz="8" w:space="0"/>
              <w:right w:val="nil"/>
            </w:tcBorders>
            <w:shd w:val="clear" w:color="auto" w:fill="auto"/>
            <w:noWrap/>
            <w:vAlign w:val="center"/>
          </w:tcPr>
          <w:p w14:paraId="098337A8">
            <w:pPr>
              <w:spacing w:line="240" w:lineRule="auto"/>
              <w:rPr>
                <w:rFonts w:hint="eastAsia"/>
                <w:sz w:val="18"/>
                <w:szCs w:val="18"/>
                <w:lang w:val="en-US" w:eastAsia="zh-CN"/>
              </w:rPr>
            </w:pPr>
            <w:r>
              <w:rPr>
                <w:rFonts w:hint="eastAsia"/>
                <w:sz w:val="18"/>
                <w:szCs w:val="18"/>
                <w:lang w:val="en-US" w:eastAsia="zh-CN"/>
              </w:rPr>
              <w:t>Zhou Y, et al., 2022</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PEVuZE5vdGU+PENpdGU+PEF1dGhvcj5aaG91PC9BdXRob3I+PFllYXI+MjAyMjwvWWVhcj48UmVj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PGN1c3RvbTI+UE1DOTI1OTk0NjwvY3VzdG9tMj48ZWxlY3Ryb25pYy1yZXNvdXJjZS1udW0+MTAu
MzM4OS9mcHViaC4yMDIyLjg5NTA0NTwvZWxlY3Ryb25pYy1yZXNvdXJjZS1udW0+PHJlbW90ZS1k
YXRhYmFzZS1wcm92aWRlcj5OTE08L3JlbW90ZS1kYXRhYmFzZS1wcm92aWRlcj48bGFuZ3VhZ2U+
ZW5nPC9sYW5ndWFnZT48L3JlY29yZD48L0NpdGU+PC9FbmROb3RlPg==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(40)</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60D7657">
            <w:pPr>
              <w:spacing w:line="240" w:lineRule="auto"/>
              <w:rPr>
                <w:rFonts w:hint="eastAsia"/>
                <w:sz w:val="18"/>
                <w:szCs w:val="18"/>
                <w:lang w:val="en-US" w:eastAsia="zh-CN"/>
              </w:rPr>
            </w:pPr>
            <w:r>
              <w:rPr>
                <w:rFonts w:hint="eastAsia"/>
                <w:sz w:val="18"/>
                <w:szCs w:val="18"/>
                <w:lang w:val="en-US" w:eastAsia="zh-CN"/>
              </w:rPr>
              <w:t>13</w:t>
            </w:r>
          </w:p>
        </w:tc>
        <w:tc>
          <w:tcPr>
            <w:tcW w:w="1012" w:type="dxa"/>
            <w:tcBorders>
              <w:top w:val="single" w:color="000000" w:sz="8" w:space="0"/>
              <w:left w:val="nil"/>
              <w:bottom w:val="single" w:color="000000" w:sz="8" w:space="0"/>
              <w:right w:val="nil"/>
            </w:tcBorders>
            <w:shd w:val="clear" w:color="auto" w:fill="auto"/>
            <w:noWrap/>
            <w:vAlign w:val="center"/>
          </w:tcPr>
          <w:p w14:paraId="6DF4A024">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0C1B2F1E">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0367BBB7">
            <w:pPr>
              <w:spacing w:line="240" w:lineRule="auto"/>
              <w:rPr>
                <w:rFonts w:hint="eastAsia"/>
                <w:sz w:val="18"/>
                <w:szCs w:val="18"/>
                <w:lang w:val="en-US" w:eastAsia="zh-CN"/>
              </w:rPr>
            </w:pPr>
            <w:r>
              <w:rPr>
                <w:rFonts w:hint="eastAsia"/>
                <w:sz w:val="18"/>
                <w:szCs w:val="18"/>
                <w:lang w:val="en-US" w:eastAsia="zh-CN"/>
              </w:rPr>
              <w:t>LASSO + multivariable regression</w:t>
            </w:r>
          </w:p>
        </w:tc>
        <w:tc>
          <w:tcPr>
            <w:tcW w:w="752" w:type="dxa"/>
            <w:tcBorders>
              <w:top w:val="single" w:color="000000" w:sz="8" w:space="0"/>
              <w:left w:val="nil"/>
              <w:bottom w:val="single" w:color="000000" w:sz="8" w:space="0"/>
              <w:right w:val="nil"/>
            </w:tcBorders>
            <w:shd w:val="clear" w:color="auto" w:fill="auto"/>
            <w:noWrap/>
            <w:vAlign w:val="center"/>
          </w:tcPr>
          <w:p w14:paraId="3460257A">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5DF7871B">
            <w:pPr>
              <w:spacing w:line="240" w:lineRule="auto"/>
              <w:rPr>
                <w:rFonts w:hint="eastAsia"/>
                <w:sz w:val="18"/>
                <w:szCs w:val="18"/>
                <w:lang w:val="en-US" w:eastAsia="zh-CN"/>
              </w:rPr>
            </w:pPr>
            <w:r>
              <w:rPr>
                <w:rFonts w:hint="eastAsia"/>
                <w:sz w:val="18"/>
                <w:szCs w:val="18"/>
                <w:lang w:val="en-US" w:eastAsia="zh-CN"/>
              </w:rPr>
              <w:t>Weight, ALT, HbA1c, FPG, TG</w:t>
            </w:r>
          </w:p>
        </w:tc>
        <w:tc>
          <w:tcPr>
            <w:tcW w:w="1263" w:type="dxa"/>
            <w:tcBorders>
              <w:top w:val="single" w:color="000000" w:sz="8" w:space="0"/>
              <w:left w:val="nil"/>
              <w:bottom w:val="single" w:color="000000" w:sz="8" w:space="0"/>
              <w:right w:val="nil"/>
            </w:tcBorders>
            <w:shd w:val="clear" w:color="auto" w:fill="auto"/>
            <w:noWrap/>
            <w:vAlign w:val="center"/>
          </w:tcPr>
          <w:p w14:paraId="512BA981">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01F2AD7">
            <w:pPr>
              <w:spacing w:line="240" w:lineRule="auto"/>
              <w:rPr>
                <w:rFonts w:hint="eastAsia"/>
                <w:sz w:val="18"/>
                <w:szCs w:val="18"/>
                <w:lang w:val="en-US" w:eastAsia="zh-CN"/>
              </w:rPr>
            </w:pPr>
            <w:r>
              <w:rPr>
                <w:rFonts w:hint="eastAsia"/>
                <w:sz w:val="18"/>
                <w:szCs w:val="18"/>
                <w:lang w:val="en-US" w:eastAsia="zh-CN"/>
              </w:rPr>
              <w:t>Nomogram + Online calculator</w:t>
            </w:r>
          </w:p>
        </w:tc>
        <w:tc>
          <w:tcPr>
            <w:tcW w:w="957" w:type="dxa"/>
            <w:tcBorders>
              <w:top w:val="single" w:color="000000" w:sz="8" w:space="0"/>
              <w:left w:val="nil"/>
              <w:bottom w:val="single" w:color="000000" w:sz="8" w:space="0"/>
              <w:right w:val="nil"/>
            </w:tcBorders>
            <w:shd w:val="clear" w:color="auto" w:fill="auto"/>
            <w:noWrap/>
            <w:vAlign w:val="center"/>
          </w:tcPr>
          <w:p w14:paraId="076F9CDF">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6034550C">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6DCCDCB0">
            <w:pPr>
              <w:spacing w:line="240" w:lineRule="auto"/>
              <w:rPr>
                <w:rFonts w:hint="eastAsia"/>
                <w:sz w:val="18"/>
                <w:szCs w:val="18"/>
                <w:lang w:val="en-US" w:eastAsia="zh-CN"/>
              </w:rPr>
            </w:pPr>
            <w:r>
              <w:rPr>
                <w:rFonts w:hint="eastAsia"/>
                <w:sz w:val="18"/>
                <w:szCs w:val="18"/>
                <w:lang w:val="en-US" w:eastAsia="zh-CN"/>
              </w:rPr>
              <w:t>None</w:t>
            </w:r>
          </w:p>
        </w:tc>
      </w:tr>
      <w:tr w14:paraId="69BE7974">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E9A73AB">
            <w:pPr>
              <w:spacing w:line="240" w:lineRule="auto"/>
              <w:rPr>
                <w:rFonts w:hint="eastAsia"/>
                <w:sz w:val="18"/>
                <w:szCs w:val="18"/>
                <w:lang w:val="en-US" w:eastAsia="zh-CN"/>
              </w:rPr>
            </w:pPr>
            <w:r>
              <w:rPr>
                <w:rFonts w:hint="eastAsia"/>
                <w:sz w:val="18"/>
                <w:szCs w:val="18"/>
                <w:lang w:val="en-US" w:eastAsia="zh-CN"/>
              </w:rPr>
              <w:t>MAFLD</w:t>
            </w:r>
          </w:p>
        </w:tc>
        <w:tc>
          <w:tcPr>
            <w:tcW w:w="840" w:type="dxa"/>
            <w:tcBorders>
              <w:top w:val="single" w:color="000000" w:sz="8" w:space="0"/>
              <w:left w:val="nil"/>
              <w:bottom w:val="single" w:color="000000" w:sz="8" w:space="0"/>
              <w:right w:val="nil"/>
            </w:tcBorders>
            <w:shd w:val="clear" w:color="auto" w:fill="auto"/>
            <w:noWrap/>
            <w:vAlign w:val="center"/>
          </w:tcPr>
          <w:p w14:paraId="0C61B90C">
            <w:pPr>
              <w:spacing w:line="240" w:lineRule="auto"/>
              <w:rPr>
                <w:rFonts w:hint="eastAsia"/>
                <w:sz w:val="18"/>
                <w:szCs w:val="18"/>
                <w:lang w:val="en-US" w:eastAsia="zh-CN"/>
              </w:rPr>
            </w:pPr>
            <w:r>
              <w:rPr>
                <w:rFonts w:hint="eastAsia"/>
                <w:sz w:val="18"/>
                <w:szCs w:val="18"/>
                <w:lang w:val="en-US" w:eastAsia="zh-CN"/>
              </w:rPr>
              <w:t>Song D, et al., 2022</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PEVuZE5vdGU+PENpdGU+PEF1dGhvcj5Tb25nPC9BdXRob3I+PFllYXI+MjAyMjwvWWVhcj48UmVj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(41)</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984AB54">
            <w:pPr>
              <w:spacing w:line="240" w:lineRule="auto"/>
              <w:rPr>
                <w:rFonts w:hint="eastAsia"/>
                <w:sz w:val="18"/>
                <w:szCs w:val="18"/>
                <w:lang w:val="en-US" w:eastAsia="zh-CN"/>
              </w:rPr>
            </w:pPr>
            <w:r>
              <w:rPr>
                <w:rFonts w:hint="eastAsia"/>
                <w:sz w:val="18"/>
                <w:szCs w:val="18"/>
                <w:lang w:val="en-US" w:eastAsia="zh-CN"/>
              </w:rPr>
              <w:t>14</w:t>
            </w:r>
          </w:p>
        </w:tc>
        <w:tc>
          <w:tcPr>
            <w:tcW w:w="1012" w:type="dxa"/>
            <w:tcBorders>
              <w:top w:val="single" w:color="000000" w:sz="8" w:space="0"/>
              <w:left w:val="nil"/>
              <w:bottom w:val="single" w:color="000000" w:sz="8" w:space="0"/>
              <w:right w:val="nil"/>
            </w:tcBorders>
            <w:shd w:val="clear" w:color="auto" w:fill="auto"/>
            <w:noWrap/>
            <w:vAlign w:val="center"/>
          </w:tcPr>
          <w:p w14:paraId="6DD00671">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25A082CC">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3A5EF49F">
            <w:pPr>
              <w:spacing w:line="240" w:lineRule="auto"/>
              <w:rPr>
                <w:rFonts w:hint="eastAsia"/>
                <w:sz w:val="18"/>
                <w:szCs w:val="18"/>
                <w:lang w:val="en-US" w:eastAsia="zh-CN"/>
              </w:rPr>
            </w:pPr>
            <w:r>
              <w:rPr>
                <w:rFonts w:hint="eastAsia"/>
                <w:sz w:val="18"/>
                <w:szCs w:val="18"/>
                <w:lang w:val="en-US" w:eastAsia="zh-CN"/>
              </w:rPr>
              <w:t>Random Forest selection + multivariable logistic</w:t>
            </w:r>
          </w:p>
        </w:tc>
        <w:tc>
          <w:tcPr>
            <w:tcW w:w="752" w:type="dxa"/>
            <w:tcBorders>
              <w:top w:val="single" w:color="000000" w:sz="8" w:space="0"/>
              <w:left w:val="nil"/>
              <w:bottom w:val="single" w:color="000000" w:sz="8" w:space="0"/>
              <w:right w:val="nil"/>
            </w:tcBorders>
            <w:shd w:val="clear" w:color="auto" w:fill="auto"/>
            <w:noWrap/>
            <w:vAlign w:val="center"/>
          </w:tcPr>
          <w:p w14:paraId="5420C18E">
            <w:pPr>
              <w:spacing w:line="240" w:lineRule="auto"/>
              <w:rPr>
                <w:rFonts w:hint="eastAsia"/>
                <w:sz w:val="18"/>
                <w:szCs w:val="18"/>
                <w:lang w:val="en-US" w:eastAsia="zh-CN"/>
              </w:rPr>
            </w:pPr>
            <w:r>
              <w:rPr>
                <w:rFonts w:hint="eastAsia"/>
                <w:sz w:val="18"/>
                <w:szCs w:val="18"/>
                <w:lang w:val="en-US" w:eastAsia="zh-CN"/>
              </w:rPr>
              <w:t>2</w:t>
            </w:r>
          </w:p>
        </w:tc>
        <w:tc>
          <w:tcPr>
            <w:tcW w:w="1614" w:type="dxa"/>
            <w:tcBorders>
              <w:top w:val="single" w:color="000000" w:sz="8" w:space="0"/>
              <w:left w:val="nil"/>
              <w:bottom w:val="single" w:color="000000" w:sz="8" w:space="0"/>
              <w:right w:val="nil"/>
            </w:tcBorders>
            <w:shd w:val="clear" w:color="auto" w:fill="auto"/>
            <w:noWrap/>
            <w:vAlign w:val="center"/>
          </w:tcPr>
          <w:p w14:paraId="3D8F5F1E">
            <w:pPr>
              <w:spacing w:line="240" w:lineRule="auto"/>
              <w:rPr>
                <w:rFonts w:hint="eastAsia"/>
                <w:sz w:val="18"/>
                <w:szCs w:val="18"/>
                <w:lang w:val="en-US" w:eastAsia="zh-CN"/>
              </w:rPr>
            </w:pPr>
            <w:r>
              <w:rPr>
                <w:rFonts w:hint="eastAsia"/>
                <w:sz w:val="18"/>
                <w:szCs w:val="18"/>
                <w:lang w:val="en-US" w:eastAsia="zh-CN"/>
              </w:rPr>
              <w:t>BMI, WC</w:t>
            </w:r>
          </w:p>
        </w:tc>
        <w:tc>
          <w:tcPr>
            <w:tcW w:w="1263" w:type="dxa"/>
            <w:tcBorders>
              <w:top w:val="single" w:color="000000" w:sz="8" w:space="0"/>
              <w:left w:val="nil"/>
              <w:bottom w:val="single" w:color="000000" w:sz="8" w:space="0"/>
              <w:right w:val="nil"/>
            </w:tcBorders>
            <w:shd w:val="clear" w:color="auto" w:fill="auto"/>
            <w:noWrap/>
            <w:vAlign w:val="center"/>
          </w:tcPr>
          <w:p w14:paraId="2E92D4DD">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F2F8C1B">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5A02EBED">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3DA9C5C7">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5FFAE564">
            <w:pPr>
              <w:spacing w:line="240" w:lineRule="auto"/>
              <w:rPr>
                <w:rFonts w:hint="eastAsia"/>
                <w:sz w:val="18"/>
                <w:szCs w:val="18"/>
                <w:lang w:val="en-US" w:eastAsia="zh-CN"/>
              </w:rPr>
            </w:pPr>
            <w:r>
              <w:rPr>
                <w:rFonts w:hint="eastAsia"/>
                <w:sz w:val="18"/>
                <w:szCs w:val="18"/>
                <w:lang w:val="en-US" w:eastAsia="zh-CN"/>
              </w:rPr>
              <w:t>None</w:t>
            </w:r>
          </w:p>
        </w:tc>
      </w:tr>
      <w:tr w14:paraId="06A3CD34">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1F8E2A7">
            <w:pPr>
              <w:spacing w:line="240" w:lineRule="auto"/>
              <w:rPr>
                <w:rFonts w:hint="eastAsia"/>
                <w:sz w:val="18"/>
                <w:szCs w:val="18"/>
                <w:lang w:val="en-US" w:eastAsia="zh-CN"/>
              </w:rPr>
            </w:pPr>
            <w:r>
              <w:rPr>
                <w:rFonts w:hint="eastAsia"/>
                <w:sz w:val="18"/>
                <w:szCs w:val="18"/>
                <w:lang w:val="en-US" w:eastAsia="zh-CN"/>
              </w:rPr>
              <w:t>MAFLD</w:t>
            </w:r>
          </w:p>
        </w:tc>
        <w:tc>
          <w:tcPr>
            <w:tcW w:w="840" w:type="dxa"/>
            <w:tcBorders>
              <w:top w:val="single" w:color="000000" w:sz="8" w:space="0"/>
              <w:left w:val="nil"/>
              <w:bottom w:val="single" w:color="000000" w:sz="8" w:space="0"/>
              <w:right w:val="nil"/>
            </w:tcBorders>
            <w:shd w:val="clear" w:color="auto" w:fill="auto"/>
            <w:noWrap/>
            <w:vAlign w:val="center"/>
          </w:tcPr>
          <w:p w14:paraId="5AF10C68">
            <w:pPr>
              <w:spacing w:line="240" w:lineRule="auto"/>
              <w:rPr>
                <w:rFonts w:hint="eastAsia"/>
                <w:sz w:val="18"/>
                <w:szCs w:val="18"/>
                <w:lang w:val="en-US" w:eastAsia="zh-CN"/>
              </w:rPr>
            </w:pPr>
            <w:r>
              <w:rPr>
                <w:rFonts w:hint="eastAsia"/>
                <w:sz w:val="18"/>
                <w:szCs w:val="18"/>
                <w:lang w:val="en-US" w:eastAsia="zh-CN"/>
              </w:rPr>
              <w:t>Hu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17A6266">
            <w:pPr>
              <w:spacing w:line="240" w:lineRule="auto"/>
              <w:rPr>
                <w:rFonts w:hint="eastAsia"/>
                <w:sz w:val="18"/>
                <w:szCs w:val="18"/>
                <w:lang w:val="en-US" w:eastAsia="zh-CN"/>
              </w:rPr>
            </w:pPr>
            <w:r>
              <w:rPr>
                <w:rFonts w:hint="eastAsia"/>
                <w:sz w:val="18"/>
                <w:szCs w:val="18"/>
                <w:lang w:val="en-US" w:eastAsia="zh-CN"/>
              </w:rPr>
              <w:t>15A</w:t>
            </w:r>
          </w:p>
        </w:tc>
        <w:tc>
          <w:tcPr>
            <w:tcW w:w="1012" w:type="dxa"/>
            <w:tcBorders>
              <w:top w:val="single" w:color="000000" w:sz="8" w:space="0"/>
              <w:left w:val="nil"/>
              <w:bottom w:val="single" w:color="000000" w:sz="8" w:space="0"/>
              <w:right w:val="nil"/>
            </w:tcBorders>
            <w:shd w:val="clear" w:color="auto" w:fill="auto"/>
            <w:noWrap/>
            <w:vAlign w:val="center"/>
          </w:tcPr>
          <w:p w14:paraId="363E2A8E">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1A24D6C1">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5674264">
            <w:pPr>
              <w:spacing w:line="240" w:lineRule="auto"/>
              <w:rPr>
                <w:rFonts w:hint="eastAsia"/>
                <w:sz w:val="18"/>
                <w:szCs w:val="18"/>
                <w:lang w:val="en-US" w:eastAsia="zh-CN"/>
              </w:rPr>
            </w:pPr>
            <w:r>
              <w:rPr>
                <w:rFonts w:hint="eastAsia"/>
                <w:sz w:val="18"/>
                <w:szCs w:val="18"/>
                <w:lang w:val="en-US" w:eastAsia="zh-CN"/>
              </w:rPr>
              <w:t>Univariate + stepwise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10852E99">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39B271E1">
            <w:pPr>
              <w:spacing w:line="240" w:lineRule="auto"/>
              <w:rPr>
                <w:rFonts w:hint="eastAsia"/>
                <w:sz w:val="18"/>
                <w:szCs w:val="18"/>
                <w:lang w:val="en-US" w:eastAsia="zh-CN"/>
              </w:rPr>
            </w:pPr>
            <w:r>
              <w:rPr>
                <w:rFonts w:hint="eastAsia"/>
                <w:sz w:val="18"/>
                <w:szCs w:val="18"/>
                <w:lang w:val="en-US" w:eastAsia="zh-CN"/>
              </w:rPr>
              <w:t>Age, Sex, BMI Z-score, WC, HOMA-IR, ALT</w:t>
            </w:r>
          </w:p>
        </w:tc>
        <w:tc>
          <w:tcPr>
            <w:tcW w:w="1263" w:type="dxa"/>
            <w:tcBorders>
              <w:top w:val="single" w:color="000000" w:sz="8" w:space="0"/>
              <w:left w:val="nil"/>
              <w:bottom w:val="single" w:color="000000" w:sz="8" w:space="0"/>
              <w:right w:val="nil"/>
            </w:tcBorders>
            <w:shd w:val="clear" w:color="auto" w:fill="auto"/>
            <w:noWrap/>
            <w:vAlign w:val="center"/>
          </w:tcPr>
          <w:p w14:paraId="3F9C0305">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0BE071A1">
            <w:pPr>
              <w:spacing w:line="240" w:lineRule="auto"/>
              <w:rPr>
                <w:rFonts w:hint="eastAsia"/>
                <w:sz w:val="18"/>
                <w:szCs w:val="18"/>
                <w:lang w:val="en-US" w:eastAsia="zh-CN"/>
              </w:rPr>
            </w:pPr>
            <w:r>
              <w:rPr>
                <w:rFonts w:hint="eastAsia"/>
                <w:sz w:val="18"/>
                <w:szCs w:val="18"/>
                <w:lang w:val="en-US" w:eastAsia="zh-CN"/>
              </w:rPr>
              <w:t>Nomogram + Online calculator</w:t>
            </w:r>
          </w:p>
        </w:tc>
        <w:tc>
          <w:tcPr>
            <w:tcW w:w="957" w:type="dxa"/>
            <w:tcBorders>
              <w:top w:val="single" w:color="000000" w:sz="8" w:space="0"/>
              <w:left w:val="nil"/>
              <w:bottom w:val="single" w:color="000000" w:sz="8" w:space="0"/>
              <w:right w:val="nil"/>
            </w:tcBorders>
            <w:shd w:val="clear" w:color="auto" w:fill="auto"/>
            <w:noWrap/>
            <w:vAlign w:val="center"/>
          </w:tcPr>
          <w:p w14:paraId="6DE4437C">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1C35E19D">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5E953257">
            <w:pPr>
              <w:spacing w:line="240" w:lineRule="auto"/>
              <w:rPr>
                <w:rFonts w:hint="eastAsia"/>
                <w:sz w:val="18"/>
                <w:szCs w:val="18"/>
                <w:lang w:val="en-US" w:eastAsia="zh-CN"/>
              </w:rPr>
            </w:pPr>
            <w:r>
              <w:rPr>
                <w:rFonts w:hint="eastAsia"/>
                <w:sz w:val="18"/>
                <w:szCs w:val="18"/>
                <w:lang w:val="en-US" w:eastAsia="zh-CN"/>
              </w:rPr>
              <w:t>None</w:t>
            </w:r>
          </w:p>
        </w:tc>
      </w:tr>
      <w:tr w14:paraId="659B7B46">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2B4815DC">
            <w:pPr>
              <w:spacing w:line="240" w:lineRule="auto"/>
              <w:rPr>
                <w:rFonts w:hint="eastAsia"/>
                <w:sz w:val="18"/>
                <w:szCs w:val="18"/>
                <w:lang w:val="en-US" w:eastAsia="zh-CN"/>
              </w:rPr>
            </w:pPr>
            <w:r>
              <w:rPr>
                <w:rFonts w:hint="eastAsia"/>
                <w:sz w:val="18"/>
                <w:szCs w:val="18"/>
                <w:lang w:val="en-US" w:eastAsia="zh-CN"/>
              </w:rPr>
              <w:t>MAFLD</w:t>
            </w:r>
          </w:p>
        </w:tc>
        <w:tc>
          <w:tcPr>
            <w:tcW w:w="840" w:type="dxa"/>
            <w:tcBorders>
              <w:top w:val="single" w:color="000000" w:sz="8" w:space="0"/>
              <w:left w:val="nil"/>
              <w:bottom w:val="single" w:color="000000" w:sz="8" w:space="0"/>
              <w:right w:val="nil"/>
            </w:tcBorders>
            <w:shd w:val="clear" w:color="auto" w:fill="auto"/>
            <w:noWrap/>
            <w:vAlign w:val="center"/>
          </w:tcPr>
          <w:p w14:paraId="55ADDC88">
            <w:pPr>
              <w:spacing w:line="240" w:lineRule="auto"/>
              <w:rPr>
                <w:rFonts w:hint="eastAsia"/>
                <w:sz w:val="18"/>
                <w:szCs w:val="18"/>
                <w:lang w:val="en-US" w:eastAsia="zh-CN"/>
              </w:rPr>
            </w:pPr>
            <w:r>
              <w:rPr>
                <w:rFonts w:hint="eastAsia"/>
                <w:sz w:val="18"/>
                <w:szCs w:val="18"/>
                <w:lang w:val="en-US" w:eastAsia="zh-CN"/>
              </w:rPr>
              <w:t>Hu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449DF10E">
            <w:pPr>
              <w:spacing w:line="240" w:lineRule="auto"/>
              <w:rPr>
                <w:rFonts w:hint="eastAsia"/>
                <w:sz w:val="18"/>
                <w:szCs w:val="18"/>
                <w:lang w:val="en-US" w:eastAsia="zh-CN"/>
              </w:rPr>
            </w:pPr>
            <w:r>
              <w:rPr>
                <w:rFonts w:hint="eastAsia"/>
                <w:sz w:val="18"/>
                <w:szCs w:val="18"/>
                <w:lang w:val="en-US" w:eastAsia="zh-CN"/>
              </w:rPr>
              <w:t>15B</w:t>
            </w:r>
          </w:p>
        </w:tc>
        <w:tc>
          <w:tcPr>
            <w:tcW w:w="1012" w:type="dxa"/>
            <w:tcBorders>
              <w:top w:val="single" w:color="000000" w:sz="8" w:space="0"/>
              <w:left w:val="nil"/>
              <w:bottom w:val="single" w:color="000000" w:sz="8" w:space="0"/>
              <w:right w:val="nil"/>
            </w:tcBorders>
            <w:shd w:val="clear" w:color="auto" w:fill="auto"/>
            <w:noWrap/>
            <w:vAlign w:val="center"/>
          </w:tcPr>
          <w:p w14:paraId="1032D509">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0521512F">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0C21E403">
            <w:pPr>
              <w:spacing w:line="240" w:lineRule="auto"/>
              <w:rPr>
                <w:rFonts w:hint="eastAsia"/>
                <w:sz w:val="18"/>
                <w:szCs w:val="18"/>
                <w:lang w:val="en-US" w:eastAsia="zh-CN"/>
              </w:rPr>
            </w:pPr>
            <w:r>
              <w:rPr>
                <w:rFonts w:hint="eastAsia"/>
                <w:sz w:val="18"/>
                <w:szCs w:val="18"/>
                <w:lang w:val="en-US" w:eastAsia="zh-CN"/>
              </w:rPr>
              <w:t>Univariate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49AAC0A9">
            <w:pPr>
              <w:spacing w:line="240" w:lineRule="auto"/>
              <w:rPr>
                <w:rFonts w:hint="eastAsia"/>
                <w:sz w:val="18"/>
                <w:szCs w:val="18"/>
                <w:lang w:val="en-US" w:eastAsia="zh-CN"/>
              </w:rPr>
            </w:pPr>
            <w:r>
              <w:rPr>
                <w:rFonts w:hint="eastAsia"/>
                <w:sz w:val="18"/>
                <w:szCs w:val="18"/>
                <w:lang w:val="en-US" w:eastAsia="zh-CN"/>
              </w:rPr>
              <w:t>2</w:t>
            </w:r>
          </w:p>
        </w:tc>
        <w:tc>
          <w:tcPr>
            <w:tcW w:w="1614" w:type="dxa"/>
            <w:tcBorders>
              <w:top w:val="single" w:color="000000" w:sz="8" w:space="0"/>
              <w:left w:val="nil"/>
              <w:bottom w:val="single" w:color="000000" w:sz="8" w:space="0"/>
              <w:right w:val="nil"/>
            </w:tcBorders>
            <w:shd w:val="clear" w:color="auto" w:fill="auto"/>
            <w:noWrap/>
            <w:vAlign w:val="center"/>
          </w:tcPr>
          <w:p w14:paraId="681C7475">
            <w:pPr>
              <w:spacing w:line="240" w:lineRule="auto"/>
              <w:rPr>
                <w:rFonts w:hint="eastAsia"/>
                <w:sz w:val="18"/>
                <w:szCs w:val="18"/>
                <w:lang w:val="en-US" w:eastAsia="zh-CN"/>
              </w:rPr>
            </w:pPr>
            <w:r>
              <w:rPr>
                <w:rFonts w:hint="eastAsia"/>
                <w:sz w:val="18"/>
                <w:szCs w:val="18"/>
                <w:lang w:val="en-US" w:eastAsia="zh-CN"/>
              </w:rPr>
              <w:t>TG, FPG</w:t>
            </w:r>
          </w:p>
        </w:tc>
        <w:tc>
          <w:tcPr>
            <w:tcW w:w="1263" w:type="dxa"/>
            <w:tcBorders>
              <w:top w:val="single" w:color="000000" w:sz="8" w:space="0"/>
              <w:left w:val="nil"/>
              <w:bottom w:val="single" w:color="000000" w:sz="8" w:space="0"/>
              <w:right w:val="nil"/>
            </w:tcBorders>
            <w:shd w:val="clear" w:color="auto" w:fill="auto"/>
            <w:noWrap/>
            <w:vAlign w:val="center"/>
          </w:tcPr>
          <w:p w14:paraId="2106491E">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7F580EED">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35EF6550">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74928624">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6B0E05E0">
            <w:pPr>
              <w:spacing w:line="240" w:lineRule="auto"/>
              <w:rPr>
                <w:rFonts w:hint="eastAsia"/>
                <w:sz w:val="18"/>
                <w:szCs w:val="18"/>
                <w:lang w:val="en-US" w:eastAsia="zh-CN"/>
              </w:rPr>
            </w:pPr>
            <w:r>
              <w:rPr>
                <w:rFonts w:hint="eastAsia"/>
                <w:sz w:val="18"/>
                <w:szCs w:val="18"/>
                <w:lang w:val="en-US" w:eastAsia="zh-CN"/>
              </w:rPr>
              <w:t>None</w:t>
            </w:r>
          </w:p>
        </w:tc>
      </w:tr>
      <w:tr w14:paraId="0A99C8B5">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103661AC">
            <w:pPr>
              <w:spacing w:line="240" w:lineRule="auto"/>
              <w:rPr>
                <w:rFonts w:hint="eastAsia"/>
                <w:sz w:val="18"/>
                <w:szCs w:val="18"/>
                <w:lang w:val="en-US" w:eastAsia="zh-CN"/>
              </w:rPr>
            </w:pPr>
            <w:r>
              <w:rPr>
                <w:rFonts w:hint="eastAsia"/>
                <w:sz w:val="18"/>
                <w:szCs w:val="18"/>
                <w:lang w:val="en-US" w:eastAsia="zh-CN"/>
              </w:rPr>
              <w:t>MAFLD</w:t>
            </w:r>
          </w:p>
        </w:tc>
        <w:tc>
          <w:tcPr>
            <w:tcW w:w="840" w:type="dxa"/>
            <w:tcBorders>
              <w:top w:val="single" w:color="000000" w:sz="8" w:space="0"/>
              <w:left w:val="nil"/>
              <w:bottom w:val="single" w:color="000000" w:sz="8" w:space="0"/>
              <w:right w:val="nil"/>
            </w:tcBorders>
            <w:shd w:val="clear" w:color="auto" w:fill="auto"/>
            <w:noWrap/>
            <w:vAlign w:val="center"/>
          </w:tcPr>
          <w:p w14:paraId="108A1CBC">
            <w:pPr>
              <w:spacing w:line="240" w:lineRule="auto"/>
              <w:rPr>
                <w:rFonts w:hint="eastAsia"/>
                <w:sz w:val="18"/>
                <w:szCs w:val="18"/>
                <w:lang w:val="en-US" w:eastAsia="zh-CN"/>
              </w:rPr>
            </w:pPr>
            <w:r>
              <w:rPr>
                <w:rFonts w:hint="eastAsia"/>
                <w:sz w:val="18"/>
                <w:szCs w:val="18"/>
                <w:lang w:val="en-US" w:eastAsia="zh-CN"/>
              </w:rPr>
              <w:t>Hu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7AA2BEC4">
            <w:pPr>
              <w:spacing w:line="240" w:lineRule="auto"/>
              <w:rPr>
                <w:rFonts w:hint="eastAsia"/>
                <w:sz w:val="18"/>
                <w:szCs w:val="18"/>
                <w:lang w:val="en-US" w:eastAsia="zh-CN"/>
              </w:rPr>
            </w:pPr>
            <w:r>
              <w:rPr>
                <w:rFonts w:hint="eastAsia"/>
                <w:sz w:val="18"/>
                <w:szCs w:val="18"/>
                <w:lang w:val="en-US" w:eastAsia="zh-CN"/>
              </w:rPr>
              <w:t>15C</w:t>
            </w:r>
          </w:p>
        </w:tc>
        <w:tc>
          <w:tcPr>
            <w:tcW w:w="1012" w:type="dxa"/>
            <w:tcBorders>
              <w:top w:val="single" w:color="000000" w:sz="8" w:space="0"/>
              <w:left w:val="nil"/>
              <w:bottom w:val="single" w:color="000000" w:sz="8" w:space="0"/>
              <w:right w:val="nil"/>
            </w:tcBorders>
            <w:shd w:val="clear" w:color="auto" w:fill="auto"/>
            <w:noWrap/>
            <w:vAlign w:val="center"/>
          </w:tcPr>
          <w:p w14:paraId="32712161">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6C72EFD0">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6661E17E">
            <w:pPr>
              <w:spacing w:line="240" w:lineRule="auto"/>
              <w:rPr>
                <w:rFonts w:hint="eastAsia"/>
                <w:sz w:val="18"/>
                <w:szCs w:val="18"/>
                <w:lang w:val="en-US" w:eastAsia="zh-CN"/>
              </w:rPr>
            </w:pPr>
            <w:r>
              <w:rPr>
                <w:rFonts w:hint="eastAsia"/>
                <w:sz w:val="18"/>
                <w:szCs w:val="18"/>
                <w:lang w:val="en-US" w:eastAsia="zh-CN"/>
              </w:rPr>
              <w:t>Univariate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467B2136">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6D7AE4EA">
            <w:pPr>
              <w:spacing w:line="240" w:lineRule="auto"/>
              <w:rPr>
                <w:rFonts w:hint="eastAsia"/>
                <w:sz w:val="18"/>
                <w:szCs w:val="18"/>
                <w:lang w:val="en-US" w:eastAsia="zh-CN"/>
              </w:rPr>
            </w:pPr>
            <w:r>
              <w:rPr>
                <w:rFonts w:hint="eastAsia"/>
                <w:sz w:val="18"/>
                <w:szCs w:val="18"/>
                <w:lang w:val="en-US" w:eastAsia="zh-CN"/>
              </w:rPr>
              <w:t>Sex, BMI, FPG, TG, ALT/AST</w:t>
            </w:r>
          </w:p>
        </w:tc>
        <w:tc>
          <w:tcPr>
            <w:tcW w:w="1263" w:type="dxa"/>
            <w:tcBorders>
              <w:top w:val="single" w:color="000000" w:sz="8" w:space="0"/>
              <w:left w:val="nil"/>
              <w:bottom w:val="single" w:color="000000" w:sz="8" w:space="0"/>
              <w:right w:val="nil"/>
            </w:tcBorders>
            <w:shd w:val="clear" w:color="auto" w:fill="auto"/>
            <w:noWrap/>
            <w:vAlign w:val="center"/>
          </w:tcPr>
          <w:p w14:paraId="22D99E11">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15E3C518">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60B187DD">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54E5B01C">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32C8344C">
            <w:pPr>
              <w:spacing w:line="240" w:lineRule="auto"/>
              <w:rPr>
                <w:rFonts w:hint="eastAsia"/>
                <w:sz w:val="18"/>
                <w:szCs w:val="18"/>
                <w:lang w:val="en-US" w:eastAsia="zh-CN"/>
              </w:rPr>
            </w:pPr>
            <w:r>
              <w:rPr>
                <w:rFonts w:hint="eastAsia"/>
                <w:sz w:val="18"/>
                <w:szCs w:val="18"/>
                <w:lang w:val="en-US" w:eastAsia="zh-CN"/>
              </w:rPr>
              <w:t>None</w:t>
            </w:r>
          </w:p>
        </w:tc>
      </w:tr>
      <w:tr w14:paraId="6A892AE2">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303F9E19">
            <w:pPr>
              <w:spacing w:line="240" w:lineRule="auto"/>
              <w:rPr>
                <w:rFonts w:hint="eastAsia"/>
                <w:sz w:val="18"/>
                <w:szCs w:val="18"/>
                <w:lang w:val="en-US" w:eastAsia="zh-CN"/>
              </w:rPr>
            </w:pPr>
            <w:r>
              <w:rPr>
                <w:rFonts w:hint="eastAsia"/>
                <w:sz w:val="18"/>
                <w:szCs w:val="18"/>
                <w:lang w:val="en-US" w:eastAsia="zh-CN"/>
              </w:rPr>
              <w:t>MAFLD</w:t>
            </w:r>
          </w:p>
        </w:tc>
        <w:tc>
          <w:tcPr>
            <w:tcW w:w="840" w:type="dxa"/>
            <w:tcBorders>
              <w:top w:val="single" w:color="000000" w:sz="8" w:space="0"/>
              <w:left w:val="nil"/>
              <w:bottom w:val="single" w:color="000000" w:sz="8" w:space="0"/>
              <w:right w:val="nil"/>
            </w:tcBorders>
            <w:shd w:val="clear" w:color="auto" w:fill="auto"/>
            <w:noWrap/>
            <w:vAlign w:val="center"/>
          </w:tcPr>
          <w:p w14:paraId="2874B611">
            <w:pPr>
              <w:spacing w:line="240" w:lineRule="auto"/>
              <w:rPr>
                <w:rFonts w:hint="eastAsia"/>
                <w:sz w:val="18"/>
                <w:szCs w:val="18"/>
                <w:lang w:val="en-US" w:eastAsia="zh-CN"/>
              </w:rPr>
            </w:pPr>
            <w:r>
              <w:rPr>
                <w:rFonts w:hint="eastAsia"/>
                <w:sz w:val="18"/>
                <w:szCs w:val="18"/>
                <w:lang w:val="en-US" w:eastAsia="zh-CN"/>
              </w:rPr>
              <w:t>Hu J,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(42)</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4A71C678">
            <w:pPr>
              <w:spacing w:line="240" w:lineRule="auto"/>
              <w:rPr>
                <w:rFonts w:hint="eastAsia"/>
                <w:sz w:val="18"/>
                <w:szCs w:val="18"/>
                <w:lang w:val="en-US" w:eastAsia="zh-CN"/>
              </w:rPr>
            </w:pPr>
            <w:r>
              <w:rPr>
                <w:rFonts w:hint="eastAsia"/>
                <w:sz w:val="18"/>
                <w:szCs w:val="18"/>
                <w:lang w:val="en-US" w:eastAsia="zh-CN"/>
              </w:rPr>
              <w:t>15D</w:t>
            </w:r>
          </w:p>
        </w:tc>
        <w:tc>
          <w:tcPr>
            <w:tcW w:w="1012" w:type="dxa"/>
            <w:tcBorders>
              <w:top w:val="single" w:color="000000" w:sz="8" w:space="0"/>
              <w:left w:val="nil"/>
              <w:bottom w:val="single" w:color="000000" w:sz="8" w:space="0"/>
              <w:right w:val="nil"/>
            </w:tcBorders>
            <w:shd w:val="clear" w:color="auto" w:fill="auto"/>
            <w:noWrap/>
            <w:vAlign w:val="center"/>
          </w:tcPr>
          <w:p w14:paraId="677F5407">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DFD2910">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74DF63EF">
            <w:pPr>
              <w:spacing w:line="240" w:lineRule="auto"/>
              <w:rPr>
                <w:rFonts w:hint="eastAsia"/>
                <w:sz w:val="18"/>
                <w:szCs w:val="18"/>
                <w:lang w:val="en-US" w:eastAsia="zh-CN"/>
              </w:rPr>
            </w:pPr>
            <w:r>
              <w:rPr>
                <w:rFonts w:hint="eastAsia"/>
                <w:sz w:val="18"/>
                <w:szCs w:val="18"/>
                <w:lang w:val="en-US" w:eastAsia="zh-CN"/>
              </w:rPr>
              <w:t>Univariate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7757C237">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6BC930BE">
            <w:pPr>
              <w:spacing w:line="240" w:lineRule="auto"/>
              <w:rPr>
                <w:rFonts w:hint="eastAsia"/>
                <w:sz w:val="18"/>
                <w:szCs w:val="18"/>
                <w:lang w:val="en-US" w:eastAsia="zh-CN"/>
              </w:rPr>
            </w:pPr>
            <w:r>
              <w:rPr>
                <w:rFonts w:hint="eastAsia"/>
                <w:sz w:val="18"/>
                <w:szCs w:val="18"/>
                <w:lang w:val="en-US" w:eastAsia="zh-CN"/>
              </w:rPr>
              <w:t>Sex, WC, SBP, FPG, TG, ALT</w:t>
            </w:r>
          </w:p>
        </w:tc>
        <w:tc>
          <w:tcPr>
            <w:tcW w:w="1263" w:type="dxa"/>
            <w:tcBorders>
              <w:top w:val="single" w:color="000000" w:sz="8" w:space="0"/>
              <w:left w:val="nil"/>
              <w:bottom w:val="single" w:color="000000" w:sz="8" w:space="0"/>
              <w:right w:val="nil"/>
            </w:tcBorders>
            <w:shd w:val="clear" w:color="auto" w:fill="auto"/>
            <w:noWrap/>
            <w:vAlign w:val="center"/>
          </w:tcPr>
          <w:p w14:paraId="1C427ADF">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6FA364EF">
            <w:pPr>
              <w:spacing w:line="240" w:lineRule="auto"/>
              <w:rPr>
                <w:rFonts w:hint="eastAsia"/>
                <w:sz w:val="18"/>
                <w:szCs w:val="18"/>
                <w:lang w:val="en-US" w:eastAsia="zh-CN"/>
              </w:rPr>
            </w:pPr>
            <w:r>
              <w:rPr>
                <w:rFonts w:hint="eastAsia"/>
                <w:sz w:val="18"/>
                <w:szCs w:val="18"/>
                <w:lang w:val="en-US" w:eastAsia="zh-CN"/>
              </w:rPr>
              <w:t>Scoring formula</w:t>
            </w:r>
          </w:p>
        </w:tc>
        <w:tc>
          <w:tcPr>
            <w:tcW w:w="957" w:type="dxa"/>
            <w:tcBorders>
              <w:top w:val="single" w:color="000000" w:sz="8" w:space="0"/>
              <w:left w:val="nil"/>
              <w:bottom w:val="single" w:color="000000" w:sz="8" w:space="0"/>
              <w:right w:val="nil"/>
            </w:tcBorders>
            <w:shd w:val="clear" w:color="auto" w:fill="auto"/>
            <w:noWrap/>
            <w:vAlign w:val="center"/>
          </w:tcPr>
          <w:p w14:paraId="391F0D9C">
            <w:pPr>
              <w:spacing w:line="240" w:lineRule="auto"/>
              <w:rPr>
                <w:rFonts w:hint="eastAsia"/>
                <w:sz w:val="18"/>
                <w:szCs w:val="18"/>
                <w:lang w:val="en-US" w:eastAsia="zh-CN"/>
              </w:rPr>
            </w:pPr>
            <w:r>
              <w:rPr>
                <w:rFonts w:hint="eastAsia"/>
                <w:sz w:val="18"/>
                <w:szCs w:val="18"/>
                <w:lang w:val="en-US" w:eastAsia="zh-CN"/>
              </w:rPr>
              <w:t>Discrimination</w:t>
            </w:r>
          </w:p>
        </w:tc>
        <w:tc>
          <w:tcPr>
            <w:tcW w:w="957" w:type="dxa"/>
            <w:tcBorders>
              <w:top w:val="single" w:color="000000" w:sz="8" w:space="0"/>
              <w:left w:val="nil"/>
              <w:bottom w:val="single" w:color="000000" w:sz="8" w:space="0"/>
              <w:right w:val="nil"/>
            </w:tcBorders>
            <w:shd w:val="clear" w:color="auto" w:fill="auto"/>
            <w:noWrap/>
            <w:vAlign w:val="center"/>
          </w:tcPr>
          <w:p w14:paraId="223226D5">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43C0A131">
            <w:pPr>
              <w:spacing w:line="240" w:lineRule="auto"/>
              <w:rPr>
                <w:rFonts w:hint="eastAsia"/>
                <w:sz w:val="18"/>
                <w:szCs w:val="18"/>
                <w:lang w:val="en-US" w:eastAsia="zh-CN"/>
              </w:rPr>
            </w:pPr>
            <w:r>
              <w:rPr>
                <w:rFonts w:hint="eastAsia"/>
                <w:sz w:val="18"/>
                <w:szCs w:val="18"/>
                <w:lang w:val="en-US" w:eastAsia="zh-CN"/>
              </w:rPr>
              <w:t>None</w:t>
            </w:r>
          </w:p>
        </w:tc>
      </w:tr>
      <w:tr w14:paraId="1DCE1289">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21FF0CAF">
            <w:pPr>
              <w:spacing w:line="240" w:lineRule="auto"/>
              <w:rPr>
                <w:rFonts w:hint="eastAsia"/>
                <w:sz w:val="18"/>
                <w:szCs w:val="18"/>
                <w:lang w:val="en-US" w:eastAsia="zh-CN"/>
              </w:rPr>
            </w:pPr>
            <w:r>
              <w:rPr>
                <w:rFonts w:hint="eastAsia"/>
                <w:sz w:val="18"/>
                <w:szCs w:val="18"/>
                <w:lang w:val="en-US" w:eastAsia="zh-CN"/>
              </w:rPr>
              <w:t>Severe OSA (AHI≥30)</w:t>
            </w:r>
          </w:p>
        </w:tc>
        <w:tc>
          <w:tcPr>
            <w:tcW w:w="840" w:type="dxa"/>
            <w:tcBorders>
              <w:top w:val="single" w:color="000000" w:sz="8" w:space="0"/>
              <w:left w:val="nil"/>
              <w:bottom w:val="single" w:color="000000" w:sz="8" w:space="0"/>
              <w:right w:val="nil"/>
            </w:tcBorders>
            <w:shd w:val="clear" w:color="auto" w:fill="auto"/>
            <w:noWrap/>
            <w:vAlign w:val="center"/>
          </w:tcPr>
          <w:p w14:paraId="079B0751">
            <w:pPr>
              <w:spacing w:line="240" w:lineRule="auto"/>
              <w:rPr>
                <w:rFonts w:hint="eastAsia"/>
                <w:sz w:val="18"/>
                <w:szCs w:val="18"/>
                <w:lang w:val="en-US" w:eastAsia="zh-CN"/>
              </w:rPr>
            </w:pPr>
            <w:r>
              <w:rPr>
                <w:rFonts w:hint="eastAsia"/>
                <w:sz w:val="18"/>
                <w:szCs w:val="18"/>
                <w:lang w:val="en-US" w:eastAsia="zh-CN"/>
              </w:rPr>
              <w:t>Zhao A, et al., 2024</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PEVuZE5vdGU+PENpdGU+PEF1dGhvcj5aaGFvPC9BdXRob3I+PFllYXI+MjAyNDwvWWVhcj48UmVj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(43)</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CA85BFC">
            <w:pPr>
              <w:spacing w:line="240" w:lineRule="auto"/>
              <w:rPr>
                <w:rFonts w:hint="eastAsia"/>
                <w:sz w:val="18"/>
                <w:szCs w:val="18"/>
                <w:lang w:val="en-US" w:eastAsia="zh-CN"/>
              </w:rPr>
            </w:pPr>
            <w:r>
              <w:rPr>
                <w:rFonts w:hint="eastAsia"/>
                <w:sz w:val="18"/>
                <w:szCs w:val="18"/>
                <w:lang w:val="en-US" w:eastAsia="zh-CN"/>
              </w:rPr>
              <w:t>16</w:t>
            </w:r>
          </w:p>
        </w:tc>
        <w:tc>
          <w:tcPr>
            <w:tcW w:w="1012" w:type="dxa"/>
            <w:tcBorders>
              <w:top w:val="single" w:color="000000" w:sz="8" w:space="0"/>
              <w:left w:val="nil"/>
              <w:bottom w:val="single" w:color="000000" w:sz="8" w:space="0"/>
              <w:right w:val="nil"/>
            </w:tcBorders>
            <w:shd w:val="clear" w:color="auto" w:fill="auto"/>
            <w:noWrap/>
            <w:vAlign w:val="center"/>
          </w:tcPr>
          <w:p w14:paraId="430C0B65">
            <w:pPr>
              <w:spacing w:line="240" w:lineRule="auto"/>
              <w:rPr>
                <w:rFonts w:hint="eastAsia"/>
                <w:sz w:val="18"/>
                <w:szCs w:val="18"/>
                <w:lang w:val="en-US" w:eastAsia="zh-CN"/>
              </w:rPr>
            </w:pPr>
            <w:r>
              <w:rPr>
                <w:rFonts w:hint="eastAsia"/>
                <w:sz w:val="18"/>
                <w:szCs w:val="18"/>
                <w:lang w:val="en-US" w:eastAsia="zh-CN"/>
              </w:rPr>
              <w:t>Partial categorization</w:t>
            </w:r>
          </w:p>
        </w:tc>
        <w:tc>
          <w:tcPr>
            <w:tcW w:w="1421" w:type="dxa"/>
            <w:tcBorders>
              <w:top w:val="single" w:color="000000" w:sz="8" w:space="0"/>
              <w:left w:val="nil"/>
              <w:bottom w:val="single" w:color="000000" w:sz="8" w:space="0"/>
              <w:right w:val="nil"/>
            </w:tcBorders>
            <w:shd w:val="clear" w:color="auto" w:fill="auto"/>
            <w:noWrap/>
            <w:vAlign w:val="center"/>
          </w:tcPr>
          <w:p w14:paraId="172FDEB1">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68E12FAD">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6E83A371">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592119C5">
            <w:pPr>
              <w:spacing w:line="240" w:lineRule="auto"/>
              <w:rPr>
                <w:rFonts w:hint="eastAsia"/>
                <w:sz w:val="18"/>
                <w:szCs w:val="18"/>
                <w:lang w:val="en-US" w:eastAsia="zh-CN"/>
              </w:rPr>
            </w:pPr>
            <w:r>
              <w:rPr>
                <w:rFonts w:hint="eastAsia"/>
                <w:sz w:val="18"/>
                <w:szCs w:val="18"/>
                <w:lang w:val="en-US" w:eastAsia="zh-CN"/>
              </w:rPr>
              <w:t>Sex (male), Age, BMI, aVAT, LSM, LDL</w:t>
            </w:r>
          </w:p>
        </w:tc>
        <w:tc>
          <w:tcPr>
            <w:tcW w:w="1263" w:type="dxa"/>
            <w:tcBorders>
              <w:top w:val="single" w:color="000000" w:sz="8" w:space="0"/>
              <w:left w:val="nil"/>
              <w:bottom w:val="single" w:color="000000" w:sz="8" w:space="0"/>
              <w:right w:val="nil"/>
            </w:tcBorders>
            <w:shd w:val="clear" w:color="auto" w:fill="auto"/>
            <w:noWrap/>
            <w:vAlign w:val="center"/>
          </w:tcPr>
          <w:p w14:paraId="5B58BB40">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3A816188">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69A9869C">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38992B37">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181A67D1">
            <w:pPr>
              <w:spacing w:line="240" w:lineRule="auto"/>
              <w:rPr>
                <w:rFonts w:hint="eastAsia"/>
                <w:sz w:val="18"/>
                <w:szCs w:val="18"/>
                <w:lang w:val="en-US" w:eastAsia="zh-CN"/>
              </w:rPr>
            </w:pPr>
            <w:r>
              <w:rPr>
                <w:rFonts w:hint="eastAsia"/>
                <w:sz w:val="18"/>
                <w:szCs w:val="18"/>
                <w:lang w:val="en-US" w:eastAsia="zh-CN"/>
              </w:rPr>
              <w:t>None</w:t>
            </w:r>
          </w:p>
        </w:tc>
      </w:tr>
      <w:tr w14:paraId="71C79254">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1A97E945">
            <w:pPr>
              <w:spacing w:line="240" w:lineRule="auto"/>
              <w:rPr>
                <w:rFonts w:hint="eastAsia"/>
                <w:sz w:val="18"/>
                <w:szCs w:val="18"/>
                <w:lang w:val="en-US" w:eastAsia="zh-CN"/>
              </w:rPr>
            </w:pPr>
            <w:r>
              <w:rPr>
                <w:rFonts w:hint="eastAsia"/>
                <w:sz w:val="18"/>
                <w:szCs w:val="18"/>
                <w:lang w:val="en-US" w:eastAsia="zh-CN"/>
              </w:rPr>
              <w:t>OHS</w:t>
            </w:r>
          </w:p>
        </w:tc>
        <w:tc>
          <w:tcPr>
            <w:tcW w:w="840" w:type="dxa"/>
            <w:tcBorders>
              <w:top w:val="single" w:color="000000" w:sz="8" w:space="0"/>
              <w:left w:val="nil"/>
              <w:bottom w:val="single" w:color="000000" w:sz="8" w:space="0"/>
              <w:right w:val="nil"/>
            </w:tcBorders>
            <w:shd w:val="clear" w:color="auto" w:fill="auto"/>
            <w:noWrap/>
            <w:vAlign w:val="center"/>
          </w:tcPr>
          <w:p w14:paraId="7ACD1502">
            <w:pPr>
              <w:spacing w:line="240" w:lineRule="auto"/>
              <w:rPr>
                <w:rFonts w:hint="eastAsia"/>
                <w:sz w:val="18"/>
                <w:szCs w:val="18"/>
                <w:lang w:val="en-US" w:eastAsia="zh-CN"/>
              </w:rPr>
            </w:pPr>
            <w:r>
              <w:rPr>
                <w:rFonts w:hint="eastAsia"/>
                <w:sz w:val="18"/>
                <w:szCs w:val="18"/>
                <w:lang w:val="en-US" w:eastAsia="zh-CN"/>
              </w:rPr>
              <w:t>Chen W, et al., 2022</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&lt;EndNote&gt;&lt;Cite&gt;&lt;Author&gt;Chen&lt;/Author&gt;&lt;Year&gt;2022&lt;/Year&gt;&lt;RecNum&gt;780&lt;/RecNum&gt;&lt;DisplayText&gt;(44)&lt;/DisplayText&gt;&lt;record&gt;&lt;rec-number&gt;780&lt;/rec-number&gt;&lt;foreign-keys&gt;&lt;key app="EN" db-id="earspdaa1vazprerafqvx9tx5pvfaxf9awz0" timestamp="1783050295"&gt;780&lt;/key&gt;&lt;/foreign-keys&gt;&lt;ref-type name="期刊文献"&gt;17&lt;/ref-type&gt;&lt;contributors&gt;&lt;authors&gt;&lt;author&gt;Chen, Wenhui&lt;/author&gt;&lt;author&gt;Feng, Jia&lt;/author&gt;&lt;author&gt;Dong, Shiliang&lt;/author&gt;&lt;author&gt;Guo, Jie&lt;/author&gt;&lt;author&gt;Liang, Yalun&lt;/author&gt;&lt;author&gt;Hu, Ruixiang&lt;/author&gt;&lt;author&gt;Wang, Cun-chuan&lt;/author&gt;&lt;author&gt;Dong, Zhiyong&lt;/author&gt;&lt;/authors&gt;&lt;/contributors&gt;&lt;titles&gt;&lt;title&gt;A Novel Nomogram and Online Calculator for Predicting the Risk of Obesity Hypoventilation Syndrome in Bariatric Surgery Candidates&lt;/title&gt;&lt;secondary-title&gt;Obesity Surgery&lt;/secondary-title&gt;&lt;/titles&gt;&lt;periodical&gt;&lt;full-title&gt;Obesity Surgery&lt;/full-title&gt;&lt;/periodical&gt;&lt;volume&gt;33&lt;/volume&gt;&lt;dates&gt;&lt;year&gt;2022&lt;/year&gt;&lt;pub-dates&gt;&lt;date&gt;11/05&lt;/date&gt;&lt;/pub-dates&gt;&lt;/dates&gt;&lt;urls&gt;&lt;/urls&gt;&lt;electronic-resource-num&gt;10.1007/s11695-022-06324-1&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(44)</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625FCEF8">
            <w:pPr>
              <w:spacing w:line="240" w:lineRule="auto"/>
              <w:rPr>
                <w:rFonts w:hint="eastAsia"/>
                <w:sz w:val="18"/>
                <w:szCs w:val="18"/>
                <w:lang w:val="en-US" w:eastAsia="zh-CN"/>
              </w:rPr>
            </w:pPr>
            <w:r>
              <w:rPr>
                <w:rFonts w:hint="eastAsia"/>
                <w:sz w:val="18"/>
                <w:szCs w:val="18"/>
                <w:lang w:val="en-US" w:eastAsia="zh-CN"/>
              </w:rPr>
              <w:t>17</w:t>
            </w:r>
          </w:p>
        </w:tc>
        <w:tc>
          <w:tcPr>
            <w:tcW w:w="1012" w:type="dxa"/>
            <w:tcBorders>
              <w:top w:val="single" w:color="000000" w:sz="8" w:space="0"/>
              <w:left w:val="nil"/>
              <w:bottom w:val="single" w:color="000000" w:sz="8" w:space="0"/>
              <w:right w:val="nil"/>
            </w:tcBorders>
            <w:shd w:val="clear" w:color="auto" w:fill="auto"/>
            <w:noWrap/>
            <w:vAlign w:val="center"/>
          </w:tcPr>
          <w:p w14:paraId="4F37A073">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308F4FC6">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0874CCF3">
            <w:pPr>
              <w:spacing w:line="240" w:lineRule="auto"/>
              <w:rPr>
                <w:rFonts w:hint="eastAsia"/>
                <w:sz w:val="18"/>
                <w:szCs w:val="18"/>
                <w:lang w:val="en-US" w:eastAsia="zh-CN"/>
              </w:rPr>
            </w:pPr>
            <w:r>
              <w:rPr>
                <w:rFonts w:hint="eastAsia"/>
                <w:sz w:val="18"/>
                <w:szCs w:val="18"/>
                <w:lang w:val="en-US" w:eastAsia="zh-CN"/>
              </w:rPr>
              <w:t>Univariate analysis + AIC-based backward stepwise</w:t>
            </w:r>
          </w:p>
        </w:tc>
        <w:tc>
          <w:tcPr>
            <w:tcW w:w="752" w:type="dxa"/>
            <w:tcBorders>
              <w:top w:val="single" w:color="000000" w:sz="8" w:space="0"/>
              <w:left w:val="nil"/>
              <w:bottom w:val="single" w:color="000000" w:sz="8" w:space="0"/>
              <w:right w:val="nil"/>
            </w:tcBorders>
            <w:shd w:val="clear" w:color="auto" w:fill="auto"/>
            <w:noWrap/>
            <w:vAlign w:val="center"/>
          </w:tcPr>
          <w:p w14:paraId="56B96857">
            <w:pPr>
              <w:spacing w:line="240" w:lineRule="auto"/>
              <w:rPr>
                <w:rFonts w:hint="eastAsia"/>
                <w:sz w:val="18"/>
                <w:szCs w:val="18"/>
                <w:lang w:val="en-US" w:eastAsia="zh-CN"/>
              </w:rPr>
            </w:pPr>
            <w:r>
              <w:rPr>
                <w:rFonts w:hint="eastAsia"/>
                <w:sz w:val="18"/>
                <w:szCs w:val="18"/>
                <w:lang w:val="en-US" w:eastAsia="zh-CN"/>
              </w:rPr>
              <w:t>5</w:t>
            </w:r>
          </w:p>
        </w:tc>
        <w:tc>
          <w:tcPr>
            <w:tcW w:w="1614" w:type="dxa"/>
            <w:tcBorders>
              <w:top w:val="single" w:color="000000" w:sz="8" w:space="0"/>
              <w:left w:val="nil"/>
              <w:bottom w:val="single" w:color="000000" w:sz="8" w:space="0"/>
              <w:right w:val="nil"/>
            </w:tcBorders>
            <w:shd w:val="clear" w:color="auto" w:fill="auto"/>
            <w:noWrap/>
            <w:vAlign w:val="center"/>
          </w:tcPr>
          <w:p w14:paraId="5B07D725">
            <w:pPr>
              <w:spacing w:line="240" w:lineRule="auto"/>
              <w:rPr>
                <w:rFonts w:hint="eastAsia"/>
                <w:sz w:val="18"/>
                <w:szCs w:val="18"/>
                <w:lang w:val="en-US" w:eastAsia="zh-CN"/>
              </w:rPr>
            </w:pPr>
            <w:r>
              <w:rPr>
                <w:rFonts w:hint="eastAsia"/>
                <w:sz w:val="18"/>
                <w:szCs w:val="18"/>
                <w:lang w:val="en-US" w:eastAsia="zh-CN"/>
              </w:rPr>
              <w:t>BMI, NC, T2DM, Serum bicarbonate, CRP</w:t>
            </w:r>
          </w:p>
        </w:tc>
        <w:tc>
          <w:tcPr>
            <w:tcW w:w="1263" w:type="dxa"/>
            <w:tcBorders>
              <w:top w:val="single" w:color="000000" w:sz="8" w:space="0"/>
              <w:left w:val="nil"/>
              <w:bottom w:val="single" w:color="000000" w:sz="8" w:space="0"/>
              <w:right w:val="nil"/>
            </w:tcBorders>
            <w:shd w:val="clear" w:color="auto" w:fill="auto"/>
            <w:noWrap/>
            <w:vAlign w:val="center"/>
          </w:tcPr>
          <w:p w14:paraId="1FF53FD3">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56248A05">
            <w:pPr>
              <w:spacing w:line="240" w:lineRule="auto"/>
              <w:rPr>
                <w:rFonts w:hint="eastAsia"/>
                <w:sz w:val="18"/>
                <w:szCs w:val="18"/>
                <w:lang w:val="en-US" w:eastAsia="zh-CN"/>
              </w:rPr>
            </w:pPr>
            <w:r>
              <w:rPr>
                <w:rFonts w:hint="eastAsia"/>
                <w:sz w:val="18"/>
                <w:szCs w:val="18"/>
                <w:lang w:val="en-US" w:eastAsia="zh-CN"/>
              </w:rPr>
              <w:t>Nomogram + Online calculator</w:t>
            </w:r>
          </w:p>
        </w:tc>
        <w:tc>
          <w:tcPr>
            <w:tcW w:w="957" w:type="dxa"/>
            <w:tcBorders>
              <w:top w:val="single" w:color="000000" w:sz="8" w:space="0"/>
              <w:left w:val="nil"/>
              <w:bottom w:val="single" w:color="000000" w:sz="8" w:space="0"/>
              <w:right w:val="nil"/>
            </w:tcBorders>
            <w:shd w:val="clear" w:color="auto" w:fill="auto"/>
            <w:noWrap/>
            <w:vAlign w:val="center"/>
          </w:tcPr>
          <w:p w14:paraId="4646875F">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517F7DA4">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07D6AE7E">
            <w:pPr>
              <w:spacing w:line="240" w:lineRule="auto"/>
              <w:rPr>
                <w:rFonts w:hint="eastAsia"/>
                <w:sz w:val="18"/>
                <w:szCs w:val="18"/>
                <w:lang w:val="en-US" w:eastAsia="zh-CN"/>
              </w:rPr>
            </w:pPr>
            <w:r>
              <w:rPr>
                <w:rFonts w:hint="eastAsia"/>
                <w:sz w:val="18"/>
                <w:szCs w:val="18"/>
                <w:lang w:val="en-US" w:eastAsia="zh-CN"/>
              </w:rPr>
              <w:t>None</w:t>
            </w:r>
          </w:p>
        </w:tc>
      </w:tr>
      <w:tr w14:paraId="220262E4">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2284C49C">
            <w:pPr>
              <w:spacing w:line="240" w:lineRule="auto"/>
              <w:rPr>
                <w:rFonts w:hint="eastAsia"/>
                <w:sz w:val="18"/>
                <w:szCs w:val="18"/>
                <w:lang w:val="en-US" w:eastAsia="zh-CN"/>
              </w:rPr>
            </w:pPr>
            <w:r>
              <w:rPr>
                <w:rFonts w:hint="eastAsia"/>
                <w:sz w:val="18"/>
                <w:szCs w:val="18"/>
                <w:lang w:val="en-US" w:eastAsia="zh-CN"/>
              </w:rPr>
              <w:t>Atherosclerosis Index</w:t>
            </w:r>
          </w:p>
        </w:tc>
        <w:tc>
          <w:tcPr>
            <w:tcW w:w="840" w:type="dxa"/>
            <w:tcBorders>
              <w:top w:val="single" w:color="000000" w:sz="8" w:space="0"/>
              <w:left w:val="nil"/>
              <w:bottom w:val="single" w:color="000000" w:sz="8" w:space="0"/>
              <w:right w:val="nil"/>
            </w:tcBorders>
            <w:shd w:val="clear" w:color="auto" w:fill="auto"/>
            <w:noWrap/>
            <w:vAlign w:val="center"/>
          </w:tcPr>
          <w:p w14:paraId="067D0125">
            <w:pPr>
              <w:spacing w:line="240" w:lineRule="auto"/>
              <w:rPr>
                <w:rFonts w:hint="eastAsia"/>
                <w:sz w:val="18"/>
                <w:szCs w:val="18"/>
                <w:lang w:val="en-US" w:eastAsia="zh-CN"/>
              </w:rPr>
            </w:pPr>
            <w:r>
              <w:rPr>
                <w:rFonts w:hint="eastAsia"/>
                <w:sz w:val="18"/>
                <w:szCs w:val="18"/>
                <w:lang w:val="en-US" w:eastAsia="zh-CN"/>
              </w:rPr>
              <w:t>Yu H, et al., 2025</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&lt;EndNote&gt;&lt;Cite&gt;&lt;Author&gt;YU Hui&lt;/Author&gt;&lt;Year&gt;2025&lt;/Year&gt;&lt;RecNum&gt;528&lt;/RecNum&gt;&lt;DisplayText&gt;(45)&lt;/DisplayText&gt;&lt;record&gt;&lt;rec-number&gt;528&lt;/rec-number&gt;&lt;foreign-keys&gt;&lt;key app="EN" db-id="earspdaa1vazprerafqvx9tx5pvfaxf9awz0" timestamp="1775309128"&gt;528&lt;/key&gt;&lt;/foreign-keys&gt;&lt;ref-type name="期刊文献"&gt;17&lt;/ref-type&gt;&lt;contributors&gt;&lt;authors&gt;&lt;author&gt;YU Hui, SUN Guanyuan, DING Yue&lt;/author&gt;&lt;/authors&gt;&lt;/contributors&gt;&lt;titles&gt;&lt;title&gt;Risk factors and early warning risk model for elevated atherogenic index of plasma in overweight/obese type 2 diabetes patients&lt;/title&gt;&lt;secondary-title&gt;Anhui Medical and Pharmaceutical Journal&lt;/secondary-title&gt;&lt;/titles&gt;&lt;periodical&gt;&lt;full-title&gt;Anhui Medical and Pharmaceutical Journal&lt;/full-title&gt;&lt;/periodical&gt;&lt;pages&gt;2066-2070&lt;/pages&gt;&lt;volume&gt;29&lt;/volume&gt;&lt;number&gt;10&lt;/number&gt;&lt;section&gt;2066&lt;/section&gt;&lt;dates&gt;&lt;year&gt;2025&lt;/year&gt;&lt;/dates&gt;&lt;urls&gt;&lt;/urls&gt;&lt;electronic-resource-num&gt;DOI: 10.3969/j.issn.1009-6469.2025.10.031&lt;/electronic-resource-num&gt;&lt;/record&gt;&lt;/Cite&gt;&lt;/EndNote&gt;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(45)</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38CD367F">
            <w:pPr>
              <w:spacing w:line="240" w:lineRule="auto"/>
              <w:rPr>
                <w:rFonts w:hint="eastAsia"/>
                <w:sz w:val="18"/>
                <w:szCs w:val="18"/>
                <w:lang w:val="en-US" w:eastAsia="zh-CN"/>
              </w:rPr>
            </w:pPr>
            <w:r>
              <w:rPr>
                <w:rFonts w:hint="eastAsia"/>
                <w:sz w:val="18"/>
                <w:szCs w:val="18"/>
                <w:lang w:val="en-US" w:eastAsia="zh-CN"/>
              </w:rPr>
              <w:t>18</w:t>
            </w:r>
          </w:p>
        </w:tc>
        <w:tc>
          <w:tcPr>
            <w:tcW w:w="1012" w:type="dxa"/>
            <w:tcBorders>
              <w:top w:val="single" w:color="000000" w:sz="8" w:space="0"/>
              <w:left w:val="nil"/>
              <w:bottom w:val="single" w:color="000000" w:sz="8" w:space="0"/>
              <w:right w:val="nil"/>
            </w:tcBorders>
            <w:shd w:val="clear" w:color="auto" w:fill="auto"/>
            <w:noWrap/>
            <w:vAlign w:val="center"/>
          </w:tcPr>
          <w:p w14:paraId="1C0BE646">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1B4DFA9">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5EDA1933">
            <w:pPr>
              <w:spacing w:line="240" w:lineRule="auto"/>
              <w:rPr>
                <w:rFonts w:hint="eastAsia"/>
                <w:sz w:val="18"/>
                <w:szCs w:val="18"/>
                <w:lang w:val="en-US" w:eastAsia="zh-CN"/>
              </w:rPr>
            </w:pPr>
            <w:r>
              <w:rPr>
                <w:rFonts w:hint="eastAsia"/>
                <w:sz w:val="18"/>
                <w:szCs w:val="18"/>
                <w:lang w:val="en-US" w:eastAsia="zh-CN"/>
              </w:rPr>
              <w:t>Univariate analysis</w:t>
            </w:r>
          </w:p>
        </w:tc>
        <w:tc>
          <w:tcPr>
            <w:tcW w:w="752" w:type="dxa"/>
            <w:tcBorders>
              <w:top w:val="single" w:color="000000" w:sz="8" w:space="0"/>
              <w:left w:val="nil"/>
              <w:bottom w:val="single" w:color="000000" w:sz="8" w:space="0"/>
              <w:right w:val="nil"/>
            </w:tcBorders>
            <w:shd w:val="clear" w:color="auto" w:fill="auto"/>
            <w:noWrap/>
            <w:vAlign w:val="center"/>
          </w:tcPr>
          <w:p w14:paraId="76789B80">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69BE0915">
            <w:pPr>
              <w:spacing w:line="240" w:lineRule="auto"/>
              <w:rPr>
                <w:rFonts w:hint="eastAsia"/>
                <w:sz w:val="18"/>
                <w:szCs w:val="18"/>
                <w:lang w:val="en-US" w:eastAsia="zh-CN"/>
              </w:rPr>
            </w:pPr>
            <w:r>
              <w:rPr>
                <w:rFonts w:hint="eastAsia"/>
                <w:sz w:val="18"/>
                <w:szCs w:val="18"/>
                <w:lang w:val="en-US" w:eastAsia="zh-CN"/>
              </w:rPr>
              <w:t>Age, BMI, T2DM duration, FBG, HbA1c, LDL-C, CRP, Hcy</w:t>
            </w:r>
          </w:p>
        </w:tc>
        <w:tc>
          <w:tcPr>
            <w:tcW w:w="1263" w:type="dxa"/>
            <w:tcBorders>
              <w:top w:val="single" w:color="000000" w:sz="8" w:space="0"/>
              <w:left w:val="nil"/>
              <w:bottom w:val="single" w:color="000000" w:sz="8" w:space="0"/>
              <w:right w:val="nil"/>
            </w:tcBorders>
            <w:shd w:val="clear" w:color="auto" w:fill="auto"/>
            <w:noWrap/>
            <w:vAlign w:val="center"/>
          </w:tcPr>
          <w:p w14:paraId="2F9375B0">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6AD20008">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1C4CD0F2">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66D4D9D0">
            <w:pPr>
              <w:spacing w:line="240" w:lineRule="auto"/>
              <w:rPr>
                <w:rFonts w:hint="eastAsia"/>
                <w:sz w:val="18"/>
                <w:szCs w:val="18"/>
                <w:lang w:val="en-US" w:eastAsia="zh-CN"/>
              </w:rPr>
            </w:pPr>
            <w:r>
              <w:rPr>
                <w:rFonts w:hint="eastAsia"/>
                <w:sz w:val="18"/>
                <w:szCs w:val="18"/>
                <w:lang w:val="en-US" w:eastAsia="zh-CN"/>
              </w:rPr>
              <w:t>Bootstrap</w:t>
            </w:r>
          </w:p>
        </w:tc>
        <w:tc>
          <w:tcPr>
            <w:tcW w:w="959" w:type="dxa"/>
            <w:tcBorders>
              <w:top w:val="single" w:color="000000" w:sz="8" w:space="0"/>
              <w:left w:val="nil"/>
              <w:bottom w:val="single" w:color="000000" w:sz="8" w:space="0"/>
              <w:right w:val="nil"/>
            </w:tcBorders>
            <w:shd w:val="clear" w:color="auto" w:fill="auto"/>
            <w:noWrap/>
            <w:vAlign w:val="center"/>
          </w:tcPr>
          <w:p w14:paraId="5A8B986C">
            <w:pPr>
              <w:spacing w:line="240" w:lineRule="auto"/>
              <w:rPr>
                <w:rFonts w:hint="eastAsia"/>
                <w:sz w:val="18"/>
                <w:szCs w:val="18"/>
                <w:lang w:val="en-US" w:eastAsia="zh-CN"/>
              </w:rPr>
            </w:pPr>
            <w:r>
              <w:rPr>
                <w:rFonts w:hint="eastAsia"/>
                <w:sz w:val="18"/>
                <w:szCs w:val="18"/>
                <w:lang w:val="en-US" w:eastAsia="zh-CN"/>
              </w:rPr>
              <w:t>None</w:t>
            </w:r>
          </w:p>
        </w:tc>
      </w:tr>
      <w:tr w14:paraId="649E8E3F">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4099A121">
            <w:pPr>
              <w:spacing w:line="240" w:lineRule="auto"/>
              <w:rPr>
                <w:rFonts w:hint="eastAsia"/>
                <w:sz w:val="18"/>
                <w:szCs w:val="18"/>
                <w:lang w:val="en-US" w:eastAsia="zh-CN"/>
              </w:rPr>
            </w:pPr>
            <w:r>
              <w:rPr>
                <w:rFonts w:hint="eastAsia"/>
                <w:sz w:val="18"/>
                <w:szCs w:val="18"/>
                <w:lang w:val="en-US" w:eastAsia="zh-CN"/>
              </w:rPr>
              <w:t>Subclinical Carotid Atherosclerosis</w:t>
            </w:r>
          </w:p>
        </w:tc>
        <w:tc>
          <w:tcPr>
            <w:tcW w:w="840" w:type="dxa"/>
            <w:tcBorders>
              <w:top w:val="single" w:color="000000" w:sz="8" w:space="0"/>
              <w:left w:val="nil"/>
              <w:bottom w:val="single" w:color="000000" w:sz="8" w:space="0"/>
              <w:right w:val="nil"/>
            </w:tcBorders>
            <w:shd w:val="clear" w:color="auto" w:fill="auto"/>
            <w:noWrap/>
            <w:vAlign w:val="center"/>
          </w:tcPr>
          <w:p w14:paraId="4AE35222">
            <w:pPr>
              <w:spacing w:line="240" w:lineRule="auto"/>
              <w:rPr>
                <w:rFonts w:hint="eastAsia"/>
                <w:sz w:val="18"/>
                <w:szCs w:val="18"/>
                <w:lang w:val="en-US" w:eastAsia="zh-CN"/>
              </w:rPr>
            </w:pPr>
            <w:r>
              <w:rPr>
                <w:rFonts w:hint="eastAsia"/>
                <w:sz w:val="18"/>
                <w:szCs w:val="18"/>
                <w:lang w:val="en-US" w:eastAsia="zh-CN"/>
              </w:rPr>
              <w:t>Geng D, et al., 2024</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&lt;EndNote&gt;&lt;Cite&gt;&lt;Author&gt;Dandan&lt;/Author&gt;&lt;Year&gt;2024&lt;/Year&gt;&lt;RecNum&gt;538&lt;/RecNum&gt;&lt;DisplayText&gt;(46)&lt;/DisplayText&gt;&lt;record&gt;&lt;rec-number&gt;538&lt;/rec-number&gt;&lt;foreign-keys&gt;&lt;key app="EN" db-id="earspdaa1vazprerafqvx9tx5pvfaxf9awz0" timestamp="1775312234"&gt;538&lt;/key&gt;&lt;/foreign-keys&gt;&lt;ref-type name="学位论文"&gt;32&lt;/ref-type&gt;&lt;contributors&gt;&lt;authors&gt;&lt;author&gt;GENG Dandan&lt;/author&gt;&lt;/authors&gt;&lt;/contributors&gt;&lt;titles&gt;&lt;title&gt;Risk Prediction Model for Subclinical Carotid Atherosclerosis in Centrally Obese Population: Establishment and Evaluation&lt;/title&gt;&lt;secondary-title&gt;Hebei General Hospital, School of Neurology&lt;/secondary-title&gt;&lt;/titles&gt;&lt;number&gt;DOI: 10.27111/d.cnki.ghyku.2024.001212&lt;/number&gt;&lt;dates&gt;&lt;year&gt;2024&lt;/year&gt;&lt;/dates&gt;&lt;publisher&gt;Hebei Medical University&amp;#x9;&lt;/publisher&gt;&lt;urls&gt;&lt;/urls&gt;&lt;electronic-resource-num&gt;10.27111/d.cnki.ghyku.2024.001212&lt;/electronic-resource-num&gt;&lt;/record&gt;&lt;/Cite&gt;&lt;/EndNote&gt;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(46)</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65494417">
            <w:pPr>
              <w:spacing w:line="240" w:lineRule="auto"/>
              <w:rPr>
                <w:rFonts w:hint="eastAsia"/>
                <w:sz w:val="18"/>
                <w:szCs w:val="18"/>
                <w:lang w:val="en-US" w:eastAsia="zh-CN"/>
              </w:rPr>
            </w:pPr>
            <w:r>
              <w:rPr>
                <w:rFonts w:hint="eastAsia"/>
                <w:sz w:val="18"/>
                <w:szCs w:val="18"/>
                <w:lang w:val="en-US" w:eastAsia="zh-CN"/>
              </w:rPr>
              <w:t>19</w:t>
            </w:r>
          </w:p>
        </w:tc>
        <w:tc>
          <w:tcPr>
            <w:tcW w:w="1012" w:type="dxa"/>
            <w:tcBorders>
              <w:top w:val="single" w:color="000000" w:sz="8" w:space="0"/>
              <w:left w:val="nil"/>
              <w:bottom w:val="single" w:color="000000" w:sz="8" w:space="0"/>
              <w:right w:val="nil"/>
            </w:tcBorders>
            <w:shd w:val="clear" w:color="auto" w:fill="auto"/>
            <w:noWrap/>
            <w:vAlign w:val="center"/>
          </w:tcPr>
          <w:p w14:paraId="589E85B7">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4BDDBFC4">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7B326631">
            <w:pPr>
              <w:spacing w:line="240" w:lineRule="auto"/>
              <w:rPr>
                <w:rFonts w:hint="eastAsia"/>
                <w:sz w:val="18"/>
                <w:szCs w:val="18"/>
                <w:lang w:val="en-US" w:eastAsia="zh-CN"/>
              </w:rPr>
            </w:pPr>
            <w:r>
              <w:rPr>
                <w:rFonts w:hint="eastAsia"/>
                <w:sz w:val="18"/>
                <w:szCs w:val="18"/>
                <w:lang w:val="en-US" w:eastAsia="zh-CN"/>
              </w:rPr>
              <w:t>Univariate logistic + backward stepwise + LASSO</w:t>
            </w:r>
          </w:p>
        </w:tc>
        <w:tc>
          <w:tcPr>
            <w:tcW w:w="752" w:type="dxa"/>
            <w:tcBorders>
              <w:top w:val="single" w:color="000000" w:sz="8" w:space="0"/>
              <w:left w:val="nil"/>
              <w:bottom w:val="single" w:color="000000" w:sz="8" w:space="0"/>
              <w:right w:val="nil"/>
            </w:tcBorders>
            <w:shd w:val="clear" w:color="auto" w:fill="auto"/>
            <w:noWrap/>
            <w:vAlign w:val="center"/>
          </w:tcPr>
          <w:p w14:paraId="5FC8A3AA">
            <w:pPr>
              <w:spacing w:line="240" w:lineRule="auto"/>
              <w:rPr>
                <w:rFonts w:hint="eastAsia"/>
                <w:sz w:val="18"/>
                <w:szCs w:val="18"/>
                <w:lang w:val="en-US" w:eastAsia="zh-CN"/>
              </w:rPr>
            </w:pPr>
            <w:r>
              <w:rPr>
                <w:rFonts w:hint="eastAsia"/>
                <w:sz w:val="18"/>
                <w:szCs w:val="18"/>
                <w:lang w:val="en-US" w:eastAsia="zh-CN"/>
              </w:rPr>
              <w:t>8</w:t>
            </w:r>
          </w:p>
        </w:tc>
        <w:tc>
          <w:tcPr>
            <w:tcW w:w="1614" w:type="dxa"/>
            <w:tcBorders>
              <w:top w:val="single" w:color="000000" w:sz="8" w:space="0"/>
              <w:left w:val="nil"/>
              <w:bottom w:val="single" w:color="000000" w:sz="8" w:space="0"/>
              <w:right w:val="nil"/>
            </w:tcBorders>
            <w:shd w:val="clear" w:color="auto" w:fill="auto"/>
            <w:noWrap/>
            <w:vAlign w:val="center"/>
          </w:tcPr>
          <w:p w14:paraId="3FA0BEAE">
            <w:pPr>
              <w:spacing w:line="240" w:lineRule="auto"/>
              <w:rPr>
                <w:rFonts w:hint="eastAsia"/>
                <w:sz w:val="18"/>
                <w:szCs w:val="18"/>
                <w:lang w:val="en-US" w:eastAsia="zh-CN"/>
              </w:rPr>
            </w:pPr>
            <w:r>
              <w:rPr>
                <w:rFonts w:hint="eastAsia"/>
                <w:sz w:val="18"/>
                <w:szCs w:val="18"/>
                <w:lang w:val="en-US" w:eastAsia="zh-CN"/>
              </w:rPr>
              <w:t>Age, Smoking, Hypertension, T2DM, SBP, TC, TG, LDL-C/HDL-C ratio</w:t>
            </w:r>
          </w:p>
        </w:tc>
        <w:tc>
          <w:tcPr>
            <w:tcW w:w="1263" w:type="dxa"/>
            <w:tcBorders>
              <w:top w:val="single" w:color="000000" w:sz="8" w:space="0"/>
              <w:left w:val="nil"/>
              <w:bottom w:val="single" w:color="000000" w:sz="8" w:space="0"/>
              <w:right w:val="nil"/>
            </w:tcBorders>
            <w:shd w:val="clear" w:color="auto" w:fill="auto"/>
            <w:noWrap/>
            <w:vAlign w:val="center"/>
          </w:tcPr>
          <w:p w14:paraId="641FE421">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377748BF">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79802066">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0350E280">
            <w:pPr>
              <w:spacing w:line="240" w:lineRule="auto"/>
              <w:rPr>
                <w:rFonts w:hint="eastAsia"/>
                <w:sz w:val="18"/>
                <w:szCs w:val="18"/>
                <w:lang w:val="en-US" w:eastAsia="zh-CN"/>
              </w:rPr>
            </w:pPr>
            <w:r>
              <w:rPr>
                <w:rFonts w:hint="eastAsia"/>
                <w:sz w:val="18"/>
                <w:szCs w:val="18"/>
                <w:lang w:val="en-US" w:eastAsia="zh-CN"/>
              </w:rPr>
              <w:t>Bootstrap + 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09801774">
            <w:pPr>
              <w:spacing w:line="240" w:lineRule="auto"/>
              <w:rPr>
                <w:rFonts w:hint="eastAsia"/>
                <w:sz w:val="18"/>
                <w:szCs w:val="18"/>
                <w:lang w:val="en-US" w:eastAsia="zh-CN"/>
              </w:rPr>
            </w:pPr>
            <w:r>
              <w:rPr>
                <w:rFonts w:hint="eastAsia"/>
                <w:sz w:val="18"/>
                <w:szCs w:val="18"/>
                <w:lang w:val="en-US" w:eastAsia="zh-CN"/>
              </w:rPr>
              <w:t>None</w:t>
            </w:r>
          </w:p>
        </w:tc>
      </w:tr>
      <w:tr w14:paraId="7E78781B">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0550EDA5">
            <w:pPr>
              <w:spacing w:line="240" w:lineRule="auto"/>
              <w:rPr>
                <w:rFonts w:hint="eastAsia"/>
                <w:sz w:val="18"/>
                <w:szCs w:val="18"/>
                <w:lang w:val="en-US" w:eastAsia="zh-CN"/>
              </w:rPr>
            </w:pPr>
            <w:r>
              <w:rPr>
                <w:rFonts w:hint="eastAsia"/>
                <w:sz w:val="18"/>
                <w:szCs w:val="18"/>
                <w:lang w:val="en-US" w:eastAsia="zh-CN"/>
              </w:rPr>
              <w:t>Diabetic Nephropathy</w:t>
            </w:r>
          </w:p>
        </w:tc>
        <w:tc>
          <w:tcPr>
            <w:tcW w:w="840" w:type="dxa"/>
            <w:tcBorders>
              <w:top w:val="single" w:color="000000" w:sz="8" w:space="0"/>
              <w:left w:val="nil"/>
              <w:bottom w:val="single" w:color="000000" w:sz="8" w:space="0"/>
              <w:right w:val="nil"/>
            </w:tcBorders>
            <w:shd w:val="clear" w:color="auto" w:fill="auto"/>
            <w:noWrap/>
            <w:vAlign w:val="center"/>
          </w:tcPr>
          <w:p w14:paraId="26ED02BD">
            <w:pPr>
              <w:spacing w:line="240" w:lineRule="auto"/>
              <w:rPr>
                <w:rFonts w:hint="eastAsia"/>
                <w:sz w:val="18"/>
                <w:szCs w:val="18"/>
                <w:lang w:val="en-US" w:eastAsia="zh-CN"/>
              </w:rPr>
            </w:pPr>
            <w:r>
              <w:rPr>
                <w:rFonts w:hint="eastAsia"/>
                <w:sz w:val="18"/>
                <w:szCs w:val="18"/>
                <w:lang w:val="en-US" w:eastAsia="zh-CN"/>
              </w:rPr>
              <w:t>Shi J, et al., 2025</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&lt;EndNote&gt;&lt;Cite&gt;&lt;Author&gt;SHI Jie&lt;/Author&gt;&lt;Year&gt;2025&lt;/Year&gt;&lt;RecNum&gt;526&lt;/RecNum&gt;&lt;DisplayText&gt;(47)&lt;/DisplayText&gt;&lt;record&gt;&lt;rec-number&gt;526&lt;/rec-number&gt;&lt;foreign-keys&gt;&lt;key app="EN" db-id="earspdaa1vazprerafqvx9tx5pvfaxf9awz0" timestamp="1775308694"&gt;526&lt;/key&gt;&lt;/foreign-keys&gt;&lt;ref-type name="期刊文献"&gt;17&lt;/ref-type&gt;&lt;contributors&gt;&lt;authors&gt;&lt;author&gt;SHI Jie, ZHANG Yao, LIN Jiarui, GUO Xiaodi, LIU Shuhong, HU Xiling&lt;/author&gt;&lt;/authors&gt;&lt;/contributors&gt;&lt;titles&gt;&lt;title&gt;Development and validation of a nomogram-based assessment model for the risk of diabetic nephropathy in obese type 2 diabetes mellitus patients&lt;/title&gt;&lt;secondary-title&gt;Journal of New Medicine&lt;/secondary-title&gt;&lt;/titles&gt;&lt;periodical&gt;&lt;full-title&gt;Journal of New Medicine&lt;/full-title&gt;&lt;/periodical&gt;&lt;pages&gt;986-994&lt;/pages&gt;&lt;volume&gt;56&lt;/volume&gt;&lt;number&gt;10&lt;/number&gt;&lt;section&gt;986&lt;/section&gt;&lt;dates&gt;&lt;year&gt;2025&lt;/year&gt;&lt;/dates&gt;&lt;urls&gt;&lt;/urls&gt;&lt;electronic-resource-num&gt;DOI: 10.12464/j.issn.0253-9802.2025-0213&lt;/electronic-resource-num&gt;&lt;/record&gt;&lt;/Cite&gt;&lt;/EndNote&gt;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(47)</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11007487">
            <w:pPr>
              <w:spacing w:line="240" w:lineRule="auto"/>
              <w:rPr>
                <w:rFonts w:hint="eastAsia"/>
                <w:sz w:val="18"/>
                <w:szCs w:val="18"/>
                <w:lang w:val="en-US" w:eastAsia="zh-CN"/>
              </w:rPr>
            </w:pPr>
            <w:r>
              <w:rPr>
                <w:rFonts w:hint="eastAsia"/>
                <w:sz w:val="18"/>
                <w:szCs w:val="18"/>
                <w:lang w:val="en-US" w:eastAsia="zh-CN"/>
              </w:rPr>
              <w:t>20</w:t>
            </w:r>
          </w:p>
        </w:tc>
        <w:tc>
          <w:tcPr>
            <w:tcW w:w="1012" w:type="dxa"/>
            <w:tcBorders>
              <w:top w:val="single" w:color="000000" w:sz="8" w:space="0"/>
              <w:left w:val="nil"/>
              <w:bottom w:val="single" w:color="000000" w:sz="8" w:space="0"/>
              <w:right w:val="nil"/>
            </w:tcBorders>
            <w:shd w:val="clear" w:color="auto" w:fill="auto"/>
            <w:noWrap/>
            <w:vAlign w:val="center"/>
          </w:tcPr>
          <w:p w14:paraId="2EABFD46">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13B6FE20">
            <w:pPr>
              <w:spacing w:line="240" w:lineRule="auto"/>
              <w:rPr>
                <w:rFonts w:hint="eastAsia"/>
                <w:sz w:val="18"/>
                <w:szCs w:val="18"/>
                <w:lang w:val="en-US" w:eastAsia="zh-CN"/>
              </w:rPr>
            </w:pPr>
            <w:r>
              <w:rPr>
                <w:rFonts w:hint="eastAsia"/>
                <w:sz w:val="18"/>
                <w:szCs w:val="18"/>
                <w:lang w:val="en-US" w:eastAsia="zh-CN"/>
              </w:rPr>
              <w:t>Multiple imputation</w:t>
            </w:r>
          </w:p>
        </w:tc>
        <w:tc>
          <w:tcPr>
            <w:tcW w:w="1441" w:type="dxa"/>
            <w:tcBorders>
              <w:top w:val="single" w:color="000000" w:sz="8" w:space="0"/>
              <w:left w:val="nil"/>
              <w:bottom w:val="single" w:color="000000" w:sz="8" w:space="0"/>
              <w:right w:val="nil"/>
            </w:tcBorders>
            <w:shd w:val="clear" w:color="auto" w:fill="auto"/>
            <w:noWrap/>
            <w:vAlign w:val="center"/>
          </w:tcPr>
          <w:p w14:paraId="12F94802">
            <w:pPr>
              <w:spacing w:line="240" w:lineRule="auto"/>
              <w:rPr>
                <w:rFonts w:hint="eastAsia"/>
                <w:sz w:val="18"/>
                <w:szCs w:val="18"/>
                <w:lang w:val="en-US" w:eastAsia="zh-CN"/>
              </w:rPr>
            </w:pPr>
            <w:r>
              <w:rPr>
                <w:rFonts w:hint="eastAsia"/>
                <w:sz w:val="18"/>
                <w:szCs w:val="18"/>
                <w:lang w:val="en-US" w:eastAsia="zh-CN"/>
              </w:rPr>
              <w:t>Univariate logistic regression + LASSO</w:t>
            </w:r>
          </w:p>
        </w:tc>
        <w:tc>
          <w:tcPr>
            <w:tcW w:w="752" w:type="dxa"/>
            <w:tcBorders>
              <w:top w:val="single" w:color="000000" w:sz="8" w:space="0"/>
              <w:left w:val="nil"/>
              <w:bottom w:val="single" w:color="000000" w:sz="8" w:space="0"/>
              <w:right w:val="nil"/>
            </w:tcBorders>
            <w:shd w:val="clear" w:color="auto" w:fill="auto"/>
            <w:noWrap/>
            <w:vAlign w:val="center"/>
          </w:tcPr>
          <w:p w14:paraId="27F45CF6">
            <w:pPr>
              <w:spacing w:line="240" w:lineRule="auto"/>
              <w:rPr>
                <w:rFonts w:hint="eastAsia"/>
                <w:sz w:val="18"/>
                <w:szCs w:val="18"/>
                <w:lang w:val="en-US" w:eastAsia="zh-CN"/>
              </w:rPr>
            </w:pPr>
            <w:r>
              <w:rPr>
                <w:rFonts w:hint="eastAsia"/>
                <w:sz w:val="18"/>
                <w:szCs w:val="18"/>
                <w:lang w:val="en-US" w:eastAsia="zh-CN"/>
              </w:rPr>
              <w:t>4</w:t>
            </w:r>
          </w:p>
        </w:tc>
        <w:tc>
          <w:tcPr>
            <w:tcW w:w="1614" w:type="dxa"/>
            <w:tcBorders>
              <w:top w:val="single" w:color="000000" w:sz="8" w:space="0"/>
              <w:left w:val="nil"/>
              <w:bottom w:val="single" w:color="000000" w:sz="8" w:space="0"/>
              <w:right w:val="nil"/>
            </w:tcBorders>
            <w:shd w:val="clear" w:color="auto" w:fill="auto"/>
            <w:noWrap/>
            <w:vAlign w:val="center"/>
          </w:tcPr>
          <w:p w14:paraId="3C26998A">
            <w:pPr>
              <w:spacing w:line="240" w:lineRule="auto"/>
              <w:rPr>
                <w:rFonts w:hint="eastAsia"/>
                <w:sz w:val="18"/>
                <w:szCs w:val="18"/>
                <w:lang w:val="en-US" w:eastAsia="zh-CN"/>
              </w:rPr>
            </w:pPr>
            <w:r>
              <w:rPr>
                <w:rFonts w:hint="eastAsia"/>
                <w:sz w:val="18"/>
                <w:szCs w:val="18"/>
                <w:lang w:val="en-US" w:eastAsia="zh-CN"/>
              </w:rPr>
              <w:t>Hypertension, T2DM duration, ALB, Serum Cr</w:t>
            </w:r>
          </w:p>
        </w:tc>
        <w:tc>
          <w:tcPr>
            <w:tcW w:w="1263" w:type="dxa"/>
            <w:tcBorders>
              <w:top w:val="single" w:color="000000" w:sz="8" w:space="0"/>
              <w:left w:val="nil"/>
              <w:bottom w:val="single" w:color="000000" w:sz="8" w:space="0"/>
              <w:right w:val="nil"/>
            </w:tcBorders>
            <w:shd w:val="clear" w:color="auto" w:fill="auto"/>
            <w:noWrap/>
            <w:vAlign w:val="center"/>
          </w:tcPr>
          <w:p w14:paraId="3832E110">
            <w:pPr>
              <w:spacing w:line="240" w:lineRule="auto"/>
              <w:rPr>
                <w:rFonts w:hint="eastAsia"/>
                <w:sz w:val="18"/>
                <w:szCs w:val="18"/>
                <w:lang w:val="en-US" w:eastAsia="zh-CN"/>
              </w:rPr>
            </w:pPr>
            <w:r>
              <w:rPr>
                <w:rFonts w:hint="eastAsia"/>
                <w:sz w:val="18"/>
                <w:szCs w:val="18"/>
                <w:lang w:val="en-US" w:eastAsia="zh-CN"/>
              </w:rPr>
              <w:t>Bidirectional stepwise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993B0AD">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4636C76E">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4FE54374">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7869D08C">
            <w:pPr>
              <w:spacing w:line="240" w:lineRule="auto"/>
              <w:rPr>
                <w:rFonts w:hint="eastAsia"/>
                <w:sz w:val="18"/>
                <w:szCs w:val="18"/>
                <w:lang w:val="en-US" w:eastAsia="zh-CN"/>
              </w:rPr>
            </w:pPr>
            <w:r>
              <w:rPr>
                <w:rFonts w:hint="eastAsia"/>
                <w:sz w:val="18"/>
                <w:szCs w:val="18"/>
                <w:lang w:val="en-US" w:eastAsia="zh-CN"/>
              </w:rPr>
              <w:t>None</w:t>
            </w:r>
          </w:p>
        </w:tc>
      </w:tr>
      <w:tr w14:paraId="37F79FFC">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19BCB07B">
            <w:pPr>
              <w:spacing w:line="240" w:lineRule="auto"/>
              <w:rPr>
                <w:rFonts w:hint="eastAsia"/>
                <w:sz w:val="18"/>
                <w:szCs w:val="18"/>
                <w:lang w:val="en-US" w:eastAsia="zh-CN"/>
              </w:rPr>
            </w:pPr>
            <w:r>
              <w:rPr>
                <w:rFonts w:hint="eastAsia"/>
                <w:sz w:val="18"/>
                <w:szCs w:val="18"/>
                <w:lang w:val="en-US" w:eastAsia="zh-CN"/>
              </w:rPr>
              <w:t>Hyperuricemia</w:t>
            </w:r>
          </w:p>
        </w:tc>
        <w:tc>
          <w:tcPr>
            <w:tcW w:w="840" w:type="dxa"/>
            <w:tcBorders>
              <w:top w:val="single" w:color="000000" w:sz="8" w:space="0"/>
              <w:left w:val="nil"/>
              <w:bottom w:val="single" w:color="000000" w:sz="8" w:space="0"/>
              <w:right w:val="nil"/>
            </w:tcBorders>
            <w:shd w:val="clear" w:color="auto" w:fill="auto"/>
            <w:noWrap/>
            <w:vAlign w:val="center"/>
          </w:tcPr>
          <w:p w14:paraId="28EFCA6F">
            <w:pPr>
              <w:spacing w:line="240" w:lineRule="auto"/>
              <w:rPr>
                <w:rFonts w:hint="eastAsia"/>
                <w:sz w:val="18"/>
                <w:szCs w:val="18"/>
                <w:lang w:val="en-US" w:eastAsia="zh-CN"/>
              </w:rPr>
            </w:pPr>
            <w:r>
              <w:rPr>
                <w:rFonts w:hint="eastAsia"/>
                <w:sz w:val="18"/>
                <w:szCs w:val="18"/>
                <w:lang w:val="en-US" w:eastAsia="zh-CN"/>
              </w:rPr>
              <w:t>Li L, et al., 2021</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 Luwei&lt;/Author&gt;&lt;Year&gt;2021&lt;/Year&gt;&lt;RecNum&gt;536&lt;/RecNum&gt;&lt;DisplayText&gt;(48)&lt;/DisplayText&gt;&lt;record&gt;&lt;rec-number&gt;536&lt;/rec-number&gt;&lt;foreign-keys&gt;&lt;key app="EN" db-id="earspdaa1vazprerafqvx9tx5pvfaxf9awz0" timestamp="1775310702"&gt;536&lt;/key&gt;&lt;/foreign-keys&gt;&lt;ref-type name="期刊文献"&gt;17&lt;/ref-type&gt;&lt;contributors&gt;&lt;authors&gt;&lt;author&gt;LI Luwei, HUANG Qian, SHI Jiacheng, LIU Xiaoling, WANG Caimei, YU Ping, WU Lan, QIN Yang, JIANG Renmei, YU Jian&lt;/author&gt;&lt;/authors&gt;&lt;/contributors&gt;&lt;titles&gt;&lt;title&gt;Construction and evaluation of hyperuricemia prediction model for overweight and obese population&lt;/title&gt;&lt;secondary-title&gt;The Journal of Practical Medicine&lt;/secondary-title&gt;&lt;/titles&gt;&lt;periodical&gt;&lt;full-title&gt;The Journal of Practical Medicine&lt;/full-title&gt;&lt;/periodical&gt;&lt;pages&gt;2401-2406&lt;/pages&gt;&lt;volume&gt;37&lt;/volume&gt;&lt;number&gt;18&lt;/number&gt;&lt;section&gt;2401&lt;/section&gt;&lt;dates&gt;&lt;year&gt;2021&lt;/year&gt;&lt;/dates&gt;&lt;urls&gt;&lt;/urls&gt;&lt;electronic-resource-num&gt;DOI: 10.3969/j.issn.1006-5725.2021.18.019&lt;/electronic-resource-num&gt;&lt;/record&gt;&lt;/Cite&gt;&lt;/EndNote&gt;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(48)</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5CFCDEAB">
            <w:pPr>
              <w:spacing w:line="240" w:lineRule="auto"/>
              <w:rPr>
                <w:rFonts w:hint="eastAsia"/>
                <w:sz w:val="18"/>
                <w:szCs w:val="18"/>
                <w:lang w:val="en-US" w:eastAsia="zh-CN"/>
              </w:rPr>
            </w:pPr>
            <w:r>
              <w:rPr>
                <w:rFonts w:hint="eastAsia"/>
                <w:sz w:val="18"/>
                <w:szCs w:val="18"/>
                <w:lang w:val="en-US" w:eastAsia="zh-CN"/>
              </w:rPr>
              <w:t>21A</w:t>
            </w:r>
          </w:p>
        </w:tc>
        <w:tc>
          <w:tcPr>
            <w:tcW w:w="1012" w:type="dxa"/>
            <w:tcBorders>
              <w:top w:val="single" w:color="000000" w:sz="8" w:space="0"/>
              <w:left w:val="nil"/>
              <w:bottom w:val="single" w:color="000000" w:sz="8" w:space="0"/>
              <w:right w:val="nil"/>
            </w:tcBorders>
            <w:shd w:val="clear" w:color="auto" w:fill="auto"/>
            <w:noWrap/>
            <w:vAlign w:val="center"/>
          </w:tcPr>
          <w:p w14:paraId="48EE4E81">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38CB82D3">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2317143F">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37DC33C2">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21F520E9">
            <w:pPr>
              <w:spacing w:line="240" w:lineRule="auto"/>
              <w:rPr>
                <w:rFonts w:hint="eastAsia"/>
                <w:sz w:val="18"/>
                <w:szCs w:val="18"/>
                <w:lang w:val="en-US" w:eastAsia="zh-CN"/>
              </w:rPr>
            </w:pPr>
            <w:r>
              <w:rPr>
                <w:rFonts w:hint="eastAsia"/>
                <w:sz w:val="18"/>
                <w:szCs w:val="18"/>
                <w:lang w:val="en-US" w:eastAsia="zh-CN"/>
              </w:rPr>
              <w:t>Age, Sex, Cr, TC, HDL-c, LDL-c</w:t>
            </w:r>
          </w:p>
        </w:tc>
        <w:tc>
          <w:tcPr>
            <w:tcW w:w="1263" w:type="dxa"/>
            <w:tcBorders>
              <w:top w:val="single" w:color="000000" w:sz="8" w:space="0"/>
              <w:left w:val="nil"/>
              <w:bottom w:val="single" w:color="000000" w:sz="8" w:space="0"/>
              <w:right w:val="nil"/>
            </w:tcBorders>
            <w:shd w:val="clear" w:color="auto" w:fill="auto"/>
            <w:noWrap/>
            <w:vAlign w:val="center"/>
          </w:tcPr>
          <w:p w14:paraId="73032C0A">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293BA3DE">
            <w:pPr>
              <w:spacing w:line="240" w:lineRule="auto"/>
              <w:rPr>
                <w:rFonts w:hint="eastAsia"/>
                <w:sz w:val="18"/>
                <w:szCs w:val="18"/>
                <w:lang w:val="en-US" w:eastAsia="zh-CN"/>
              </w:rPr>
            </w:pPr>
            <w:r>
              <w:rPr>
                <w:rFonts w:hint="eastAsia"/>
                <w:sz w:val="18"/>
                <w:szCs w:val="18"/>
                <w:lang w:val="en-US" w:eastAsia="zh-CN"/>
              </w:rPr>
              <w:t>Classification tree</w:t>
            </w:r>
          </w:p>
        </w:tc>
        <w:tc>
          <w:tcPr>
            <w:tcW w:w="957" w:type="dxa"/>
            <w:tcBorders>
              <w:top w:val="single" w:color="000000" w:sz="8" w:space="0"/>
              <w:left w:val="nil"/>
              <w:bottom w:val="single" w:color="000000" w:sz="8" w:space="0"/>
              <w:right w:val="nil"/>
            </w:tcBorders>
            <w:shd w:val="clear" w:color="auto" w:fill="auto"/>
            <w:noWrap/>
            <w:vAlign w:val="center"/>
          </w:tcPr>
          <w:p w14:paraId="098F97F3">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6988151B">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1EA0E49E">
            <w:pPr>
              <w:spacing w:line="240" w:lineRule="auto"/>
              <w:rPr>
                <w:rFonts w:hint="eastAsia"/>
                <w:sz w:val="18"/>
                <w:szCs w:val="18"/>
                <w:lang w:val="en-US" w:eastAsia="zh-CN"/>
              </w:rPr>
            </w:pPr>
            <w:r>
              <w:rPr>
                <w:rFonts w:hint="eastAsia"/>
                <w:sz w:val="18"/>
                <w:szCs w:val="18"/>
                <w:lang w:val="en-US" w:eastAsia="zh-CN"/>
              </w:rPr>
              <w:t>None</w:t>
            </w:r>
          </w:p>
        </w:tc>
      </w:tr>
      <w:tr w14:paraId="583ACD44">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0F8646F3">
            <w:pPr>
              <w:spacing w:line="240" w:lineRule="auto"/>
              <w:rPr>
                <w:rFonts w:hint="eastAsia"/>
                <w:sz w:val="18"/>
                <w:szCs w:val="18"/>
                <w:lang w:val="en-US" w:eastAsia="zh-CN"/>
              </w:rPr>
            </w:pPr>
            <w:r>
              <w:rPr>
                <w:rFonts w:hint="eastAsia"/>
                <w:sz w:val="18"/>
                <w:szCs w:val="18"/>
                <w:lang w:val="en-US" w:eastAsia="zh-CN"/>
              </w:rPr>
              <w:t>Hyperuricemia</w:t>
            </w:r>
          </w:p>
        </w:tc>
        <w:tc>
          <w:tcPr>
            <w:tcW w:w="840" w:type="dxa"/>
            <w:tcBorders>
              <w:top w:val="single" w:color="000000" w:sz="8" w:space="0"/>
              <w:left w:val="nil"/>
              <w:bottom w:val="single" w:color="000000" w:sz="8" w:space="0"/>
              <w:right w:val="nil"/>
            </w:tcBorders>
            <w:shd w:val="clear" w:color="auto" w:fill="auto"/>
            <w:noWrap/>
            <w:vAlign w:val="center"/>
          </w:tcPr>
          <w:p w14:paraId="429E7E59">
            <w:pPr>
              <w:spacing w:line="240" w:lineRule="auto"/>
              <w:rPr>
                <w:rFonts w:hint="eastAsia"/>
                <w:sz w:val="18"/>
                <w:szCs w:val="18"/>
                <w:lang w:val="en-US" w:eastAsia="zh-CN"/>
              </w:rPr>
            </w:pPr>
            <w:r>
              <w:rPr>
                <w:rFonts w:hint="eastAsia"/>
                <w:sz w:val="18"/>
                <w:szCs w:val="18"/>
                <w:lang w:val="en-US" w:eastAsia="zh-CN"/>
              </w:rPr>
              <w:t>Li L, et al., 2021</w:t>
            </w:r>
            <w:r>
              <w:rPr>
                <w:rFonts w:hint="eastAsia"/>
                <w:sz w:val="18"/>
                <w:szCs w:val="18"/>
                <w:lang w:val="en-US" w:eastAsia="zh-CN"/>
              </w:rPr>
              <w:fldChar w:fldCharType="begin"/>
            </w:r>
            <w:r>
              <w:rPr>
                <w:rFonts w:hint="eastAsia"/>
                <w:sz w:val="18"/>
                <w:szCs w:val="18"/>
                <w:lang w:val="en-US" w:eastAsia="zh-CN"/>
              </w:rPr>
              <w:instrText xml:space="preserve"> ADDIN EN.CITE &lt;EndNote&gt;&lt;Cite&gt;&lt;Author&gt;LI Luwei&lt;/Author&gt;&lt;Year&gt;2021&lt;/Year&gt;&lt;RecNum&gt;536&lt;/RecNum&gt;&lt;DisplayText&gt;(48)&lt;/DisplayText&gt;&lt;record&gt;&lt;rec-number&gt;536&lt;/rec-number&gt;&lt;foreign-keys&gt;&lt;key app="EN" db-id="earspdaa1vazprerafqvx9tx5pvfaxf9awz0" timestamp="1775310702"&gt;536&lt;/key&gt;&lt;/foreign-keys&gt;&lt;ref-type name="期刊文献"&gt;17&lt;/ref-type&gt;&lt;contributors&gt;&lt;authors&gt;&lt;author&gt;LI Luwei, HUANG Qian, SHI Jiacheng, LIU Xiaoling, WANG Caimei, YU Ping, WU Lan, QIN Yang, JIANG Renmei, YU Jian&lt;/author&gt;&lt;/authors&gt;&lt;/contributors&gt;&lt;titles&gt;&lt;title&gt;Construction and evaluation of hyperuricemia prediction model for overweight and obese population&lt;/title&gt;&lt;secondary-title&gt;The Journal of Practical Medicine&lt;/secondary-title&gt;&lt;/titles&gt;&lt;periodical&gt;&lt;full-title&gt;The Journal of Practical Medicine&lt;/full-title&gt;&lt;/periodical&gt;&lt;pages&gt;2401-2406&lt;/pages&gt;&lt;volume&gt;37&lt;/volume&gt;&lt;number&gt;18&lt;/number&gt;&lt;section&gt;2401&lt;/section&gt;&lt;dates&gt;&lt;year&gt;2021&lt;/year&gt;&lt;/dates&gt;&lt;urls&gt;&lt;/urls&gt;&lt;electronic-resource-num&gt;DOI: 10.3969/j.issn.1006-5725.2021.18.019&lt;/electronic-resource-num&gt;&lt;/record&gt;&lt;/Cite&gt;&lt;/EndNote&gt;</w:instrText>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(48)</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AFD584F">
            <w:pPr>
              <w:spacing w:line="240" w:lineRule="auto"/>
              <w:rPr>
                <w:rFonts w:hint="eastAsia"/>
                <w:sz w:val="18"/>
                <w:szCs w:val="18"/>
                <w:lang w:val="en-US" w:eastAsia="zh-CN"/>
              </w:rPr>
            </w:pPr>
            <w:r>
              <w:rPr>
                <w:rFonts w:hint="eastAsia"/>
                <w:sz w:val="18"/>
                <w:szCs w:val="18"/>
                <w:lang w:val="en-US" w:eastAsia="zh-CN"/>
              </w:rPr>
              <w:t>21B</w:t>
            </w:r>
          </w:p>
        </w:tc>
        <w:tc>
          <w:tcPr>
            <w:tcW w:w="1012" w:type="dxa"/>
            <w:tcBorders>
              <w:top w:val="single" w:color="000000" w:sz="8" w:space="0"/>
              <w:left w:val="nil"/>
              <w:bottom w:val="single" w:color="000000" w:sz="8" w:space="0"/>
              <w:right w:val="nil"/>
            </w:tcBorders>
            <w:shd w:val="clear" w:color="auto" w:fill="auto"/>
            <w:noWrap/>
            <w:vAlign w:val="center"/>
          </w:tcPr>
          <w:p w14:paraId="05618837">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5250DDE">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00C76AF7">
            <w:pPr>
              <w:spacing w:line="240" w:lineRule="auto"/>
              <w:rPr>
                <w:rFonts w:hint="eastAsia"/>
                <w:sz w:val="18"/>
                <w:szCs w:val="18"/>
                <w:lang w:val="en-US" w:eastAsia="zh-CN"/>
              </w:rPr>
            </w:pPr>
            <w:r>
              <w:rPr>
                <w:rFonts w:hint="eastAsia"/>
                <w:sz w:val="18"/>
                <w:szCs w:val="18"/>
                <w:lang w:val="en-US" w:eastAsia="zh-CN"/>
              </w:rPr>
              <w:t>Univariate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498ED6BB">
            <w:pPr>
              <w:spacing w:line="240" w:lineRule="auto"/>
              <w:rPr>
                <w:rFonts w:hint="eastAsia"/>
                <w:sz w:val="18"/>
                <w:szCs w:val="18"/>
                <w:lang w:val="en-US" w:eastAsia="zh-CN"/>
              </w:rPr>
            </w:pPr>
            <w:r>
              <w:rPr>
                <w:rFonts w:hint="eastAsia"/>
                <w:sz w:val="18"/>
                <w:szCs w:val="18"/>
                <w:lang w:val="en-US" w:eastAsia="zh-CN"/>
              </w:rPr>
              <w:t>6</w:t>
            </w:r>
          </w:p>
        </w:tc>
        <w:tc>
          <w:tcPr>
            <w:tcW w:w="1614" w:type="dxa"/>
            <w:tcBorders>
              <w:top w:val="single" w:color="000000" w:sz="8" w:space="0"/>
              <w:left w:val="nil"/>
              <w:bottom w:val="single" w:color="000000" w:sz="8" w:space="0"/>
              <w:right w:val="nil"/>
            </w:tcBorders>
            <w:shd w:val="clear" w:color="auto" w:fill="auto"/>
            <w:noWrap/>
            <w:vAlign w:val="center"/>
          </w:tcPr>
          <w:p w14:paraId="71DFC238">
            <w:pPr>
              <w:spacing w:line="240" w:lineRule="auto"/>
              <w:rPr>
                <w:rFonts w:hint="eastAsia"/>
                <w:sz w:val="18"/>
                <w:szCs w:val="18"/>
                <w:lang w:val="en-US" w:eastAsia="zh-CN"/>
              </w:rPr>
            </w:pPr>
            <w:r>
              <w:rPr>
                <w:rFonts w:hint="eastAsia"/>
                <w:sz w:val="18"/>
                <w:szCs w:val="18"/>
                <w:lang w:val="en-US" w:eastAsia="zh-CN"/>
              </w:rPr>
              <w:t>Age, Sex, Cr, TC, HDL-c, LDL-c</w:t>
            </w:r>
          </w:p>
        </w:tc>
        <w:tc>
          <w:tcPr>
            <w:tcW w:w="1263" w:type="dxa"/>
            <w:tcBorders>
              <w:top w:val="single" w:color="000000" w:sz="8" w:space="0"/>
              <w:left w:val="nil"/>
              <w:bottom w:val="single" w:color="000000" w:sz="8" w:space="0"/>
              <w:right w:val="nil"/>
            </w:tcBorders>
            <w:shd w:val="clear" w:color="auto" w:fill="auto"/>
            <w:noWrap/>
            <w:vAlign w:val="center"/>
          </w:tcPr>
          <w:p w14:paraId="11D7F8C7">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57AFB4E2">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3BD945A3">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61686198">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5119B0C4">
            <w:pPr>
              <w:spacing w:line="240" w:lineRule="auto"/>
              <w:rPr>
                <w:rFonts w:hint="eastAsia"/>
                <w:sz w:val="18"/>
                <w:szCs w:val="18"/>
                <w:lang w:val="en-US" w:eastAsia="zh-CN"/>
              </w:rPr>
            </w:pPr>
            <w:r>
              <w:rPr>
                <w:rFonts w:hint="eastAsia"/>
                <w:sz w:val="18"/>
                <w:szCs w:val="18"/>
                <w:lang w:val="en-US" w:eastAsia="zh-CN"/>
              </w:rPr>
              <w:t>None</w:t>
            </w:r>
          </w:p>
        </w:tc>
      </w:tr>
      <w:tr w14:paraId="312E48AE">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185D51A">
            <w:pPr>
              <w:spacing w:line="240" w:lineRule="auto"/>
              <w:rPr>
                <w:rFonts w:hint="eastAsia"/>
                <w:sz w:val="18"/>
                <w:szCs w:val="18"/>
                <w:lang w:val="en-US" w:eastAsia="zh-CN"/>
              </w:rPr>
            </w:pPr>
            <w:r>
              <w:rPr>
                <w:rFonts w:hint="eastAsia"/>
                <w:sz w:val="18"/>
                <w:szCs w:val="18"/>
                <w:lang w:val="en-US" w:eastAsia="zh-CN"/>
              </w:rPr>
              <w:t>Major Depressive Disorder</w:t>
            </w:r>
          </w:p>
        </w:tc>
        <w:tc>
          <w:tcPr>
            <w:tcW w:w="840" w:type="dxa"/>
            <w:tcBorders>
              <w:top w:val="single" w:color="000000" w:sz="8" w:space="0"/>
              <w:left w:val="nil"/>
              <w:bottom w:val="single" w:color="000000" w:sz="8" w:space="0"/>
              <w:right w:val="nil"/>
            </w:tcBorders>
            <w:shd w:val="clear" w:color="auto" w:fill="auto"/>
            <w:noWrap/>
            <w:vAlign w:val="center"/>
          </w:tcPr>
          <w:p w14:paraId="221989E7">
            <w:pPr>
              <w:spacing w:line="240" w:lineRule="auto"/>
              <w:rPr>
                <w:rFonts w:hint="eastAsia"/>
                <w:sz w:val="18"/>
                <w:szCs w:val="18"/>
                <w:lang w:val="en-US" w:eastAsia="zh-CN"/>
              </w:rPr>
            </w:pPr>
            <w:r>
              <w:rPr>
                <w:rFonts w:hint="eastAsia"/>
                <w:sz w:val="18"/>
                <w:szCs w:val="18"/>
                <w:lang w:val="en-US" w:eastAsia="zh-CN"/>
              </w:rPr>
              <w:t>Yu X, et al., 2024</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PEVuZE5vdGU+PENpdGU+PEF1dGhvcj5ZdTwvQXV0aG9yPjxZZWFyPjIwMjQ8L1llYXI+PFJlY051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(49)</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0DE12EF2">
            <w:pPr>
              <w:spacing w:line="240" w:lineRule="auto"/>
              <w:rPr>
                <w:rFonts w:hint="eastAsia"/>
                <w:sz w:val="18"/>
                <w:szCs w:val="18"/>
                <w:lang w:val="en-US" w:eastAsia="zh-CN"/>
              </w:rPr>
            </w:pPr>
            <w:r>
              <w:rPr>
                <w:rFonts w:hint="eastAsia"/>
                <w:sz w:val="18"/>
                <w:szCs w:val="18"/>
                <w:lang w:val="en-US" w:eastAsia="zh-CN"/>
              </w:rPr>
              <w:t>22</w:t>
            </w:r>
          </w:p>
        </w:tc>
        <w:tc>
          <w:tcPr>
            <w:tcW w:w="1012" w:type="dxa"/>
            <w:tcBorders>
              <w:top w:val="single" w:color="000000" w:sz="8" w:space="0"/>
              <w:left w:val="nil"/>
              <w:bottom w:val="single" w:color="000000" w:sz="8" w:space="0"/>
              <w:right w:val="nil"/>
            </w:tcBorders>
            <w:shd w:val="clear" w:color="auto" w:fill="auto"/>
            <w:noWrap/>
            <w:vAlign w:val="center"/>
          </w:tcPr>
          <w:p w14:paraId="6769DD09">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3E5897DE">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65397442">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7C0E25AC">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0D84943F">
            <w:pPr>
              <w:spacing w:line="240" w:lineRule="auto"/>
              <w:rPr>
                <w:rFonts w:hint="eastAsia"/>
                <w:sz w:val="18"/>
                <w:szCs w:val="18"/>
                <w:lang w:val="en-US" w:eastAsia="zh-CN"/>
              </w:rPr>
            </w:pPr>
            <w:r>
              <w:rPr>
                <w:rFonts w:hint="eastAsia"/>
                <w:sz w:val="18"/>
                <w:szCs w:val="18"/>
                <w:lang w:val="en-US" w:eastAsia="zh-CN"/>
              </w:rPr>
              <w:t>Sex, Weekday sleep duration, Income-poverty ratio, Mental health visit history, Daytime sleepiness, Hypertension, Diabetes</w:t>
            </w:r>
          </w:p>
        </w:tc>
        <w:tc>
          <w:tcPr>
            <w:tcW w:w="1263" w:type="dxa"/>
            <w:tcBorders>
              <w:top w:val="single" w:color="000000" w:sz="8" w:space="0"/>
              <w:left w:val="nil"/>
              <w:bottom w:val="single" w:color="000000" w:sz="8" w:space="0"/>
              <w:right w:val="nil"/>
            </w:tcBorders>
            <w:shd w:val="clear" w:color="auto" w:fill="auto"/>
            <w:noWrap/>
            <w:vAlign w:val="center"/>
          </w:tcPr>
          <w:p w14:paraId="296BD031">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09CC214B">
            <w:pPr>
              <w:spacing w:line="240" w:lineRule="auto"/>
              <w:rPr>
                <w:rFonts w:hint="eastAsia"/>
                <w:sz w:val="18"/>
                <w:szCs w:val="18"/>
                <w:lang w:val="en-US" w:eastAsia="zh-CN"/>
              </w:rPr>
            </w:pPr>
            <w:r>
              <w:rPr>
                <w:rFonts w:hint="eastAsia"/>
                <w:sz w:val="18"/>
                <w:szCs w:val="18"/>
                <w:lang w:val="en-US" w:eastAsia="zh-CN"/>
              </w:rPr>
              <w:t>Nomogram + Online calculator</w:t>
            </w:r>
          </w:p>
        </w:tc>
        <w:tc>
          <w:tcPr>
            <w:tcW w:w="957" w:type="dxa"/>
            <w:tcBorders>
              <w:top w:val="single" w:color="000000" w:sz="8" w:space="0"/>
              <w:left w:val="nil"/>
              <w:bottom w:val="single" w:color="000000" w:sz="8" w:space="0"/>
              <w:right w:val="nil"/>
            </w:tcBorders>
            <w:shd w:val="clear" w:color="auto" w:fill="auto"/>
            <w:noWrap/>
            <w:vAlign w:val="center"/>
          </w:tcPr>
          <w:p w14:paraId="5D4BA542">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5448568B">
            <w:pPr>
              <w:spacing w:line="240" w:lineRule="auto"/>
              <w:rPr>
                <w:rFonts w:hint="eastAsia"/>
                <w:sz w:val="18"/>
                <w:szCs w:val="18"/>
                <w:lang w:val="en-US" w:eastAsia="zh-CN"/>
              </w:rPr>
            </w:pPr>
            <w:r>
              <w:rPr>
                <w:rFonts w:hint="eastAsia"/>
                <w:sz w:val="18"/>
                <w:szCs w:val="18"/>
                <w:lang w:val="en-US" w:eastAsia="zh-CN"/>
              </w:rPr>
              <w:t>Bootstrap + 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463A3FC2">
            <w:pPr>
              <w:spacing w:line="240" w:lineRule="auto"/>
              <w:rPr>
                <w:rFonts w:hint="eastAsia"/>
                <w:sz w:val="18"/>
                <w:szCs w:val="18"/>
                <w:lang w:val="en-US" w:eastAsia="zh-CN"/>
              </w:rPr>
            </w:pPr>
            <w:r>
              <w:rPr>
                <w:rFonts w:hint="eastAsia"/>
                <w:sz w:val="18"/>
                <w:szCs w:val="18"/>
                <w:lang w:val="en-US" w:eastAsia="zh-CN"/>
              </w:rPr>
              <w:t>None</w:t>
            </w:r>
          </w:p>
        </w:tc>
      </w:tr>
      <w:tr w14:paraId="3BFDEABE">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03A3C918">
            <w:pPr>
              <w:spacing w:line="240" w:lineRule="auto"/>
              <w:rPr>
                <w:rFonts w:hint="eastAsia"/>
                <w:sz w:val="18"/>
                <w:szCs w:val="18"/>
                <w:lang w:val="en-US" w:eastAsia="zh-CN"/>
              </w:rPr>
            </w:pPr>
            <w:r>
              <w:rPr>
                <w:rFonts w:hint="eastAsia"/>
                <w:sz w:val="18"/>
                <w:szCs w:val="18"/>
                <w:lang w:val="en-US" w:eastAsia="zh-CN"/>
              </w:rPr>
              <w:t>Major Depressive Disorder</w:t>
            </w:r>
          </w:p>
        </w:tc>
        <w:tc>
          <w:tcPr>
            <w:tcW w:w="840" w:type="dxa"/>
            <w:tcBorders>
              <w:top w:val="single" w:color="000000" w:sz="8" w:space="0"/>
              <w:left w:val="nil"/>
              <w:bottom w:val="single" w:color="000000" w:sz="8" w:space="0"/>
              <w:right w:val="nil"/>
            </w:tcBorders>
            <w:shd w:val="clear" w:color="auto" w:fill="auto"/>
            <w:noWrap/>
            <w:vAlign w:val="center"/>
          </w:tcPr>
          <w:p w14:paraId="4C65FB78">
            <w:pPr>
              <w:spacing w:line="240" w:lineRule="auto"/>
              <w:rPr>
                <w:rFonts w:hint="eastAsia"/>
                <w:sz w:val="18"/>
                <w:szCs w:val="18"/>
                <w:lang w:val="en-US" w:eastAsia="zh-CN"/>
              </w:rPr>
            </w:pPr>
            <w:r>
              <w:rPr>
                <w:rFonts w:hint="eastAsia"/>
                <w:sz w:val="18"/>
                <w:szCs w:val="18"/>
                <w:lang w:val="en-US" w:eastAsia="zh-CN"/>
              </w:rPr>
              <w:t>Yu C, et al., 2025</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PEVuZE5vdGU+PENpdGU+PEF1dGhvcj5ZdTwvQXV0aG9yPjxZZWFyPjIwMjU8L1llYXI+PFJlY051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Y3VzdG9tMT48Y3VzdG9tMj5QTUMxMjExNjMxMzwvY3VzdG9tMj48ZWxlY3Ryb25pYy1yZXNvdXJj
ZS1udW0+MTAuMzM4OS9mcHViaC4yMDI1LjE1NzQzODY8L2VsZWN0cm9uaWMtcmVzb3VyY2UtbnVt
PjxyZW1vdGUtZGF0YWJhc2UtcHJvdmlkZXI+TkxNPC9yZW1vdGUtZGF0YWJhc2UtcHJvdmlkZXI+
PGxhbmd1YWdlPmVuZzwvbGFuZ3VhZ2U+PC9yZWNvcmQ+PC9DaXRlPjwvRW5kTm90ZT4=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(50)</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5DA1CCB">
            <w:pPr>
              <w:spacing w:line="240" w:lineRule="auto"/>
              <w:rPr>
                <w:rFonts w:hint="eastAsia"/>
                <w:sz w:val="18"/>
                <w:szCs w:val="18"/>
                <w:lang w:val="en-US" w:eastAsia="zh-CN"/>
              </w:rPr>
            </w:pPr>
            <w:r>
              <w:rPr>
                <w:rFonts w:hint="eastAsia"/>
                <w:sz w:val="18"/>
                <w:szCs w:val="18"/>
                <w:lang w:val="en-US" w:eastAsia="zh-CN"/>
              </w:rPr>
              <w:t>23</w:t>
            </w:r>
          </w:p>
        </w:tc>
        <w:tc>
          <w:tcPr>
            <w:tcW w:w="1012" w:type="dxa"/>
            <w:tcBorders>
              <w:top w:val="single" w:color="000000" w:sz="8" w:space="0"/>
              <w:left w:val="nil"/>
              <w:bottom w:val="single" w:color="000000" w:sz="8" w:space="0"/>
              <w:right w:val="nil"/>
            </w:tcBorders>
            <w:shd w:val="clear" w:color="auto" w:fill="auto"/>
            <w:noWrap/>
            <w:vAlign w:val="center"/>
          </w:tcPr>
          <w:p w14:paraId="54F64847">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76F3AB9F">
            <w:pPr>
              <w:spacing w:line="240" w:lineRule="auto"/>
              <w:rPr>
                <w:rFonts w:hint="eastAsia"/>
                <w:sz w:val="18"/>
                <w:szCs w:val="18"/>
                <w:lang w:val="en-US" w:eastAsia="zh-CN"/>
              </w:rPr>
            </w:pPr>
            <w:r>
              <w:rPr>
                <w:rFonts w:hint="eastAsia"/>
                <w:sz w:val="18"/>
                <w:szCs w:val="18"/>
                <w:lang w:val="en-US" w:eastAsia="zh-CN"/>
              </w:rPr>
              <w:t>Multiple imputation</w:t>
            </w:r>
          </w:p>
        </w:tc>
        <w:tc>
          <w:tcPr>
            <w:tcW w:w="1441" w:type="dxa"/>
            <w:tcBorders>
              <w:top w:val="single" w:color="000000" w:sz="8" w:space="0"/>
              <w:left w:val="nil"/>
              <w:bottom w:val="single" w:color="000000" w:sz="8" w:space="0"/>
              <w:right w:val="nil"/>
            </w:tcBorders>
            <w:shd w:val="clear" w:color="auto" w:fill="auto"/>
            <w:noWrap/>
            <w:vAlign w:val="center"/>
          </w:tcPr>
          <w:p w14:paraId="3B4754F0">
            <w:pPr>
              <w:spacing w:line="240" w:lineRule="auto"/>
              <w:rPr>
                <w:rFonts w:hint="eastAsia"/>
                <w:sz w:val="18"/>
                <w:szCs w:val="18"/>
                <w:lang w:val="en-US" w:eastAsia="zh-CN"/>
              </w:rPr>
            </w:pPr>
            <w:r>
              <w:rPr>
                <w:rFonts w:hint="eastAsia"/>
                <w:sz w:val="18"/>
                <w:szCs w:val="18"/>
                <w:lang w:val="en-US" w:eastAsia="zh-CN"/>
              </w:rPr>
              <w:t>LASSO + multivariable logistic regression</w:t>
            </w:r>
          </w:p>
        </w:tc>
        <w:tc>
          <w:tcPr>
            <w:tcW w:w="752" w:type="dxa"/>
            <w:tcBorders>
              <w:top w:val="single" w:color="000000" w:sz="8" w:space="0"/>
              <w:left w:val="nil"/>
              <w:bottom w:val="single" w:color="000000" w:sz="8" w:space="0"/>
              <w:right w:val="nil"/>
            </w:tcBorders>
            <w:shd w:val="clear" w:color="auto" w:fill="auto"/>
            <w:noWrap/>
            <w:vAlign w:val="center"/>
          </w:tcPr>
          <w:p w14:paraId="0EAB163A">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27EB4C71">
            <w:pPr>
              <w:spacing w:line="240" w:lineRule="auto"/>
              <w:rPr>
                <w:rFonts w:hint="eastAsia"/>
                <w:sz w:val="18"/>
                <w:szCs w:val="18"/>
                <w:lang w:val="en-US" w:eastAsia="zh-CN"/>
              </w:rPr>
            </w:pPr>
            <w:r>
              <w:rPr>
                <w:rFonts w:hint="eastAsia"/>
                <w:sz w:val="18"/>
                <w:szCs w:val="18"/>
                <w:lang w:val="en-US" w:eastAsia="zh-CN"/>
              </w:rPr>
              <w:t>Age, Sleep duration, Kidney disease, Digestive disease, Rheumatism/Arthritis, PEFR, Grip strength</w:t>
            </w:r>
          </w:p>
        </w:tc>
        <w:tc>
          <w:tcPr>
            <w:tcW w:w="1263" w:type="dxa"/>
            <w:tcBorders>
              <w:top w:val="single" w:color="000000" w:sz="8" w:space="0"/>
              <w:left w:val="nil"/>
              <w:bottom w:val="single" w:color="000000" w:sz="8" w:space="0"/>
              <w:right w:val="nil"/>
            </w:tcBorders>
            <w:shd w:val="clear" w:color="auto" w:fill="auto"/>
            <w:noWrap/>
            <w:vAlign w:val="center"/>
          </w:tcPr>
          <w:p w14:paraId="0F977AEC">
            <w:pPr>
              <w:spacing w:line="240" w:lineRule="auto"/>
              <w:rPr>
                <w:rFonts w:hint="eastAsia"/>
                <w:sz w:val="18"/>
                <w:szCs w:val="18"/>
                <w:lang w:val="en-US" w:eastAsia="zh-CN"/>
              </w:rPr>
            </w:pPr>
            <w:r>
              <w:rPr>
                <w:rFonts w:hint="eastAsia"/>
                <w:sz w:val="18"/>
                <w:szCs w:val="18"/>
                <w:lang w:val="en-US" w:eastAsia="zh-CN"/>
              </w:rPr>
              <w:t>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71073546">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7F5DD919">
            <w:pPr>
              <w:spacing w:line="240" w:lineRule="auto"/>
              <w:rPr>
                <w:rFonts w:hint="eastAsia"/>
                <w:sz w:val="18"/>
                <w:szCs w:val="18"/>
                <w:lang w:val="en-US" w:eastAsia="zh-CN"/>
              </w:rPr>
            </w:pPr>
            <w:r>
              <w:rPr>
                <w:rFonts w:hint="eastAsia"/>
                <w:sz w:val="18"/>
                <w:szCs w:val="18"/>
                <w:lang w:val="en-US" w:eastAsia="zh-CN"/>
              </w:rPr>
              <w:t>Discrimination + Calibration</w:t>
            </w:r>
          </w:p>
        </w:tc>
        <w:tc>
          <w:tcPr>
            <w:tcW w:w="957" w:type="dxa"/>
            <w:tcBorders>
              <w:top w:val="single" w:color="000000" w:sz="8" w:space="0"/>
              <w:left w:val="nil"/>
              <w:bottom w:val="single" w:color="000000" w:sz="8" w:space="0"/>
              <w:right w:val="nil"/>
            </w:tcBorders>
            <w:shd w:val="clear" w:color="auto" w:fill="auto"/>
            <w:noWrap/>
            <w:vAlign w:val="center"/>
          </w:tcPr>
          <w:p w14:paraId="02F43E07">
            <w:pPr>
              <w:spacing w:line="240" w:lineRule="auto"/>
              <w:rPr>
                <w:rFonts w:hint="eastAsia"/>
                <w:sz w:val="18"/>
                <w:szCs w:val="18"/>
                <w:lang w:val="en-US" w:eastAsia="zh-CN"/>
              </w:rPr>
            </w:pPr>
            <w:r>
              <w:rPr>
                <w:rFonts w:hint="eastAsia"/>
                <w:sz w:val="18"/>
                <w:szCs w:val="18"/>
                <w:lang w:val="en-US" w:eastAsia="zh-CN"/>
              </w:rPr>
              <w:t>Cross-validation</w:t>
            </w:r>
          </w:p>
        </w:tc>
        <w:tc>
          <w:tcPr>
            <w:tcW w:w="959" w:type="dxa"/>
            <w:tcBorders>
              <w:top w:val="single" w:color="000000" w:sz="8" w:space="0"/>
              <w:left w:val="nil"/>
              <w:bottom w:val="single" w:color="000000" w:sz="8" w:space="0"/>
              <w:right w:val="nil"/>
            </w:tcBorders>
            <w:shd w:val="clear" w:color="auto" w:fill="auto"/>
            <w:noWrap/>
            <w:vAlign w:val="center"/>
          </w:tcPr>
          <w:p w14:paraId="555DEB5F">
            <w:pPr>
              <w:spacing w:line="240" w:lineRule="auto"/>
              <w:rPr>
                <w:rFonts w:hint="eastAsia"/>
                <w:sz w:val="18"/>
                <w:szCs w:val="18"/>
                <w:lang w:val="en-US" w:eastAsia="zh-CN"/>
              </w:rPr>
            </w:pPr>
            <w:r>
              <w:rPr>
                <w:rFonts w:hint="eastAsia"/>
                <w:sz w:val="18"/>
                <w:szCs w:val="18"/>
                <w:lang w:val="en-US" w:eastAsia="zh-CN"/>
              </w:rPr>
              <w:t>None</w:t>
            </w:r>
          </w:p>
        </w:tc>
      </w:tr>
      <w:tr w14:paraId="1CC6DED3">
        <w:trPr>
          <w:trHeight w:val="351" w:hRule="atLeast"/>
        </w:trPr>
        <w:tc>
          <w:tcPr>
            <w:tcW w:w="1012" w:type="dxa"/>
            <w:tcBorders>
              <w:top w:val="single" w:color="000000" w:sz="8" w:space="0"/>
              <w:left w:val="nil"/>
              <w:bottom w:val="single" w:color="000000" w:sz="8" w:space="0"/>
              <w:right w:val="nil"/>
            </w:tcBorders>
            <w:shd w:val="clear" w:color="auto" w:fill="auto"/>
            <w:noWrap/>
            <w:vAlign w:val="center"/>
          </w:tcPr>
          <w:p w14:paraId="50ACEF6A">
            <w:pPr>
              <w:spacing w:line="240" w:lineRule="auto"/>
              <w:rPr>
                <w:rFonts w:hint="eastAsia"/>
                <w:sz w:val="18"/>
                <w:szCs w:val="18"/>
                <w:lang w:val="en-US" w:eastAsia="zh-CN"/>
              </w:rPr>
            </w:pPr>
            <w:r>
              <w:rPr>
                <w:rFonts w:hint="eastAsia"/>
                <w:sz w:val="18"/>
                <w:szCs w:val="18"/>
                <w:lang w:val="en-US" w:eastAsia="zh-CN"/>
              </w:rPr>
              <w:t>Cognitive Impairment</w:t>
            </w:r>
          </w:p>
        </w:tc>
        <w:tc>
          <w:tcPr>
            <w:tcW w:w="840" w:type="dxa"/>
            <w:tcBorders>
              <w:top w:val="single" w:color="000000" w:sz="8" w:space="0"/>
              <w:left w:val="nil"/>
              <w:bottom w:val="single" w:color="000000" w:sz="8" w:space="0"/>
              <w:right w:val="nil"/>
            </w:tcBorders>
            <w:shd w:val="clear" w:color="auto" w:fill="auto"/>
            <w:noWrap/>
            <w:vAlign w:val="center"/>
          </w:tcPr>
          <w:p w14:paraId="4690F4D7">
            <w:pPr>
              <w:spacing w:line="240" w:lineRule="auto"/>
              <w:rPr>
                <w:rFonts w:hint="eastAsia"/>
                <w:sz w:val="18"/>
                <w:szCs w:val="18"/>
                <w:lang w:val="en-US" w:eastAsia="zh-CN"/>
              </w:rPr>
            </w:pPr>
            <w:r>
              <w:rPr>
                <w:rFonts w:hint="eastAsia"/>
                <w:sz w:val="18"/>
                <w:szCs w:val="18"/>
                <w:lang w:val="en-US" w:eastAsia="zh-CN"/>
              </w:rPr>
              <w:t>Lei C, et al., 2024</w:t>
            </w:r>
            <w:r>
              <w:rPr>
                <w:rFonts w:hint="eastAsia"/>
                <w:sz w:val="18"/>
                <w:szCs w:val="18"/>
                <w:lang w:val="en-US" w:eastAsia="zh-CN"/>
              </w:rPr>
              <w:fldChar w:fldCharType="begin"/>
            </w:r>
            <w:r>
              <w:rPr>
                <w:rFonts w:hint="eastAsia"/>
                <w:sz w:val="18"/>
                <w:szCs w:val="18"/>
                <w:lang w:val="en-US" w:eastAsia="zh-CN"/>
              </w:rPr>
              <w:instrText xml:space="preserve"> ADDIN EN.CITE </w:instrText>
            </w:r>
            <w:r>
              <w:rPr>
                <w:rFonts w:hint="eastAsia"/>
                <w:sz w:val="18"/>
                <w:szCs w:val="18"/>
                <w:lang w:val="en-US" w:eastAsia="zh-CN"/>
              </w:rPr>
              <w:fldChar w:fldCharType="begin">
                <w:fldData xml:space="preserve">PEVuZE5vdGU+PENpdGU+PEF1dGhvcj5MZWk8L0F1dGhvcj48WWVhcj4yMDI0PC9ZZWFyPjxSZWNO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cyBhIHBvdGVudGlhbCBjb25mbGljdCBvZiBpbnRlcmVzdC4gVGhlIGF1dGhvcihzKSBkZWNsYXJl
ZCB0aGF0IHRoZXkgd2VyZSBhbiBlZGl0b3JpYWwgYm9hcmQgbWVtYmVyIG9mIEZyb250aWVycywg
YXQgdGhlIHRpbWUgb2Ygc3VibWlzc2lvbi4gVGhpcyBoYWQgbm8gaW1wYWN0IG9uIHRoZSBwZWVy
IHJldmlldyBwcm9jZXNzIGFuZCB0aGUgZmluYWwgZGVjaXNpb24uPC9jdXN0b20xPjxjdXN0b20y
PlBNQzEwOTMyOTU2PC9jdXN0b20yPjxlbGVjdHJvbmljLXJlc291cmNlLW51bT4xMC4zMzg5L2Zl
bmRvLjIwMjQuMTI5MDI4NjwvZWxlY3Ryb25pYy1yZXNvdXJjZS1udW0+PHJlbW90ZS1kYXRhYmFz
ZS1wcm92aWRlcj5OTE08L3JlbW90ZS1kYXRhYmFzZS1wcm92aWRlcj48bGFuZ3VhZ2U+ZW5nPC9s
YW5ndWFnZT48L3JlY29yZD48L0NpdGU+PC9FbmROb3RlPg==
</w:fldData>
              </w:fldChar>
            </w:r>
            <w:r>
              <w:rPr>
                <w:rFonts w:hint="eastAsia"/>
                <w:sz w:val="18"/>
                <w:szCs w:val="18"/>
                <w:lang w:val="en-US" w:eastAsia="zh-CN"/>
              </w:rPr>
              <w:instrText xml:space="preserve"> ADDIN EN.CITE.DATA </w:instrText>
            </w:r>
            <w:r>
              <w:rPr>
                <w:rFonts w:hint="eastAsia"/>
                <w:sz w:val="18"/>
                <w:szCs w:val="18"/>
                <w:lang w:val="en-US" w:eastAsia="zh-CN"/>
              </w:rPr>
              <w:fldChar w:fldCharType="separate"/>
            </w:r>
            <w:r>
              <w:rPr>
                <w:rFonts w:hint="eastAsia"/>
                <w:sz w:val="18"/>
                <w:szCs w:val="18"/>
                <w:lang w:val="en-US" w:eastAsia="zh-CN"/>
              </w:rPr>
              <w:fldChar w:fldCharType="end"/>
            </w:r>
            <w:r>
              <w:rPr>
                <w:rFonts w:hint="eastAsia"/>
                <w:sz w:val="18"/>
                <w:szCs w:val="18"/>
                <w:lang w:val="en-US" w:eastAsia="zh-CN"/>
              </w:rPr>
              <w:fldChar w:fldCharType="separate"/>
            </w:r>
            <w:r>
              <w:rPr>
                <w:rFonts w:hint="eastAsia" w:ascii="Times New Roman" w:hAnsi="Times New Roman" w:eastAsia="KaiTi_GB2312" w:cstheme="minorBidi"/>
                <w:sz w:val="18"/>
                <w:szCs w:val="18"/>
                <w:lang w:val="en-US" w:eastAsia="zh-CN" w:bidi="ar-SA"/>
              </w:rPr>
              <w:t>(51)</w:t>
            </w:r>
            <w:r>
              <w:rPr>
                <w:rFonts w:hint="eastAsia"/>
                <w:sz w:val="18"/>
                <w:szCs w:val="18"/>
                <w:lang w:val="en-US" w:eastAsia="zh-CN"/>
              </w:rPr>
              <w:fldChar w:fldCharType="end"/>
            </w:r>
          </w:p>
        </w:tc>
        <w:tc>
          <w:tcPr>
            <w:tcW w:w="532" w:type="dxa"/>
            <w:tcBorders>
              <w:top w:val="single" w:color="000000" w:sz="8" w:space="0"/>
              <w:left w:val="nil"/>
              <w:bottom w:val="single" w:color="000000" w:sz="8" w:space="0"/>
              <w:right w:val="nil"/>
            </w:tcBorders>
            <w:shd w:val="clear" w:color="auto" w:fill="auto"/>
            <w:noWrap/>
            <w:vAlign w:val="center"/>
          </w:tcPr>
          <w:p w14:paraId="2F8DDFCD">
            <w:pPr>
              <w:spacing w:line="240" w:lineRule="auto"/>
              <w:rPr>
                <w:rFonts w:hint="eastAsia"/>
                <w:sz w:val="18"/>
                <w:szCs w:val="18"/>
                <w:lang w:val="en-US" w:eastAsia="zh-CN"/>
              </w:rPr>
            </w:pPr>
            <w:r>
              <w:rPr>
                <w:rFonts w:hint="eastAsia"/>
                <w:sz w:val="18"/>
                <w:szCs w:val="18"/>
                <w:lang w:val="en-US" w:eastAsia="zh-CN"/>
              </w:rPr>
              <w:t>24</w:t>
            </w:r>
          </w:p>
        </w:tc>
        <w:tc>
          <w:tcPr>
            <w:tcW w:w="1012" w:type="dxa"/>
            <w:tcBorders>
              <w:top w:val="single" w:color="000000" w:sz="8" w:space="0"/>
              <w:left w:val="nil"/>
              <w:bottom w:val="single" w:color="000000" w:sz="8" w:space="0"/>
              <w:right w:val="nil"/>
            </w:tcBorders>
            <w:shd w:val="clear" w:color="auto" w:fill="auto"/>
            <w:noWrap/>
            <w:vAlign w:val="center"/>
          </w:tcPr>
          <w:p w14:paraId="4C321192">
            <w:pPr>
              <w:spacing w:line="240" w:lineRule="auto"/>
              <w:rPr>
                <w:rFonts w:hint="eastAsia"/>
                <w:sz w:val="18"/>
                <w:szCs w:val="18"/>
                <w:lang w:val="en-US" w:eastAsia="zh-CN"/>
              </w:rPr>
            </w:pPr>
            <w:r>
              <w:rPr>
                <w:rFonts w:hint="eastAsia"/>
                <w:sz w:val="18"/>
                <w:szCs w:val="18"/>
                <w:lang w:val="en-US" w:eastAsia="zh-CN"/>
              </w:rPr>
              <w:t>Continuous</w:t>
            </w:r>
          </w:p>
        </w:tc>
        <w:tc>
          <w:tcPr>
            <w:tcW w:w="1421" w:type="dxa"/>
            <w:tcBorders>
              <w:top w:val="single" w:color="000000" w:sz="8" w:space="0"/>
              <w:left w:val="nil"/>
              <w:bottom w:val="single" w:color="000000" w:sz="8" w:space="0"/>
              <w:right w:val="nil"/>
            </w:tcBorders>
            <w:shd w:val="clear" w:color="auto" w:fill="auto"/>
            <w:noWrap/>
            <w:vAlign w:val="center"/>
          </w:tcPr>
          <w:p w14:paraId="68F7DA5E">
            <w:pPr>
              <w:spacing w:line="240" w:lineRule="auto"/>
              <w:rPr>
                <w:rFonts w:hint="eastAsia"/>
                <w:sz w:val="18"/>
                <w:szCs w:val="18"/>
                <w:lang w:val="en-US" w:eastAsia="zh-CN"/>
              </w:rPr>
            </w:pPr>
            <w:r>
              <w:rPr>
                <w:rFonts w:hint="eastAsia"/>
                <w:sz w:val="18"/>
                <w:szCs w:val="18"/>
                <w:lang w:val="en-US" w:eastAsia="zh-CN"/>
              </w:rPr>
              <w:t>Complete case analysis</w:t>
            </w:r>
          </w:p>
        </w:tc>
        <w:tc>
          <w:tcPr>
            <w:tcW w:w="1441" w:type="dxa"/>
            <w:tcBorders>
              <w:top w:val="single" w:color="000000" w:sz="8" w:space="0"/>
              <w:left w:val="nil"/>
              <w:bottom w:val="single" w:color="000000" w:sz="8" w:space="0"/>
              <w:right w:val="nil"/>
            </w:tcBorders>
            <w:shd w:val="clear" w:color="auto" w:fill="auto"/>
            <w:noWrap/>
            <w:vAlign w:val="center"/>
          </w:tcPr>
          <w:p w14:paraId="302FC85F">
            <w:pPr>
              <w:spacing w:line="240" w:lineRule="auto"/>
              <w:rPr>
                <w:rFonts w:hint="eastAsia"/>
                <w:sz w:val="18"/>
                <w:szCs w:val="18"/>
                <w:lang w:val="en-US" w:eastAsia="zh-CN"/>
              </w:rPr>
            </w:pPr>
            <w:r>
              <w:rPr>
                <w:rFonts w:hint="eastAsia"/>
                <w:sz w:val="18"/>
                <w:szCs w:val="18"/>
                <w:lang w:val="en-US" w:eastAsia="zh-CN"/>
              </w:rPr>
              <w:t>LASSO regression</w:t>
            </w:r>
          </w:p>
        </w:tc>
        <w:tc>
          <w:tcPr>
            <w:tcW w:w="752" w:type="dxa"/>
            <w:tcBorders>
              <w:top w:val="single" w:color="000000" w:sz="8" w:space="0"/>
              <w:left w:val="nil"/>
              <w:bottom w:val="single" w:color="000000" w:sz="8" w:space="0"/>
              <w:right w:val="nil"/>
            </w:tcBorders>
            <w:shd w:val="clear" w:color="auto" w:fill="auto"/>
            <w:noWrap/>
            <w:vAlign w:val="center"/>
          </w:tcPr>
          <w:p w14:paraId="247BBCD6">
            <w:pPr>
              <w:spacing w:line="240" w:lineRule="auto"/>
              <w:rPr>
                <w:rFonts w:hint="eastAsia"/>
                <w:sz w:val="18"/>
                <w:szCs w:val="18"/>
                <w:lang w:val="en-US" w:eastAsia="zh-CN"/>
              </w:rPr>
            </w:pPr>
            <w:r>
              <w:rPr>
                <w:rFonts w:hint="eastAsia"/>
                <w:sz w:val="18"/>
                <w:szCs w:val="18"/>
                <w:lang w:val="en-US" w:eastAsia="zh-CN"/>
              </w:rPr>
              <w:t>7</w:t>
            </w:r>
          </w:p>
        </w:tc>
        <w:tc>
          <w:tcPr>
            <w:tcW w:w="1614" w:type="dxa"/>
            <w:tcBorders>
              <w:top w:val="single" w:color="000000" w:sz="8" w:space="0"/>
              <w:left w:val="nil"/>
              <w:bottom w:val="single" w:color="000000" w:sz="8" w:space="0"/>
              <w:right w:val="nil"/>
            </w:tcBorders>
            <w:shd w:val="clear" w:color="auto" w:fill="auto"/>
            <w:noWrap/>
            <w:vAlign w:val="center"/>
          </w:tcPr>
          <w:p w14:paraId="17BEA42B">
            <w:pPr>
              <w:spacing w:line="240" w:lineRule="auto"/>
              <w:rPr>
                <w:rFonts w:hint="eastAsia"/>
                <w:sz w:val="18"/>
                <w:szCs w:val="18"/>
                <w:lang w:val="en-US" w:eastAsia="zh-CN"/>
              </w:rPr>
            </w:pPr>
            <w:r>
              <w:rPr>
                <w:rFonts w:hint="eastAsia"/>
                <w:sz w:val="18"/>
                <w:szCs w:val="18"/>
                <w:lang w:val="en-US" w:eastAsia="zh-CN"/>
              </w:rPr>
              <w:t>Age, Sex, Education, Moderate work activity, Depression, 24h total fat, RBC folate</w:t>
            </w:r>
          </w:p>
        </w:tc>
        <w:tc>
          <w:tcPr>
            <w:tcW w:w="1263" w:type="dxa"/>
            <w:tcBorders>
              <w:top w:val="single" w:color="000000" w:sz="8" w:space="0"/>
              <w:left w:val="nil"/>
              <w:bottom w:val="single" w:color="000000" w:sz="8" w:space="0"/>
              <w:right w:val="nil"/>
            </w:tcBorders>
            <w:shd w:val="clear" w:color="auto" w:fill="auto"/>
            <w:noWrap/>
            <w:vAlign w:val="center"/>
          </w:tcPr>
          <w:p w14:paraId="34FBC594">
            <w:pPr>
              <w:spacing w:line="240" w:lineRule="auto"/>
              <w:rPr>
                <w:rFonts w:hint="eastAsia"/>
                <w:sz w:val="18"/>
                <w:szCs w:val="18"/>
                <w:lang w:val="en-US" w:eastAsia="zh-CN"/>
              </w:rPr>
            </w:pPr>
            <w:r>
              <w:rPr>
                <w:rFonts w:hint="eastAsia"/>
                <w:sz w:val="18"/>
                <w:szCs w:val="18"/>
                <w:lang w:val="en-US" w:eastAsia="zh-CN"/>
              </w:rPr>
              <w:t>Multivariable logistic regression</w:t>
            </w:r>
          </w:p>
        </w:tc>
        <w:tc>
          <w:tcPr>
            <w:tcW w:w="919" w:type="dxa"/>
            <w:tcBorders>
              <w:top w:val="single" w:color="000000" w:sz="8" w:space="0"/>
              <w:left w:val="nil"/>
              <w:bottom w:val="single" w:color="000000" w:sz="8" w:space="0"/>
              <w:right w:val="nil"/>
            </w:tcBorders>
            <w:shd w:val="clear" w:color="auto" w:fill="auto"/>
            <w:noWrap/>
            <w:vAlign w:val="center"/>
          </w:tcPr>
          <w:p w14:paraId="31FCE376">
            <w:pPr>
              <w:spacing w:line="240" w:lineRule="auto"/>
              <w:rPr>
                <w:rFonts w:hint="eastAsia"/>
                <w:sz w:val="18"/>
                <w:szCs w:val="18"/>
                <w:lang w:val="en-US" w:eastAsia="zh-CN"/>
              </w:rPr>
            </w:pPr>
            <w:r>
              <w:rPr>
                <w:rFonts w:hint="eastAsia"/>
                <w:sz w:val="18"/>
                <w:szCs w:val="18"/>
                <w:lang w:val="en-US" w:eastAsia="zh-CN"/>
              </w:rPr>
              <w:t>Nomogram</w:t>
            </w:r>
          </w:p>
        </w:tc>
        <w:tc>
          <w:tcPr>
            <w:tcW w:w="957" w:type="dxa"/>
            <w:tcBorders>
              <w:top w:val="single" w:color="000000" w:sz="8" w:space="0"/>
              <w:left w:val="nil"/>
              <w:bottom w:val="single" w:color="000000" w:sz="8" w:space="0"/>
              <w:right w:val="nil"/>
            </w:tcBorders>
            <w:shd w:val="clear" w:color="auto" w:fill="auto"/>
            <w:noWrap/>
            <w:vAlign w:val="center"/>
          </w:tcPr>
          <w:p w14:paraId="08EEF331">
            <w:pPr>
              <w:spacing w:line="240" w:lineRule="auto"/>
              <w:rPr>
                <w:rFonts w:hint="eastAsia"/>
                <w:sz w:val="18"/>
                <w:szCs w:val="18"/>
                <w:lang w:val="en-US" w:eastAsia="zh-CN"/>
              </w:rPr>
            </w:pPr>
            <w:r>
              <w:rPr>
                <w:rFonts w:hint="eastAsia"/>
                <w:sz w:val="18"/>
                <w:szCs w:val="18"/>
                <w:lang w:val="en-US" w:eastAsia="zh-CN"/>
              </w:rPr>
              <w:t>Discrimination + Calibration + Clinical value</w:t>
            </w:r>
          </w:p>
        </w:tc>
        <w:tc>
          <w:tcPr>
            <w:tcW w:w="957" w:type="dxa"/>
            <w:tcBorders>
              <w:top w:val="single" w:color="000000" w:sz="8" w:space="0"/>
              <w:left w:val="nil"/>
              <w:bottom w:val="single" w:color="000000" w:sz="8" w:space="0"/>
              <w:right w:val="nil"/>
            </w:tcBorders>
            <w:shd w:val="clear" w:color="auto" w:fill="auto"/>
            <w:noWrap/>
            <w:vAlign w:val="center"/>
          </w:tcPr>
          <w:p w14:paraId="1930541E">
            <w:pPr>
              <w:spacing w:line="240" w:lineRule="auto"/>
              <w:rPr>
                <w:rFonts w:hint="eastAsia"/>
                <w:sz w:val="18"/>
                <w:szCs w:val="18"/>
                <w:lang w:val="en-US" w:eastAsia="zh-CN"/>
              </w:rPr>
            </w:pPr>
            <w:r>
              <w:rPr>
                <w:rFonts w:hint="eastAsia"/>
                <w:sz w:val="18"/>
                <w:szCs w:val="18"/>
                <w:lang w:val="en-US" w:eastAsia="zh-CN"/>
              </w:rPr>
              <w:t>Split-sample validation</w:t>
            </w:r>
          </w:p>
        </w:tc>
        <w:tc>
          <w:tcPr>
            <w:tcW w:w="959" w:type="dxa"/>
            <w:tcBorders>
              <w:top w:val="single" w:color="000000" w:sz="8" w:space="0"/>
              <w:left w:val="nil"/>
              <w:bottom w:val="single" w:color="000000" w:sz="8" w:space="0"/>
              <w:right w:val="nil"/>
            </w:tcBorders>
            <w:shd w:val="clear" w:color="auto" w:fill="auto"/>
            <w:noWrap/>
            <w:vAlign w:val="center"/>
          </w:tcPr>
          <w:p w14:paraId="140BE03F">
            <w:pPr>
              <w:spacing w:line="240" w:lineRule="auto"/>
              <w:rPr>
                <w:rFonts w:hint="eastAsia"/>
                <w:sz w:val="18"/>
                <w:szCs w:val="18"/>
                <w:lang w:val="en-US" w:eastAsia="zh-CN"/>
              </w:rPr>
            </w:pPr>
            <w:r>
              <w:rPr>
                <w:rFonts w:hint="eastAsia"/>
                <w:sz w:val="18"/>
                <w:szCs w:val="18"/>
                <w:lang w:val="en-US" w:eastAsia="zh-CN"/>
              </w:rPr>
              <w:t>None</w:t>
            </w:r>
          </w:p>
        </w:tc>
      </w:tr>
    </w:tbl>
    <w:p w14:paraId="05AF1112">
      <w:pPr>
        <w:spacing w:line="240" w:lineRule="auto"/>
        <w:rPr>
          <w:rFonts w:hint="eastAsia" w:eastAsia="Songti SC"/>
          <w:sz w:val="18"/>
          <w:szCs w:val="18"/>
          <w:lang w:val="en-US" w:eastAsia="zh-CN"/>
        </w:rPr>
      </w:pPr>
      <w:r>
        <w:rPr>
          <w:rFonts w:hint="default" w:ascii="Times New Roman Bold" w:hAnsi="Times New Roman Bold" w:eastAsia="Songti SC" w:cs="Times New Roman Bold"/>
          <w:b/>
          <w:bCs/>
          <w:sz w:val="18"/>
          <w:szCs w:val="18"/>
          <w:lang w:val="en-US" w:eastAsia="zh-CN"/>
        </w:rPr>
        <w:t>Abbreviations:</w:t>
      </w:r>
      <w:r>
        <w:rPr>
          <w:rFonts w:hint="eastAsia" w:eastAsia="Songti SC"/>
          <w:sz w:val="18"/>
          <w:szCs w:val="18"/>
          <w:lang w:val="en-US" w:eastAsia="zh-CN"/>
        </w:rPr>
        <w:t> AIC, Akaike information criterion; ALT, alanine aminotransferase; AVI, abdominal volume index; ABSI, a body shape index; ABI, ankle-brachial index; ASMI, appendicular skeletal muscle mass index; AST, aspartate aminotransferase; BAI, body adiposity index; BMI, body mass index; CC, calf circumference; CRP, C-reactive protein; Cr, creatinine; CKD, chronic kidney disease; DBP, diastolic blood pressure; DM, diabetes mellitus; eGFR, estimated glomerular filtration rate; FBG, fasting blood glucose; FPG, fasting plasma glucose; GGT, gamma-glutamyl transferase; HbA1c, glycated hemoglobin; Hcy, homocysteine; HDL, high-density lipoprotein; HDL-C, high-density lipoprotein cholesterol; HOMA-IR, homeostatic model assessment of insulin resistance; HTN, hypertension; IQR, interquartile range; KNN, K-nearest neighbors; LASSO, least absolute shrinkage and selection operator; LDL, low-density lipoprotein; LDL-C, low-density lipoprotein cholesterol; LFWR, lean mass-to-waist ratio; LSM, liver stiffness measurement; LVEF, left ventricular ejection fraction; MAFLD, metabolic associated fatty liver disease; MLP, multilayer perceptron; NA, not available; NAFLD, non-alcoholic fatty liver disease; NC, neck circumference; NM, not mentioned; OHS, obesity-hypoventilation syndrome; OSA, obstructive sleep apnea; PEFR, peak expiratory flow rate; PI, ponderal index; PLT, platelet; RBC, red blood cell; SBP, systolic blood pressure; SLD, steatotic liver disease; SVM, support vector machine; T2DM, type 2 diabetes mellitus; TC, total cholesterol; TG, triglyceride; TMI, triceps skinfold thickness-mass index; TMWR, total mass-to-waist ratio; TSH, thyroid-stimulating hormone; UACR, urine albumin-to-creatinine ratio; VAT, visceral adipose tissue; VFA, visceral fat area; VitD, vitamin D; WC, waist circumference; WHR, waist-to-hip ratio; XGBoost, extreme gradient boosting.</w:t>
      </w:r>
    </w:p>
    <w:p w14:paraId="6715BC88">
      <w:pPr>
        <w:spacing w:line="240" w:lineRule="auto"/>
        <w:rPr>
          <w:rFonts w:hint="eastAsia" w:eastAsia="Songti SC"/>
          <w:sz w:val="18"/>
          <w:szCs w:val="18"/>
          <w:lang w:val="en-US" w:eastAsia="zh-CN"/>
        </w:rPr>
      </w:pPr>
    </w:p>
    <w:p w14:paraId="44FFFC9F">
      <w:pPr>
        <w:spacing w:line="240" w:lineRule="auto"/>
        <w:rPr>
          <w:sz w:val="18"/>
          <w:szCs w:val="18"/>
        </w:rPr>
      </w:pPr>
    </w:p>
    <w:p w14:paraId="4BDF80D5">
      <w:pPr>
        <w:spacing w:line="360" w:lineRule="auto"/>
      </w:pPr>
      <w:r>
        <w:br w:type="page"/>
      </w:r>
    </w:p>
    <w:p w14:paraId="456BB631">
      <w:pPr>
        <w:pStyle w:val="4"/>
        <w:bidi w:val="0"/>
        <w:spacing w:line="360" w:lineRule="auto"/>
        <w:rPr>
          <w:rFonts w:hint="eastAsia"/>
          <w:lang w:val="en-US" w:eastAsia="zh-CN"/>
        </w:rPr>
      </w:pPr>
      <w:bookmarkStart w:id="40" w:name="_Toc898544736"/>
      <w:r>
        <w:t>Table S</w:t>
      </w:r>
      <w:r>
        <w:fldChar w:fldCharType="begin"/>
      </w:r>
      <w:r>
        <w:instrText xml:space="preserve"> SEQ Table_S \* ARABIC </w:instrText>
      </w:r>
      <w:r>
        <w:fldChar w:fldCharType="separate"/>
      </w:r>
      <w:r>
        <w:t>8</w:t>
      </w:r>
      <w:r>
        <w:fldChar w:fldCharType="end"/>
      </w:r>
      <w:r>
        <w:rPr>
          <w:rFonts w:hint="eastAsia"/>
          <w:lang w:val="en-US" w:eastAsia="zh-CN"/>
        </w:rPr>
        <w:t xml:space="preserve"> Full Information of Model Performance</w:t>
      </w:r>
      <w:bookmarkEnd w:id="40"/>
    </w:p>
    <w:tbl>
      <w:tblPr>
        <w:tblStyle w:val="21"/>
        <w:tblW w:w="14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95"/>
        <w:gridCol w:w="1315"/>
        <w:gridCol w:w="822"/>
        <w:gridCol w:w="1122"/>
        <w:gridCol w:w="1122"/>
        <w:gridCol w:w="1123"/>
        <w:gridCol w:w="784"/>
        <w:gridCol w:w="993"/>
        <w:gridCol w:w="794"/>
        <w:gridCol w:w="1242"/>
        <w:gridCol w:w="1242"/>
        <w:gridCol w:w="1242"/>
        <w:gridCol w:w="1204"/>
      </w:tblGrid>
      <w:tr w14:paraId="5F30D587">
        <w:trPr>
          <w:trHeight w:val="1620" w:hRule="atLeast"/>
        </w:trPr>
        <w:tc>
          <w:tcPr>
            <w:tcW w:w="1295" w:type="dxa"/>
            <w:vMerge w:val="restart"/>
            <w:tcBorders>
              <w:top w:val="single" w:color="000000" w:sz="4" w:space="0"/>
              <w:left w:val="nil"/>
              <w:bottom w:val="single" w:color="000000" w:sz="4" w:space="0"/>
              <w:right w:val="nil"/>
              <w:tl2br w:val="nil"/>
            </w:tcBorders>
            <w:shd w:val="clear" w:color="auto" w:fill="FFFFFF"/>
            <w:noWrap/>
            <w:vAlign w:val="center"/>
          </w:tcPr>
          <w:p w14:paraId="076D5E84">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Study Design/Outcome</w:t>
            </w:r>
          </w:p>
        </w:tc>
        <w:tc>
          <w:tcPr>
            <w:tcW w:w="1315" w:type="dxa"/>
            <w:vMerge w:val="restart"/>
            <w:tcBorders>
              <w:top w:val="single" w:color="000000" w:sz="4" w:space="0"/>
              <w:left w:val="nil"/>
              <w:bottom w:val="single" w:color="000000" w:sz="4" w:space="0"/>
              <w:right w:val="nil"/>
            </w:tcBorders>
            <w:shd w:val="clear" w:color="auto" w:fill="FFFFFF"/>
            <w:noWrap/>
            <w:vAlign w:val="center"/>
          </w:tcPr>
          <w:p w14:paraId="0948500A">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First Author, Year</w:t>
            </w:r>
          </w:p>
        </w:tc>
        <w:tc>
          <w:tcPr>
            <w:tcW w:w="822" w:type="dxa"/>
            <w:vMerge w:val="restart"/>
            <w:tcBorders>
              <w:top w:val="single" w:color="000000" w:sz="4" w:space="0"/>
              <w:left w:val="nil"/>
              <w:bottom w:val="single" w:color="000000" w:sz="4" w:space="0"/>
              <w:right w:val="nil"/>
            </w:tcBorders>
            <w:shd w:val="clear" w:color="auto" w:fill="FFFFFF"/>
            <w:noWrap/>
            <w:vAlign w:val="center"/>
          </w:tcPr>
          <w:p w14:paraId="7AC47D7D">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Model Code</w:t>
            </w:r>
          </w:p>
        </w:tc>
        <w:tc>
          <w:tcPr>
            <w:tcW w:w="3367" w:type="dxa"/>
            <w:gridSpan w:val="3"/>
            <w:tcBorders>
              <w:top w:val="single" w:color="000000" w:sz="4" w:space="0"/>
              <w:left w:val="nil"/>
              <w:bottom w:val="single" w:color="000000" w:sz="4" w:space="0"/>
              <w:right w:val="nil"/>
            </w:tcBorders>
            <w:shd w:val="clear" w:color="auto" w:fill="FFFFFF"/>
            <w:noWrap/>
            <w:vAlign w:val="center"/>
          </w:tcPr>
          <w:p w14:paraId="5954F4EE">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Discrimination</w:t>
            </w:r>
          </w:p>
        </w:tc>
        <w:tc>
          <w:tcPr>
            <w:tcW w:w="1777" w:type="dxa"/>
            <w:gridSpan w:val="2"/>
            <w:tcBorders>
              <w:top w:val="single" w:color="000000" w:sz="4" w:space="0"/>
              <w:left w:val="nil"/>
              <w:bottom w:val="single" w:color="000000" w:sz="4" w:space="0"/>
              <w:right w:val="nil"/>
            </w:tcBorders>
            <w:shd w:val="clear" w:color="auto" w:fill="FFFFFF"/>
            <w:noWrap/>
            <w:vAlign w:val="center"/>
          </w:tcPr>
          <w:p w14:paraId="54B4B706">
            <w:pPr>
              <w:tabs>
                <w:tab w:val="left" w:pos="420"/>
              </w:tabs>
              <w:spacing w:line="240" w:lineRule="auto"/>
              <w:ind w:left="0" w:leftChars="0" w:hanging="3" w:firstLineChars="0"/>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Calibration</w:t>
            </w:r>
          </w:p>
        </w:tc>
        <w:tc>
          <w:tcPr>
            <w:tcW w:w="794" w:type="dxa"/>
            <w:tcBorders>
              <w:top w:val="single" w:color="000000" w:sz="4" w:space="0"/>
              <w:left w:val="nil"/>
              <w:bottom w:val="single" w:color="000000" w:sz="4" w:space="0"/>
              <w:right w:val="nil"/>
            </w:tcBorders>
            <w:shd w:val="clear" w:color="auto" w:fill="FFFFFF"/>
            <w:noWrap/>
            <w:vAlign w:val="center"/>
          </w:tcPr>
          <w:p w14:paraId="671B22FD">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Clinical Utility</w:t>
            </w:r>
          </w:p>
        </w:tc>
        <w:tc>
          <w:tcPr>
            <w:tcW w:w="3726" w:type="dxa"/>
            <w:gridSpan w:val="3"/>
            <w:tcBorders>
              <w:top w:val="single" w:color="000000" w:sz="4" w:space="0"/>
              <w:left w:val="nil"/>
              <w:bottom w:val="single" w:color="000000" w:sz="4" w:space="0"/>
              <w:right w:val="nil"/>
            </w:tcBorders>
            <w:shd w:val="clear" w:color="auto" w:fill="FFFFFF"/>
            <w:noWrap/>
            <w:vAlign w:val="center"/>
          </w:tcPr>
          <w:p w14:paraId="7E577C37">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Internal Validation</w:t>
            </w:r>
          </w:p>
        </w:tc>
        <w:tc>
          <w:tcPr>
            <w:tcW w:w="1204" w:type="dxa"/>
            <w:tcBorders>
              <w:top w:val="single" w:color="000000" w:sz="4" w:space="0"/>
              <w:left w:val="nil"/>
              <w:bottom w:val="single" w:color="000000" w:sz="4" w:space="0"/>
              <w:right w:val="nil"/>
            </w:tcBorders>
            <w:shd w:val="clear" w:color="auto" w:fill="FFFFFF"/>
            <w:noWrap/>
            <w:vAlign w:val="center"/>
          </w:tcPr>
          <w:p w14:paraId="0EDA45D8">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External Validation</w:t>
            </w:r>
          </w:p>
        </w:tc>
      </w:tr>
      <w:tr w14:paraId="591D80EB">
        <w:trPr>
          <w:trHeight w:val="342" w:hRule="atLeast"/>
        </w:trPr>
        <w:tc>
          <w:tcPr>
            <w:tcW w:w="1295" w:type="dxa"/>
            <w:vMerge w:val="continue"/>
            <w:tcBorders>
              <w:top w:val="single" w:color="000000" w:sz="4" w:space="0"/>
              <w:left w:val="nil"/>
              <w:bottom w:val="single" w:color="000000" w:sz="4" w:space="0"/>
              <w:right w:val="nil"/>
            </w:tcBorders>
            <w:shd w:val="clear" w:color="auto" w:fill="FFFFFF"/>
            <w:noWrap/>
            <w:vAlign w:val="center"/>
          </w:tcPr>
          <w:p w14:paraId="03234CF8">
            <w:pPr>
              <w:spacing w:line="240" w:lineRule="auto"/>
              <w:rPr>
                <w:rFonts w:hint="eastAsia"/>
                <w:b w:val="0"/>
                <w:color w:val="000000"/>
                <w:sz w:val="18"/>
                <w:szCs w:val="18"/>
                <w:lang w:val="en-US" w:eastAsia="zh-CN"/>
              </w:rPr>
            </w:pPr>
          </w:p>
        </w:tc>
        <w:tc>
          <w:tcPr>
            <w:tcW w:w="1315" w:type="dxa"/>
            <w:vMerge w:val="continue"/>
            <w:tcBorders>
              <w:top w:val="single" w:color="000000" w:sz="4" w:space="0"/>
              <w:left w:val="nil"/>
              <w:bottom w:val="single" w:color="000000" w:sz="4" w:space="0"/>
              <w:right w:val="nil"/>
            </w:tcBorders>
            <w:shd w:val="clear" w:color="auto" w:fill="FFFFFF"/>
            <w:noWrap/>
            <w:vAlign w:val="center"/>
          </w:tcPr>
          <w:p w14:paraId="3C2FF98E">
            <w:pPr>
              <w:spacing w:line="240" w:lineRule="auto"/>
              <w:rPr>
                <w:rFonts w:hint="eastAsia"/>
                <w:b w:val="0"/>
                <w:color w:val="000000"/>
                <w:sz w:val="18"/>
                <w:szCs w:val="18"/>
                <w:lang w:val="en-US" w:eastAsia="zh-CN"/>
              </w:rPr>
            </w:pPr>
          </w:p>
        </w:tc>
        <w:tc>
          <w:tcPr>
            <w:tcW w:w="822" w:type="dxa"/>
            <w:vMerge w:val="continue"/>
            <w:tcBorders>
              <w:top w:val="single" w:color="000000" w:sz="4" w:space="0"/>
              <w:left w:val="nil"/>
              <w:bottom w:val="single" w:color="000000" w:sz="4" w:space="0"/>
              <w:right w:val="nil"/>
            </w:tcBorders>
            <w:shd w:val="clear" w:color="auto" w:fill="FFFFFF"/>
            <w:noWrap/>
            <w:vAlign w:val="center"/>
          </w:tcPr>
          <w:p w14:paraId="1DEAAF5B">
            <w:pPr>
              <w:spacing w:line="240" w:lineRule="auto"/>
              <w:rPr>
                <w:rFonts w:hint="eastAsia"/>
                <w:b w:val="0"/>
                <w:color w:val="000000"/>
                <w:sz w:val="18"/>
                <w:szCs w:val="18"/>
                <w:lang w:val="en-US" w:eastAsia="zh-CN"/>
              </w:rPr>
            </w:pPr>
          </w:p>
        </w:tc>
        <w:tc>
          <w:tcPr>
            <w:tcW w:w="1122" w:type="dxa"/>
            <w:vMerge w:val="restart"/>
            <w:tcBorders>
              <w:top w:val="single" w:color="000000" w:sz="4" w:space="0"/>
              <w:left w:val="nil"/>
              <w:bottom w:val="single" w:color="000000" w:sz="4" w:space="0"/>
              <w:right w:val="nil"/>
            </w:tcBorders>
            <w:shd w:val="clear" w:color="auto" w:fill="FFFFFF"/>
            <w:noWrap/>
            <w:vAlign w:val="center"/>
          </w:tcPr>
          <w:p w14:paraId="0CD9AB52">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AUC(95%CI) or C statistic(95%CI)</w:t>
            </w:r>
          </w:p>
        </w:tc>
        <w:tc>
          <w:tcPr>
            <w:tcW w:w="1122" w:type="dxa"/>
            <w:vMerge w:val="restart"/>
            <w:tcBorders>
              <w:top w:val="single" w:color="000000" w:sz="4" w:space="0"/>
              <w:left w:val="nil"/>
              <w:bottom w:val="single" w:color="000000" w:sz="4" w:space="0"/>
              <w:right w:val="nil"/>
            </w:tcBorders>
            <w:shd w:val="clear" w:color="auto" w:fill="FFFFFF"/>
            <w:noWrap/>
            <w:vAlign w:val="center"/>
          </w:tcPr>
          <w:p w14:paraId="00DA031C">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Sensitivity (%)</w:t>
            </w:r>
          </w:p>
        </w:tc>
        <w:tc>
          <w:tcPr>
            <w:tcW w:w="1123" w:type="dxa"/>
            <w:vMerge w:val="restart"/>
            <w:tcBorders>
              <w:top w:val="single" w:color="000000" w:sz="4" w:space="0"/>
              <w:left w:val="nil"/>
              <w:bottom w:val="single" w:color="000000" w:sz="4" w:space="0"/>
              <w:right w:val="nil"/>
            </w:tcBorders>
            <w:shd w:val="clear" w:color="auto" w:fill="FFFFFF"/>
            <w:noWrap/>
            <w:vAlign w:val="center"/>
          </w:tcPr>
          <w:p w14:paraId="0F89D951">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Specificity (%)</w:t>
            </w:r>
          </w:p>
        </w:tc>
        <w:tc>
          <w:tcPr>
            <w:tcW w:w="784" w:type="dxa"/>
            <w:vMerge w:val="restart"/>
            <w:tcBorders>
              <w:top w:val="single" w:color="000000" w:sz="4" w:space="0"/>
              <w:left w:val="nil"/>
              <w:bottom w:val="single" w:color="000000" w:sz="4" w:space="0"/>
              <w:right w:val="nil"/>
            </w:tcBorders>
            <w:shd w:val="clear" w:color="auto" w:fill="FFFFFF"/>
            <w:noWrap/>
            <w:vAlign w:val="center"/>
          </w:tcPr>
          <w:p w14:paraId="12D242DB">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Calibration Plot</w:t>
            </w:r>
          </w:p>
        </w:tc>
        <w:tc>
          <w:tcPr>
            <w:tcW w:w="993" w:type="dxa"/>
            <w:vMerge w:val="restart"/>
            <w:tcBorders>
              <w:top w:val="single" w:color="000000" w:sz="4" w:space="0"/>
              <w:left w:val="nil"/>
              <w:bottom w:val="single" w:color="000000" w:sz="4" w:space="0"/>
              <w:right w:val="nil"/>
            </w:tcBorders>
            <w:shd w:val="clear" w:color="auto" w:fill="FFFFFF"/>
            <w:noWrap/>
            <w:vAlign w:val="center"/>
          </w:tcPr>
          <w:p w14:paraId="0454DEBD">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Hosmer-Lemeshow Test (p)</w:t>
            </w:r>
          </w:p>
        </w:tc>
        <w:tc>
          <w:tcPr>
            <w:tcW w:w="794" w:type="dxa"/>
            <w:vMerge w:val="restart"/>
            <w:tcBorders>
              <w:top w:val="single" w:color="000000" w:sz="4" w:space="0"/>
              <w:left w:val="nil"/>
              <w:bottom w:val="single" w:color="000000" w:sz="4" w:space="0"/>
              <w:right w:val="nil"/>
            </w:tcBorders>
            <w:shd w:val="clear" w:color="auto" w:fill="FFFFFF"/>
            <w:noWrap/>
            <w:vAlign w:val="center"/>
          </w:tcPr>
          <w:p w14:paraId="715794D3">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DCA Performed</w:t>
            </w:r>
          </w:p>
        </w:tc>
        <w:tc>
          <w:tcPr>
            <w:tcW w:w="1242" w:type="dxa"/>
            <w:tcBorders>
              <w:top w:val="single" w:color="000000" w:sz="4" w:space="0"/>
              <w:left w:val="nil"/>
              <w:bottom w:val="single" w:color="000000" w:sz="4" w:space="0"/>
              <w:right w:val="nil"/>
            </w:tcBorders>
            <w:shd w:val="clear" w:color="auto" w:fill="FFFFFF"/>
            <w:noWrap/>
            <w:vAlign w:val="center"/>
          </w:tcPr>
          <w:p w14:paraId="4B313898">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Bootstrap</w:t>
            </w:r>
          </w:p>
        </w:tc>
        <w:tc>
          <w:tcPr>
            <w:tcW w:w="1242" w:type="dxa"/>
            <w:tcBorders>
              <w:top w:val="single" w:color="000000" w:sz="4" w:space="0"/>
              <w:left w:val="nil"/>
              <w:bottom w:val="single" w:color="000000" w:sz="4" w:space="0"/>
              <w:right w:val="nil"/>
            </w:tcBorders>
            <w:shd w:val="clear" w:color="auto" w:fill="FFFFFF"/>
            <w:noWrap/>
            <w:vAlign w:val="center"/>
          </w:tcPr>
          <w:p w14:paraId="6E3066C5">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Split-sample Validation</w:t>
            </w:r>
          </w:p>
        </w:tc>
        <w:tc>
          <w:tcPr>
            <w:tcW w:w="1242" w:type="dxa"/>
            <w:tcBorders>
              <w:top w:val="single" w:color="000000" w:sz="4" w:space="0"/>
              <w:left w:val="nil"/>
              <w:bottom w:val="single" w:color="000000" w:sz="4" w:space="0"/>
              <w:right w:val="nil"/>
            </w:tcBorders>
            <w:shd w:val="clear" w:color="auto" w:fill="FFFFFF"/>
            <w:noWrap/>
            <w:vAlign w:val="center"/>
          </w:tcPr>
          <w:p w14:paraId="1621938C">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K-fold Cross-validation</w:t>
            </w:r>
          </w:p>
        </w:tc>
        <w:tc>
          <w:tcPr>
            <w:tcW w:w="1204" w:type="dxa"/>
            <w:vMerge w:val="restart"/>
            <w:tcBorders>
              <w:top w:val="single" w:color="000000" w:sz="4" w:space="0"/>
              <w:left w:val="nil"/>
              <w:bottom w:val="single" w:color="000000" w:sz="4" w:space="0"/>
              <w:right w:val="nil"/>
            </w:tcBorders>
            <w:shd w:val="clear" w:color="auto" w:fill="FFFFFF"/>
            <w:noWrap/>
            <w:vAlign w:val="center"/>
          </w:tcPr>
          <w:p w14:paraId="7D288679">
            <w:pPr>
              <w:spacing w:line="240" w:lineRule="auto"/>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AUC(95%CI)</w:t>
            </w:r>
          </w:p>
        </w:tc>
      </w:tr>
      <w:tr w14:paraId="5B3DED18">
        <w:trPr>
          <w:trHeight w:val="366" w:hRule="atLeast"/>
        </w:trPr>
        <w:tc>
          <w:tcPr>
            <w:tcW w:w="1295" w:type="dxa"/>
            <w:vMerge w:val="continue"/>
            <w:tcBorders>
              <w:top w:val="single" w:color="000000" w:sz="4" w:space="0"/>
              <w:left w:val="nil"/>
              <w:bottom w:val="single" w:color="000000" w:sz="4" w:space="0"/>
              <w:right w:val="nil"/>
            </w:tcBorders>
            <w:shd w:val="clear" w:color="auto" w:fill="FFFFFF"/>
            <w:noWrap/>
            <w:vAlign w:val="center"/>
          </w:tcPr>
          <w:p w14:paraId="4AEC0D83">
            <w:pPr>
              <w:spacing w:line="240" w:lineRule="auto"/>
              <w:rPr>
                <w:rFonts w:hint="eastAsia"/>
                <w:b w:val="0"/>
                <w:color w:val="000000"/>
                <w:sz w:val="18"/>
                <w:szCs w:val="18"/>
                <w:lang w:val="en-US" w:eastAsia="zh-CN"/>
              </w:rPr>
            </w:pPr>
          </w:p>
        </w:tc>
        <w:tc>
          <w:tcPr>
            <w:tcW w:w="1315" w:type="dxa"/>
            <w:vMerge w:val="continue"/>
            <w:tcBorders>
              <w:top w:val="single" w:color="000000" w:sz="4" w:space="0"/>
              <w:left w:val="nil"/>
              <w:bottom w:val="single" w:color="000000" w:sz="4" w:space="0"/>
              <w:right w:val="nil"/>
            </w:tcBorders>
            <w:shd w:val="clear" w:color="auto" w:fill="FFFFFF"/>
            <w:noWrap/>
            <w:vAlign w:val="center"/>
          </w:tcPr>
          <w:p w14:paraId="5A6ABF44">
            <w:pPr>
              <w:spacing w:line="240" w:lineRule="auto"/>
              <w:rPr>
                <w:rFonts w:hint="eastAsia"/>
                <w:b w:val="0"/>
                <w:color w:val="000000"/>
                <w:sz w:val="18"/>
                <w:szCs w:val="18"/>
                <w:lang w:val="en-US" w:eastAsia="zh-CN"/>
              </w:rPr>
            </w:pPr>
          </w:p>
        </w:tc>
        <w:tc>
          <w:tcPr>
            <w:tcW w:w="822" w:type="dxa"/>
            <w:vMerge w:val="continue"/>
            <w:tcBorders>
              <w:top w:val="single" w:color="000000" w:sz="4" w:space="0"/>
              <w:left w:val="nil"/>
              <w:bottom w:val="single" w:color="000000" w:sz="4" w:space="0"/>
              <w:right w:val="nil"/>
            </w:tcBorders>
            <w:shd w:val="clear" w:color="auto" w:fill="FFFFFF"/>
            <w:noWrap/>
            <w:vAlign w:val="center"/>
          </w:tcPr>
          <w:p w14:paraId="58A0BBEC">
            <w:pPr>
              <w:spacing w:line="240" w:lineRule="auto"/>
              <w:rPr>
                <w:rFonts w:hint="eastAsia"/>
                <w:b w:val="0"/>
                <w:color w:val="000000"/>
                <w:sz w:val="18"/>
                <w:szCs w:val="18"/>
                <w:lang w:val="en-US" w:eastAsia="zh-CN"/>
              </w:rPr>
            </w:pPr>
          </w:p>
        </w:tc>
        <w:tc>
          <w:tcPr>
            <w:tcW w:w="1122" w:type="dxa"/>
            <w:vMerge w:val="continue"/>
            <w:tcBorders>
              <w:top w:val="single" w:color="000000" w:sz="4" w:space="0"/>
              <w:left w:val="nil"/>
              <w:bottom w:val="single" w:color="000000" w:sz="4" w:space="0"/>
              <w:right w:val="nil"/>
            </w:tcBorders>
            <w:shd w:val="clear" w:color="auto" w:fill="FFFFFF"/>
            <w:noWrap/>
            <w:vAlign w:val="center"/>
          </w:tcPr>
          <w:p w14:paraId="3ADC40DC">
            <w:pPr>
              <w:spacing w:line="240" w:lineRule="auto"/>
              <w:rPr>
                <w:rFonts w:hint="eastAsia"/>
                <w:b w:val="0"/>
                <w:color w:val="000000"/>
                <w:sz w:val="18"/>
                <w:szCs w:val="18"/>
                <w:lang w:val="en-US" w:eastAsia="zh-CN"/>
              </w:rPr>
            </w:pPr>
          </w:p>
        </w:tc>
        <w:tc>
          <w:tcPr>
            <w:tcW w:w="1122" w:type="dxa"/>
            <w:vMerge w:val="continue"/>
            <w:tcBorders>
              <w:top w:val="single" w:color="000000" w:sz="4" w:space="0"/>
              <w:left w:val="nil"/>
              <w:bottom w:val="single" w:color="000000" w:sz="4" w:space="0"/>
              <w:right w:val="nil"/>
            </w:tcBorders>
            <w:shd w:val="clear" w:color="auto" w:fill="FFFFFF"/>
            <w:noWrap/>
            <w:vAlign w:val="center"/>
          </w:tcPr>
          <w:p w14:paraId="68B42552">
            <w:pPr>
              <w:spacing w:line="240" w:lineRule="auto"/>
              <w:rPr>
                <w:rFonts w:hint="eastAsia"/>
                <w:b w:val="0"/>
                <w:color w:val="000000"/>
                <w:sz w:val="18"/>
                <w:szCs w:val="18"/>
                <w:lang w:val="en-US" w:eastAsia="zh-CN"/>
              </w:rPr>
            </w:pPr>
          </w:p>
        </w:tc>
        <w:tc>
          <w:tcPr>
            <w:tcW w:w="1123" w:type="dxa"/>
            <w:vMerge w:val="continue"/>
            <w:tcBorders>
              <w:top w:val="single" w:color="000000" w:sz="4" w:space="0"/>
              <w:left w:val="nil"/>
              <w:bottom w:val="single" w:color="000000" w:sz="4" w:space="0"/>
              <w:right w:val="nil"/>
            </w:tcBorders>
            <w:shd w:val="clear" w:color="auto" w:fill="FFFFFF"/>
            <w:noWrap/>
            <w:vAlign w:val="center"/>
          </w:tcPr>
          <w:p w14:paraId="3979D5F5">
            <w:pPr>
              <w:spacing w:line="240" w:lineRule="auto"/>
              <w:rPr>
                <w:rFonts w:hint="eastAsia"/>
                <w:b w:val="0"/>
                <w:color w:val="000000"/>
                <w:sz w:val="18"/>
                <w:szCs w:val="18"/>
                <w:lang w:val="en-US" w:eastAsia="zh-CN"/>
              </w:rPr>
            </w:pPr>
          </w:p>
        </w:tc>
        <w:tc>
          <w:tcPr>
            <w:tcW w:w="784" w:type="dxa"/>
            <w:vMerge w:val="continue"/>
            <w:tcBorders>
              <w:top w:val="single" w:color="000000" w:sz="4" w:space="0"/>
              <w:left w:val="nil"/>
              <w:bottom w:val="single" w:color="000000" w:sz="4" w:space="0"/>
              <w:right w:val="nil"/>
            </w:tcBorders>
            <w:shd w:val="clear" w:color="auto" w:fill="FFFFFF"/>
            <w:noWrap/>
            <w:vAlign w:val="center"/>
          </w:tcPr>
          <w:p w14:paraId="151334E4">
            <w:pPr>
              <w:spacing w:line="240" w:lineRule="auto"/>
              <w:rPr>
                <w:rFonts w:hint="eastAsia"/>
                <w:b w:val="0"/>
                <w:color w:val="000000"/>
                <w:sz w:val="18"/>
                <w:szCs w:val="18"/>
                <w:lang w:val="en-US" w:eastAsia="zh-CN"/>
              </w:rPr>
            </w:pPr>
          </w:p>
        </w:tc>
        <w:tc>
          <w:tcPr>
            <w:tcW w:w="993" w:type="dxa"/>
            <w:vMerge w:val="continue"/>
            <w:tcBorders>
              <w:top w:val="single" w:color="000000" w:sz="4" w:space="0"/>
              <w:left w:val="nil"/>
              <w:bottom w:val="single" w:color="000000" w:sz="4" w:space="0"/>
              <w:right w:val="nil"/>
            </w:tcBorders>
            <w:shd w:val="clear" w:color="auto" w:fill="FFFFFF"/>
            <w:noWrap/>
            <w:vAlign w:val="center"/>
          </w:tcPr>
          <w:p w14:paraId="391BAD7B">
            <w:pPr>
              <w:spacing w:line="240" w:lineRule="auto"/>
              <w:rPr>
                <w:rFonts w:hint="eastAsia"/>
                <w:b w:val="0"/>
                <w:color w:val="000000"/>
                <w:sz w:val="18"/>
                <w:szCs w:val="18"/>
                <w:lang w:val="en-US" w:eastAsia="zh-CN"/>
              </w:rPr>
            </w:pPr>
          </w:p>
        </w:tc>
        <w:tc>
          <w:tcPr>
            <w:tcW w:w="794" w:type="dxa"/>
            <w:vMerge w:val="continue"/>
            <w:tcBorders>
              <w:top w:val="single" w:color="000000" w:sz="4" w:space="0"/>
              <w:left w:val="nil"/>
              <w:bottom w:val="single" w:color="000000" w:sz="4" w:space="0"/>
              <w:right w:val="nil"/>
            </w:tcBorders>
            <w:shd w:val="clear" w:color="auto" w:fill="FFFFFF"/>
            <w:noWrap/>
            <w:vAlign w:val="center"/>
          </w:tcPr>
          <w:p w14:paraId="4F8907EC">
            <w:pPr>
              <w:spacing w:line="240" w:lineRule="auto"/>
              <w:rPr>
                <w:rFonts w:hint="eastAsia"/>
                <w:b w:val="0"/>
                <w:color w:val="000000"/>
                <w:sz w:val="18"/>
                <w:szCs w:val="18"/>
                <w:lang w:val="en-US" w:eastAsia="zh-CN"/>
              </w:rPr>
            </w:pPr>
          </w:p>
        </w:tc>
        <w:tc>
          <w:tcPr>
            <w:tcW w:w="1242" w:type="dxa"/>
            <w:tcBorders>
              <w:top w:val="single" w:color="000000" w:sz="4" w:space="0"/>
              <w:left w:val="nil"/>
              <w:bottom w:val="single" w:color="000000" w:sz="4" w:space="0"/>
              <w:right w:val="nil"/>
            </w:tcBorders>
            <w:shd w:val="clear" w:color="auto" w:fill="FFFFFF"/>
            <w:noWrap/>
            <w:vAlign w:val="center"/>
          </w:tcPr>
          <w:p w14:paraId="7FC9B8CE">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AUC(95%CI)</w:t>
            </w:r>
          </w:p>
        </w:tc>
        <w:tc>
          <w:tcPr>
            <w:tcW w:w="1242" w:type="dxa"/>
            <w:tcBorders>
              <w:top w:val="single" w:color="000000" w:sz="4" w:space="0"/>
              <w:left w:val="nil"/>
              <w:bottom w:val="single" w:color="000000" w:sz="4" w:space="0"/>
              <w:right w:val="nil"/>
            </w:tcBorders>
            <w:shd w:val="clear" w:color="auto" w:fill="FFFFFF"/>
            <w:noWrap/>
            <w:vAlign w:val="center"/>
          </w:tcPr>
          <w:p w14:paraId="33FF3F7C">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AUC(95%CI)</w:t>
            </w:r>
          </w:p>
        </w:tc>
        <w:tc>
          <w:tcPr>
            <w:tcW w:w="1242" w:type="dxa"/>
            <w:tcBorders>
              <w:top w:val="single" w:color="000000" w:sz="4" w:space="0"/>
              <w:left w:val="nil"/>
              <w:bottom w:val="single" w:color="000000" w:sz="4" w:space="0"/>
              <w:right w:val="nil"/>
            </w:tcBorders>
            <w:shd w:val="clear" w:color="auto" w:fill="FFFFFF"/>
            <w:noWrap/>
            <w:vAlign w:val="center"/>
          </w:tcPr>
          <w:p w14:paraId="36906E41">
            <w:pPr>
              <w:spacing w:line="240" w:lineRule="auto"/>
              <w:jc w:val="center"/>
              <w:rPr>
                <w:rFonts w:hint="default" w:ascii="Times New Roman Bold" w:hAnsi="Times New Roman Bold" w:cs="Times New Roman Bold"/>
                <w:b w:val="0"/>
                <w:bCs/>
                <w:color w:val="000000"/>
                <w:sz w:val="18"/>
                <w:szCs w:val="18"/>
                <w:lang w:val="en-US" w:eastAsia="zh-CN"/>
              </w:rPr>
            </w:pPr>
            <w:r>
              <w:rPr>
                <w:rFonts w:hint="default" w:ascii="Times New Roman Bold" w:hAnsi="Times New Roman Bold" w:cs="Times New Roman Bold"/>
                <w:b w:val="0"/>
                <w:bCs/>
                <w:color w:val="000000"/>
                <w:sz w:val="18"/>
                <w:szCs w:val="18"/>
                <w:lang w:val="en-US" w:eastAsia="zh-CN"/>
              </w:rPr>
              <w:t>AUC(95%CI)</w:t>
            </w:r>
          </w:p>
        </w:tc>
        <w:tc>
          <w:tcPr>
            <w:tcW w:w="1204" w:type="dxa"/>
            <w:vMerge w:val="continue"/>
            <w:tcBorders>
              <w:top w:val="single" w:color="000000" w:sz="4" w:space="0"/>
              <w:left w:val="nil"/>
              <w:bottom w:val="single" w:color="000000" w:sz="4" w:space="0"/>
              <w:right w:val="nil"/>
            </w:tcBorders>
            <w:shd w:val="clear" w:color="auto" w:fill="FFFFFF"/>
            <w:noWrap/>
            <w:vAlign w:val="center"/>
          </w:tcPr>
          <w:p w14:paraId="43CEA3D8">
            <w:pPr>
              <w:spacing w:line="240" w:lineRule="auto"/>
              <w:rPr>
                <w:rFonts w:hint="eastAsia"/>
                <w:b w:val="0"/>
                <w:color w:val="000000"/>
                <w:sz w:val="18"/>
                <w:szCs w:val="18"/>
                <w:lang w:val="en-US" w:eastAsia="zh-CN"/>
              </w:rPr>
            </w:pPr>
          </w:p>
        </w:tc>
      </w:tr>
      <w:tr w14:paraId="4EE8CD2D">
        <w:trPr>
          <w:trHeight w:val="351" w:hRule="atLeast"/>
        </w:trPr>
        <w:tc>
          <w:tcPr>
            <w:tcW w:w="1295" w:type="dxa"/>
            <w:tcBorders>
              <w:top w:val="single" w:color="000000" w:sz="4" w:space="0"/>
              <w:left w:val="nil"/>
              <w:bottom w:val="single" w:color="000000" w:sz="4" w:space="0"/>
              <w:right w:val="nil"/>
            </w:tcBorders>
            <w:shd w:val="clear" w:color="auto" w:fill="DBE3F4" w:themeFill="accent1" w:themeFillTint="32"/>
            <w:noWrap/>
            <w:vAlign w:val="center"/>
          </w:tcPr>
          <w:p w14:paraId="3966BC29">
            <w:pPr>
              <w:spacing w:line="240" w:lineRule="auto"/>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Cohort Study</w:t>
            </w:r>
          </w:p>
        </w:tc>
        <w:tc>
          <w:tcPr>
            <w:tcW w:w="1315" w:type="dxa"/>
            <w:tcBorders>
              <w:top w:val="single" w:color="000000" w:sz="4" w:space="0"/>
              <w:left w:val="nil"/>
              <w:bottom w:val="single" w:color="000000" w:sz="4" w:space="0"/>
              <w:right w:val="nil"/>
            </w:tcBorders>
            <w:shd w:val="clear" w:color="auto" w:fill="DBE3F4" w:themeFill="accent1" w:themeFillTint="32"/>
            <w:noWrap/>
            <w:vAlign w:val="center"/>
          </w:tcPr>
          <w:p w14:paraId="71C6ED1F">
            <w:pPr>
              <w:spacing w:line="240" w:lineRule="auto"/>
              <w:rPr>
                <w:rFonts w:hint="default" w:ascii="Times New Roman Bold" w:hAnsi="Times New Roman Bold" w:cs="Times New Roman Bold"/>
                <w:b/>
                <w:bCs/>
                <w:color w:val="000000"/>
                <w:sz w:val="18"/>
                <w:szCs w:val="18"/>
                <w:lang w:val="en-US" w:eastAsia="zh-CN"/>
              </w:rPr>
            </w:pPr>
          </w:p>
        </w:tc>
        <w:tc>
          <w:tcPr>
            <w:tcW w:w="822" w:type="dxa"/>
            <w:tcBorders>
              <w:top w:val="single" w:color="000000" w:sz="4" w:space="0"/>
              <w:left w:val="nil"/>
              <w:bottom w:val="single" w:color="000000" w:sz="4" w:space="0"/>
              <w:right w:val="nil"/>
            </w:tcBorders>
            <w:shd w:val="clear" w:color="auto" w:fill="DBE3F4" w:themeFill="accent1" w:themeFillTint="32"/>
            <w:noWrap/>
            <w:vAlign w:val="center"/>
          </w:tcPr>
          <w:p w14:paraId="5A6CEF49">
            <w:pPr>
              <w:spacing w:line="240" w:lineRule="auto"/>
              <w:rPr>
                <w:rFonts w:hint="default" w:ascii="Times New Roman Bold" w:hAnsi="Times New Roman Bold" w:cs="Times New Roman Bold"/>
                <w:b/>
                <w:bCs/>
                <w:color w:val="000000"/>
                <w:sz w:val="18"/>
                <w:szCs w:val="18"/>
                <w:lang w:val="en-US" w:eastAsia="zh-CN"/>
              </w:rPr>
            </w:pPr>
          </w:p>
        </w:tc>
        <w:tc>
          <w:tcPr>
            <w:tcW w:w="1122" w:type="dxa"/>
            <w:tcBorders>
              <w:top w:val="single" w:color="000000" w:sz="4" w:space="0"/>
              <w:left w:val="nil"/>
              <w:bottom w:val="single" w:color="000000" w:sz="4" w:space="0"/>
              <w:right w:val="nil"/>
            </w:tcBorders>
            <w:shd w:val="clear" w:color="auto" w:fill="DBE3F4" w:themeFill="accent1" w:themeFillTint="32"/>
            <w:noWrap/>
            <w:vAlign w:val="center"/>
          </w:tcPr>
          <w:p w14:paraId="5D97FF0B">
            <w:pPr>
              <w:spacing w:line="240" w:lineRule="auto"/>
              <w:rPr>
                <w:rFonts w:hint="default" w:ascii="Times New Roman Bold" w:hAnsi="Times New Roman Bold" w:cs="Times New Roman Bold"/>
                <w:b/>
                <w:bCs/>
                <w:color w:val="000000"/>
                <w:sz w:val="18"/>
                <w:szCs w:val="18"/>
                <w:lang w:val="en-US" w:eastAsia="zh-CN"/>
              </w:rPr>
            </w:pPr>
          </w:p>
        </w:tc>
        <w:tc>
          <w:tcPr>
            <w:tcW w:w="1122" w:type="dxa"/>
            <w:tcBorders>
              <w:top w:val="single" w:color="000000" w:sz="4" w:space="0"/>
              <w:left w:val="nil"/>
              <w:bottom w:val="single" w:color="000000" w:sz="4" w:space="0"/>
              <w:right w:val="nil"/>
            </w:tcBorders>
            <w:shd w:val="clear" w:color="auto" w:fill="DBE3F4" w:themeFill="accent1" w:themeFillTint="32"/>
            <w:noWrap/>
            <w:vAlign w:val="center"/>
          </w:tcPr>
          <w:p w14:paraId="3A8141C8">
            <w:pPr>
              <w:spacing w:line="240" w:lineRule="auto"/>
              <w:rPr>
                <w:rFonts w:hint="default" w:ascii="Times New Roman Bold" w:hAnsi="Times New Roman Bold" w:cs="Times New Roman Bold"/>
                <w:b/>
                <w:bCs/>
                <w:color w:val="000000"/>
                <w:sz w:val="18"/>
                <w:szCs w:val="18"/>
                <w:lang w:val="en-US" w:eastAsia="zh-CN"/>
              </w:rPr>
            </w:pPr>
          </w:p>
        </w:tc>
        <w:tc>
          <w:tcPr>
            <w:tcW w:w="1123" w:type="dxa"/>
            <w:tcBorders>
              <w:top w:val="single" w:color="000000" w:sz="4" w:space="0"/>
              <w:left w:val="nil"/>
              <w:bottom w:val="single" w:color="000000" w:sz="4" w:space="0"/>
              <w:right w:val="nil"/>
            </w:tcBorders>
            <w:shd w:val="clear" w:color="auto" w:fill="DBE3F4" w:themeFill="accent1" w:themeFillTint="32"/>
            <w:noWrap/>
            <w:vAlign w:val="center"/>
          </w:tcPr>
          <w:p w14:paraId="49E9DD0E">
            <w:pPr>
              <w:spacing w:line="240" w:lineRule="auto"/>
              <w:rPr>
                <w:rFonts w:hint="default" w:ascii="Times New Roman Bold" w:hAnsi="Times New Roman Bold" w:cs="Times New Roman Bold"/>
                <w:b/>
                <w:bCs/>
                <w:color w:val="000000"/>
                <w:sz w:val="18"/>
                <w:szCs w:val="18"/>
                <w:lang w:val="en-US" w:eastAsia="zh-CN"/>
              </w:rPr>
            </w:pPr>
          </w:p>
        </w:tc>
        <w:tc>
          <w:tcPr>
            <w:tcW w:w="784" w:type="dxa"/>
            <w:tcBorders>
              <w:top w:val="single" w:color="000000" w:sz="4" w:space="0"/>
              <w:left w:val="nil"/>
              <w:bottom w:val="single" w:color="000000" w:sz="4" w:space="0"/>
              <w:right w:val="nil"/>
            </w:tcBorders>
            <w:shd w:val="clear" w:color="auto" w:fill="DBE3F4" w:themeFill="accent1" w:themeFillTint="32"/>
            <w:noWrap/>
            <w:vAlign w:val="center"/>
          </w:tcPr>
          <w:p w14:paraId="33A1F50B">
            <w:pPr>
              <w:spacing w:line="240" w:lineRule="auto"/>
              <w:rPr>
                <w:rFonts w:hint="default" w:ascii="Times New Roman Bold" w:hAnsi="Times New Roman Bold" w:cs="Times New Roman Bold"/>
                <w:b/>
                <w:bCs/>
                <w:color w:val="000000"/>
                <w:sz w:val="18"/>
                <w:szCs w:val="18"/>
                <w:lang w:val="en-US" w:eastAsia="zh-CN"/>
              </w:rPr>
            </w:pPr>
          </w:p>
        </w:tc>
        <w:tc>
          <w:tcPr>
            <w:tcW w:w="993" w:type="dxa"/>
            <w:tcBorders>
              <w:top w:val="single" w:color="000000" w:sz="4" w:space="0"/>
              <w:left w:val="nil"/>
              <w:bottom w:val="single" w:color="000000" w:sz="4" w:space="0"/>
              <w:right w:val="nil"/>
            </w:tcBorders>
            <w:shd w:val="clear" w:color="auto" w:fill="DBE3F4" w:themeFill="accent1" w:themeFillTint="32"/>
            <w:noWrap/>
            <w:vAlign w:val="center"/>
          </w:tcPr>
          <w:p w14:paraId="135F48AF">
            <w:pPr>
              <w:spacing w:line="240" w:lineRule="auto"/>
              <w:rPr>
                <w:rFonts w:hint="default" w:ascii="Times New Roman Bold" w:hAnsi="Times New Roman Bold" w:cs="Times New Roman Bold"/>
                <w:b/>
                <w:bCs/>
                <w:color w:val="000000"/>
                <w:sz w:val="18"/>
                <w:szCs w:val="18"/>
                <w:lang w:val="en-US" w:eastAsia="zh-CN"/>
              </w:rPr>
            </w:pPr>
          </w:p>
        </w:tc>
        <w:tc>
          <w:tcPr>
            <w:tcW w:w="794" w:type="dxa"/>
            <w:tcBorders>
              <w:top w:val="single" w:color="000000" w:sz="4" w:space="0"/>
              <w:left w:val="nil"/>
              <w:bottom w:val="single" w:color="000000" w:sz="4" w:space="0"/>
              <w:right w:val="nil"/>
            </w:tcBorders>
            <w:shd w:val="clear" w:color="auto" w:fill="DBE3F4" w:themeFill="accent1" w:themeFillTint="32"/>
            <w:noWrap/>
            <w:vAlign w:val="center"/>
          </w:tcPr>
          <w:p w14:paraId="4DDD9E7C">
            <w:pPr>
              <w:spacing w:line="240" w:lineRule="auto"/>
              <w:rPr>
                <w:rFonts w:hint="default" w:ascii="Times New Roman Bold" w:hAnsi="Times New Roman Bold" w:cs="Times New Roman Bold"/>
                <w:b/>
                <w:bCs/>
                <w:color w:val="000000"/>
                <w:sz w:val="18"/>
                <w:szCs w:val="18"/>
                <w:lang w:val="en-US" w:eastAsia="zh-CN"/>
              </w:rPr>
            </w:pPr>
          </w:p>
        </w:tc>
        <w:tc>
          <w:tcPr>
            <w:tcW w:w="1242" w:type="dxa"/>
            <w:tcBorders>
              <w:top w:val="single" w:color="000000" w:sz="4" w:space="0"/>
              <w:left w:val="nil"/>
              <w:bottom w:val="single" w:color="000000" w:sz="4" w:space="0"/>
              <w:right w:val="nil"/>
            </w:tcBorders>
            <w:shd w:val="clear" w:color="auto" w:fill="DBE3F4" w:themeFill="accent1" w:themeFillTint="32"/>
            <w:noWrap/>
            <w:vAlign w:val="center"/>
          </w:tcPr>
          <w:p w14:paraId="254BE04C">
            <w:pPr>
              <w:spacing w:line="240" w:lineRule="auto"/>
              <w:rPr>
                <w:rFonts w:hint="default" w:ascii="Times New Roman Bold" w:hAnsi="Times New Roman Bold" w:cs="Times New Roman Bold"/>
                <w:b/>
                <w:bCs/>
                <w:color w:val="000000"/>
                <w:sz w:val="18"/>
                <w:szCs w:val="18"/>
                <w:lang w:val="en-US" w:eastAsia="zh-CN"/>
              </w:rPr>
            </w:pPr>
          </w:p>
        </w:tc>
        <w:tc>
          <w:tcPr>
            <w:tcW w:w="1242" w:type="dxa"/>
            <w:tcBorders>
              <w:top w:val="single" w:color="000000" w:sz="4" w:space="0"/>
              <w:left w:val="nil"/>
              <w:bottom w:val="single" w:color="000000" w:sz="4" w:space="0"/>
              <w:right w:val="nil"/>
            </w:tcBorders>
            <w:shd w:val="clear" w:color="auto" w:fill="DBE3F4" w:themeFill="accent1" w:themeFillTint="32"/>
            <w:noWrap/>
            <w:vAlign w:val="center"/>
          </w:tcPr>
          <w:p w14:paraId="4EF7EBBC">
            <w:pPr>
              <w:spacing w:line="240" w:lineRule="auto"/>
              <w:rPr>
                <w:rFonts w:hint="default" w:ascii="Times New Roman Bold" w:hAnsi="Times New Roman Bold" w:cs="Times New Roman Bold"/>
                <w:b/>
                <w:bCs/>
                <w:color w:val="000000"/>
                <w:sz w:val="18"/>
                <w:szCs w:val="18"/>
                <w:lang w:val="en-US" w:eastAsia="zh-CN"/>
              </w:rPr>
            </w:pPr>
          </w:p>
        </w:tc>
        <w:tc>
          <w:tcPr>
            <w:tcW w:w="1242" w:type="dxa"/>
            <w:tcBorders>
              <w:top w:val="single" w:color="000000" w:sz="4" w:space="0"/>
              <w:left w:val="nil"/>
              <w:bottom w:val="single" w:color="000000" w:sz="4" w:space="0"/>
              <w:right w:val="nil"/>
            </w:tcBorders>
            <w:shd w:val="clear" w:color="auto" w:fill="DBE3F4" w:themeFill="accent1" w:themeFillTint="32"/>
            <w:noWrap/>
            <w:vAlign w:val="center"/>
          </w:tcPr>
          <w:p w14:paraId="014A314A">
            <w:pPr>
              <w:spacing w:line="240" w:lineRule="auto"/>
              <w:rPr>
                <w:rFonts w:hint="default" w:ascii="Times New Roman Bold" w:hAnsi="Times New Roman Bold" w:cs="Times New Roman Bold"/>
                <w:b/>
                <w:bCs/>
                <w:color w:val="000000"/>
                <w:sz w:val="18"/>
                <w:szCs w:val="18"/>
                <w:lang w:val="en-US" w:eastAsia="zh-CN"/>
              </w:rPr>
            </w:pPr>
          </w:p>
        </w:tc>
        <w:tc>
          <w:tcPr>
            <w:tcW w:w="1204" w:type="dxa"/>
            <w:tcBorders>
              <w:top w:val="single" w:color="000000" w:sz="4" w:space="0"/>
              <w:left w:val="nil"/>
              <w:bottom w:val="single" w:color="000000" w:sz="4" w:space="0"/>
              <w:right w:val="nil"/>
            </w:tcBorders>
            <w:shd w:val="clear" w:color="auto" w:fill="DBE3F4" w:themeFill="accent1" w:themeFillTint="32"/>
            <w:noWrap/>
            <w:vAlign w:val="center"/>
          </w:tcPr>
          <w:p w14:paraId="30F83CCE">
            <w:pPr>
              <w:spacing w:line="240" w:lineRule="auto"/>
              <w:rPr>
                <w:rFonts w:hint="default" w:ascii="Times New Roman Bold" w:hAnsi="Times New Roman Bold" w:cs="Times New Roman Bold"/>
                <w:b/>
                <w:bCs/>
                <w:color w:val="000000"/>
                <w:sz w:val="18"/>
                <w:szCs w:val="18"/>
                <w:lang w:val="en-US" w:eastAsia="zh-CN"/>
              </w:rPr>
            </w:pPr>
          </w:p>
        </w:tc>
      </w:tr>
      <w:tr w14:paraId="7AF980A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233999B6">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376DC1BF">
            <w:pPr>
              <w:spacing w:line="240" w:lineRule="auto"/>
              <w:rPr>
                <w:rFonts w:hint="eastAsia"/>
                <w:b w:val="0"/>
                <w:color w:val="000000"/>
                <w:sz w:val="18"/>
                <w:szCs w:val="18"/>
                <w:lang w:val="en-US" w:eastAsia="zh-CN"/>
              </w:rPr>
            </w:pPr>
            <w:r>
              <w:rPr>
                <w:rFonts w:hint="eastAsia"/>
                <w:b w:val="0"/>
                <w:color w:val="000000"/>
                <w:sz w:val="18"/>
                <w:szCs w:val="18"/>
                <w:lang w:val="en-US" w:eastAsia="zh-CN"/>
              </w:rPr>
              <w:t>Tan C, et al., 2022</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&lt;EndNote&gt;&lt;Cite&gt;&lt;Author&gt;Tan&lt;/Author&gt;&lt;Year&gt;2022&lt;/Year&gt;&lt;RecNum&gt;545&lt;/RecNum&gt;&lt;DisplayText&gt;(28)&lt;/DisplayText&gt;&lt;record&gt;&lt;rec-number&gt;545&lt;/rec-number&gt;&lt;foreign-keys&gt;&lt;key app="EN" db-id="earspdaa1vazprerafqvx9tx5pvfaxf9awz0" timestamp="1775313034"&gt;545&lt;/key&gt;&lt;/foreign-keys&gt;&lt;ref-type name="期刊文献"&gt;17&lt;/ref-type&gt;&lt;contributors&gt;&lt;authors&gt;&lt;author&gt;Tan, C.&lt;/author&gt;&lt;author&gt;Li, B.&lt;/author&gt;&lt;author&gt;Xiao, L.&lt;/author&gt;&lt;author&gt;Zhang, Y.&lt;/author&gt;&lt;author&gt;Su, Y.&lt;/author&gt;&lt;author&gt;Ding, N.&lt;/author&gt;&lt;/authors&gt;&lt;/contributors&gt;&lt;auth-address&gt;The Second Affiliated Hospital, Department of Emergency Medicine, Hengyang Medical School, University of South China, Hengyang, Hunan, 421001, People&amp;apos;s Republic of China.&amp;#xD;The Second Affiliated Hospital, Department of Critical Care Medicine, Hengyang Medical School, University of South China, Hengyang, People&amp;apos;s Republic of China.&amp;#xD;Department of Emergency Medicine, The Affiliated Changsha Central Hospital, Hengyang Medical School, University of South China, Changsha, People&amp;apos;s Republic of China.&lt;/auth-address&gt;&lt;titles&gt;&lt;title&gt;A Prediction Model of the Incidence of Type 2 Diabetes in Individuals with Abdominal Obesity: Insights from the General Population&lt;/title&gt;&lt;secondary-title&gt;Diabetes Metab Syndr Obes&lt;/secondary-title&gt;&lt;/titles&gt;&lt;periodical&gt;&lt;full-title&gt;Diabetes Metab Syndr Obes&lt;/full-title&gt;&lt;/periodical&gt;&lt;pages&gt;3555-3564&lt;/pages&gt;&lt;volume&gt;15&lt;/volume&gt;&lt;edition&gt;20221115&lt;/edition&gt;&lt;keywords&gt;&lt;keyword&gt;T2dm&lt;/keyword&gt;&lt;keyword&gt;abdominal obesity&lt;/keyword&gt;&lt;keyword&gt;nomogram&lt;/keyword&gt;&lt;keyword&gt;prediction model&lt;/keyword&gt;&lt;keyword&gt;type 2 diabetes&lt;/keyword&gt;&lt;/keywords&gt;&lt;dates&gt;&lt;year&gt;2022&lt;/year&gt;&lt;/dates&gt;&lt;isbn&gt;1178-7007 (Print)&amp;#xD;1178-7007&lt;/isbn&gt;&lt;accession-num&gt;36411787&lt;/accession-num&gt;&lt;urls&gt;&lt;/urls&gt;&lt;custom1&gt;The authors report no conflicts of interest in this work.&lt;/custom1&gt;&lt;custom2&gt;PMC9675349&lt;/custom2&gt;&lt;electronic-resource-num&gt;10.2147/dmso.S386687&lt;/electronic-resource-num&gt;&lt;remote-database-provider&gt;NLM&lt;/remote-database-provider&gt;&lt;language&gt;eng&lt;/language&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(28)</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1029F85B">
            <w:pPr>
              <w:spacing w:line="240" w:lineRule="auto"/>
              <w:rPr>
                <w:rFonts w:hint="eastAsia"/>
                <w:b w:val="0"/>
                <w:color w:val="000000"/>
                <w:sz w:val="18"/>
                <w:szCs w:val="18"/>
                <w:lang w:val="en-US" w:eastAsia="zh-CN"/>
              </w:rPr>
            </w:pPr>
            <w:r>
              <w:rPr>
                <w:rFonts w:hint="eastAsia"/>
                <w:b w:val="0"/>
                <w:color w:val="000000"/>
                <w:sz w:val="18"/>
                <w:szCs w:val="18"/>
                <w:lang w:val="en-US" w:eastAsia="zh-CN"/>
              </w:rPr>
              <w:t>1</w:t>
            </w:r>
          </w:p>
        </w:tc>
        <w:tc>
          <w:tcPr>
            <w:tcW w:w="1122" w:type="dxa"/>
            <w:tcBorders>
              <w:top w:val="single" w:color="000000" w:sz="4" w:space="0"/>
              <w:left w:val="nil"/>
              <w:bottom w:val="single" w:color="000000" w:sz="4" w:space="0"/>
              <w:right w:val="nil"/>
            </w:tcBorders>
            <w:shd w:val="clear" w:color="auto" w:fill="FFFFFF"/>
            <w:noWrap/>
            <w:vAlign w:val="center"/>
          </w:tcPr>
          <w:p w14:paraId="673FC87D">
            <w:pPr>
              <w:spacing w:line="240" w:lineRule="auto"/>
              <w:rPr>
                <w:rFonts w:hint="eastAsia"/>
                <w:b w:val="0"/>
                <w:color w:val="000000"/>
                <w:sz w:val="18"/>
                <w:szCs w:val="18"/>
                <w:lang w:val="en-US" w:eastAsia="zh-CN"/>
              </w:rPr>
            </w:pPr>
            <w:r>
              <w:rPr>
                <w:rFonts w:hint="eastAsia"/>
                <w:b w:val="0"/>
                <w:color w:val="000000"/>
                <w:sz w:val="18"/>
                <w:szCs w:val="18"/>
                <w:lang w:val="en-US" w:eastAsia="zh-CN"/>
              </w:rPr>
              <w:t>0.819 (0.776-0.858)</w:t>
            </w:r>
          </w:p>
        </w:tc>
        <w:tc>
          <w:tcPr>
            <w:tcW w:w="1122" w:type="dxa"/>
            <w:tcBorders>
              <w:top w:val="single" w:color="000000" w:sz="4" w:space="0"/>
              <w:left w:val="nil"/>
              <w:bottom w:val="single" w:color="000000" w:sz="4" w:space="0"/>
              <w:right w:val="nil"/>
            </w:tcBorders>
            <w:shd w:val="clear" w:color="auto" w:fill="FFFFFF"/>
            <w:noWrap/>
            <w:vAlign w:val="center"/>
          </w:tcPr>
          <w:p w14:paraId="4B9E8854">
            <w:pPr>
              <w:spacing w:line="240" w:lineRule="auto"/>
              <w:rPr>
                <w:rFonts w:hint="eastAsia"/>
                <w:b w:val="0"/>
                <w:color w:val="000000"/>
                <w:sz w:val="18"/>
                <w:szCs w:val="18"/>
                <w:lang w:val="en-US" w:eastAsia="zh-CN"/>
              </w:rPr>
            </w:pPr>
            <w:r>
              <w:rPr>
                <w:rFonts w:hint="eastAsia"/>
                <w:b w:val="0"/>
                <w:color w:val="000000"/>
                <w:sz w:val="18"/>
                <w:szCs w:val="18"/>
                <w:lang w:val="en-US" w:eastAsia="zh-CN"/>
              </w:rPr>
              <w:t>74.68%</w:t>
            </w:r>
          </w:p>
        </w:tc>
        <w:tc>
          <w:tcPr>
            <w:tcW w:w="1123" w:type="dxa"/>
            <w:tcBorders>
              <w:top w:val="single" w:color="000000" w:sz="4" w:space="0"/>
              <w:left w:val="nil"/>
              <w:bottom w:val="single" w:color="000000" w:sz="4" w:space="0"/>
              <w:right w:val="nil"/>
            </w:tcBorders>
            <w:shd w:val="clear" w:color="auto" w:fill="FFFFFF"/>
            <w:noWrap/>
            <w:vAlign w:val="center"/>
          </w:tcPr>
          <w:p w14:paraId="09BC53E3">
            <w:pPr>
              <w:spacing w:line="240" w:lineRule="auto"/>
              <w:rPr>
                <w:rFonts w:hint="eastAsia"/>
                <w:b w:val="0"/>
                <w:color w:val="000000"/>
                <w:sz w:val="18"/>
                <w:szCs w:val="18"/>
                <w:lang w:val="en-US" w:eastAsia="zh-CN"/>
              </w:rPr>
            </w:pPr>
            <w:r>
              <w:rPr>
                <w:rFonts w:hint="eastAsia"/>
                <w:b w:val="0"/>
                <w:color w:val="000000"/>
                <w:sz w:val="18"/>
                <w:szCs w:val="18"/>
                <w:lang w:val="en-US" w:eastAsia="zh-CN"/>
              </w:rPr>
              <w:t>77.00%</w:t>
            </w:r>
          </w:p>
        </w:tc>
        <w:tc>
          <w:tcPr>
            <w:tcW w:w="784" w:type="dxa"/>
            <w:tcBorders>
              <w:top w:val="single" w:color="000000" w:sz="4" w:space="0"/>
              <w:left w:val="nil"/>
              <w:bottom w:val="single" w:color="000000" w:sz="4" w:space="0"/>
              <w:right w:val="nil"/>
            </w:tcBorders>
            <w:shd w:val="clear" w:color="auto" w:fill="FFFFFF"/>
            <w:noWrap/>
            <w:vAlign w:val="center"/>
          </w:tcPr>
          <w:p w14:paraId="4D317099">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743BAD6A">
            <w:pPr>
              <w:spacing w:line="240" w:lineRule="auto"/>
              <w:rPr>
                <w:rFonts w:hint="eastAsia"/>
                <w:b w:val="0"/>
                <w:color w:val="000000"/>
                <w:sz w:val="18"/>
                <w:szCs w:val="18"/>
                <w:lang w:val="en-US" w:eastAsia="zh-CN"/>
              </w:rPr>
            </w:pPr>
            <w:r>
              <w:rPr>
                <w:rFonts w:hint="eastAsia"/>
                <w:b w:val="0"/>
                <w:color w:val="000000"/>
                <w:sz w:val="18"/>
                <w:szCs w:val="18"/>
                <w:lang w:val="en-US" w:eastAsia="zh-CN"/>
              </w:rPr>
              <w:t>P &gt; 0.05</w:t>
            </w:r>
          </w:p>
        </w:tc>
        <w:tc>
          <w:tcPr>
            <w:tcW w:w="794" w:type="dxa"/>
            <w:tcBorders>
              <w:top w:val="single" w:color="000000" w:sz="4" w:space="0"/>
              <w:left w:val="nil"/>
              <w:bottom w:val="single" w:color="000000" w:sz="4" w:space="0"/>
              <w:right w:val="nil"/>
            </w:tcBorders>
            <w:shd w:val="clear" w:color="auto" w:fill="FFFFFF"/>
            <w:noWrap/>
            <w:vAlign w:val="center"/>
          </w:tcPr>
          <w:p w14:paraId="507477C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AF37549">
            <w:pPr>
              <w:spacing w:line="240" w:lineRule="auto"/>
              <w:rPr>
                <w:rFonts w:hint="eastAsia"/>
                <w:b w:val="0"/>
                <w:color w:val="000000"/>
                <w:sz w:val="18"/>
                <w:szCs w:val="18"/>
                <w:lang w:val="en-US" w:eastAsia="zh-CN"/>
              </w:rPr>
            </w:pPr>
            <w:r>
              <w:rPr>
                <w:rFonts w:hint="eastAsia"/>
                <w:b w:val="0"/>
                <w:color w:val="000000"/>
                <w:sz w:val="18"/>
                <w:szCs w:val="18"/>
                <w:lang w:val="en-US" w:eastAsia="zh-CN"/>
              </w:rPr>
              <w:t>0.872(95%CI NM)</w:t>
            </w:r>
          </w:p>
        </w:tc>
        <w:tc>
          <w:tcPr>
            <w:tcW w:w="1242" w:type="dxa"/>
            <w:tcBorders>
              <w:top w:val="single" w:color="000000" w:sz="4" w:space="0"/>
              <w:left w:val="nil"/>
              <w:bottom w:val="single" w:color="000000" w:sz="4" w:space="0"/>
              <w:right w:val="nil"/>
            </w:tcBorders>
            <w:shd w:val="clear" w:color="auto" w:fill="FFFFFF"/>
            <w:noWrap/>
            <w:vAlign w:val="center"/>
          </w:tcPr>
          <w:p w14:paraId="261B62C6">
            <w:pPr>
              <w:spacing w:line="240" w:lineRule="auto"/>
              <w:rPr>
                <w:rFonts w:hint="eastAsia"/>
                <w:b w:val="0"/>
                <w:color w:val="000000"/>
                <w:sz w:val="18"/>
                <w:szCs w:val="18"/>
                <w:lang w:val="en-US" w:eastAsia="zh-CN"/>
              </w:rPr>
            </w:pPr>
            <w:r>
              <w:rPr>
                <w:rFonts w:hint="eastAsia"/>
                <w:b w:val="0"/>
                <w:color w:val="000000"/>
                <w:sz w:val="18"/>
                <w:szCs w:val="18"/>
                <w:lang w:val="en-US" w:eastAsia="zh-CN"/>
              </w:rPr>
              <w:t>0.853(95%CI NM)</w:t>
            </w:r>
          </w:p>
        </w:tc>
        <w:tc>
          <w:tcPr>
            <w:tcW w:w="1242" w:type="dxa"/>
            <w:tcBorders>
              <w:top w:val="single" w:color="000000" w:sz="4" w:space="0"/>
              <w:left w:val="nil"/>
              <w:bottom w:val="single" w:color="000000" w:sz="4" w:space="0"/>
              <w:right w:val="nil"/>
            </w:tcBorders>
            <w:shd w:val="clear" w:color="auto" w:fill="FFFFFF"/>
            <w:noWrap/>
            <w:vAlign w:val="center"/>
          </w:tcPr>
          <w:p w14:paraId="29248C4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0878467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8E07FD9">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65814E69">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6FAE4D74">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DF5550A">
            <w:pPr>
              <w:spacing w:line="240" w:lineRule="auto"/>
              <w:rPr>
                <w:rFonts w:hint="eastAsia"/>
                <w:b w:val="0"/>
                <w:color w:val="000000"/>
                <w:sz w:val="18"/>
                <w:szCs w:val="18"/>
                <w:lang w:val="en-US" w:eastAsia="zh-CN"/>
              </w:rPr>
            </w:pPr>
            <w:r>
              <w:rPr>
                <w:rFonts w:hint="eastAsia"/>
                <w:b w:val="0"/>
                <w:color w:val="000000"/>
                <w:sz w:val="18"/>
                <w:szCs w:val="18"/>
                <w:lang w:val="en-US" w:eastAsia="zh-CN"/>
              </w:rPr>
              <w:t>2A</w:t>
            </w:r>
          </w:p>
        </w:tc>
        <w:tc>
          <w:tcPr>
            <w:tcW w:w="1122" w:type="dxa"/>
            <w:tcBorders>
              <w:top w:val="single" w:color="000000" w:sz="4" w:space="0"/>
              <w:left w:val="nil"/>
              <w:bottom w:val="single" w:color="000000" w:sz="4" w:space="0"/>
              <w:right w:val="nil"/>
            </w:tcBorders>
            <w:shd w:val="clear" w:color="auto" w:fill="FFFFFF"/>
            <w:noWrap/>
            <w:vAlign w:val="center"/>
          </w:tcPr>
          <w:p w14:paraId="612832D6">
            <w:pPr>
              <w:spacing w:line="240" w:lineRule="auto"/>
              <w:rPr>
                <w:rFonts w:hint="eastAsia"/>
                <w:b w:val="0"/>
                <w:color w:val="000000"/>
                <w:sz w:val="18"/>
                <w:szCs w:val="18"/>
                <w:lang w:val="en-US" w:eastAsia="zh-CN"/>
              </w:rPr>
            </w:pPr>
            <w:r>
              <w:rPr>
                <w:rFonts w:hint="eastAsia"/>
                <w:b w:val="0"/>
                <w:color w:val="000000"/>
                <w:sz w:val="18"/>
                <w:szCs w:val="18"/>
                <w:lang w:val="en-US" w:eastAsia="zh-CN"/>
              </w:rPr>
              <w:t>0.789(95%CI NM)</w:t>
            </w:r>
          </w:p>
        </w:tc>
        <w:tc>
          <w:tcPr>
            <w:tcW w:w="1122" w:type="dxa"/>
            <w:tcBorders>
              <w:top w:val="single" w:color="000000" w:sz="4" w:space="0"/>
              <w:left w:val="nil"/>
              <w:bottom w:val="single" w:color="000000" w:sz="4" w:space="0"/>
              <w:right w:val="nil"/>
            </w:tcBorders>
            <w:shd w:val="clear" w:color="auto" w:fill="FFFFFF"/>
            <w:noWrap/>
            <w:vAlign w:val="center"/>
          </w:tcPr>
          <w:p w14:paraId="2DCE7BE8">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51BFDDC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28541AA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27E5689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714982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4E1E3F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76F964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C61E99F">
            <w:pPr>
              <w:spacing w:line="240" w:lineRule="auto"/>
              <w:rPr>
                <w:rFonts w:hint="eastAsia"/>
                <w:b w:val="0"/>
                <w:color w:val="000000"/>
                <w:sz w:val="18"/>
                <w:szCs w:val="18"/>
                <w:lang w:val="en-US" w:eastAsia="zh-CN"/>
              </w:rPr>
            </w:pPr>
            <w:r>
              <w:rPr>
                <w:rFonts w:hint="eastAsia"/>
                <w:b w:val="0"/>
                <w:color w:val="000000"/>
                <w:sz w:val="18"/>
                <w:szCs w:val="18"/>
                <w:lang w:val="en-US" w:eastAsia="zh-CN"/>
              </w:rPr>
              <w:t>0.789(95%CI NM)</w:t>
            </w:r>
          </w:p>
        </w:tc>
        <w:tc>
          <w:tcPr>
            <w:tcW w:w="1204" w:type="dxa"/>
            <w:tcBorders>
              <w:top w:val="single" w:color="000000" w:sz="4" w:space="0"/>
              <w:left w:val="nil"/>
              <w:bottom w:val="single" w:color="000000" w:sz="4" w:space="0"/>
              <w:right w:val="nil"/>
            </w:tcBorders>
            <w:shd w:val="clear" w:color="auto" w:fill="FFFFFF"/>
            <w:noWrap/>
            <w:vAlign w:val="center"/>
          </w:tcPr>
          <w:p w14:paraId="568A838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D2BA20D">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480BB1C3">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4420103D">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E5E7E2F">
            <w:pPr>
              <w:spacing w:line="240" w:lineRule="auto"/>
              <w:rPr>
                <w:rFonts w:hint="eastAsia"/>
                <w:b w:val="0"/>
                <w:color w:val="000000"/>
                <w:sz w:val="18"/>
                <w:szCs w:val="18"/>
                <w:lang w:val="en-US" w:eastAsia="zh-CN"/>
              </w:rPr>
            </w:pPr>
            <w:r>
              <w:rPr>
                <w:rFonts w:hint="eastAsia"/>
                <w:b w:val="0"/>
                <w:color w:val="000000"/>
                <w:sz w:val="18"/>
                <w:szCs w:val="18"/>
                <w:lang w:val="en-US" w:eastAsia="zh-CN"/>
              </w:rPr>
              <w:t>2B</w:t>
            </w:r>
          </w:p>
        </w:tc>
        <w:tc>
          <w:tcPr>
            <w:tcW w:w="1122" w:type="dxa"/>
            <w:tcBorders>
              <w:top w:val="single" w:color="000000" w:sz="4" w:space="0"/>
              <w:left w:val="nil"/>
              <w:bottom w:val="single" w:color="000000" w:sz="4" w:space="0"/>
              <w:right w:val="nil"/>
            </w:tcBorders>
            <w:shd w:val="clear" w:color="auto" w:fill="FFFFFF"/>
            <w:noWrap/>
            <w:vAlign w:val="center"/>
          </w:tcPr>
          <w:p w14:paraId="22A5A664">
            <w:pPr>
              <w:spacing w:line="240" w:lineRule="auto"/>
              <w:rPr>
                <w:rFonts w:hint="eastAsia"/>
                <w:b w:val="0"/>
                <w:color w:val="000000"/>
                <w:sz w:val="18"/>
                <w:szCs w:val="18"/>
                <w:lang w:val="en-US" w:eastAsia="zh-CN"/>
              </w:rPr>
            </w:pPr>
            <w:r>
              <w:rPr>
                <w:rFonts w:hint="eastAsia"/>
                <w:b w:val="0"/>
                <w:color w:val="000000"/>
                <w:sz w:val="18"/>
                <w:szCs w:val="18"/>
                <w:lang w:val="en-US" w:eastAsia="zh-CN"/>
              </w:rPr>
              <w:t>0.945(95%CI NM)</w:t>
            </w:r>
          </w:p>
        </w:tc>
        <w:tc>
          <w:tcPr>
            <w:tcW w:w="1122" w:type="dxa"/>
            <w:tcBorders>
              <w:top w:val="single" w:color="000000" w:sz="4" w:space="0"/>
              <w:left w:val="nil"/>
              <w:bottom w:val="single" w:color="000000" w:sz="4" w:space="0"/>
              <w:right w:val="nil"/>
            </w:tcBorders>
            <w:shd w:val="clear" w:color="auto" w:fill="FFFFFF"/>
            <w:noWrap/>
            <w:vAlign w:val="center"/>
          </w:tcPr>
          <w:p w14:paraId="46901592">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45048DF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568905F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3AD9667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28D6A57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F8070F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FC0B0A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E31738D">
            <w:pPr>
              <w:spacing w:line="240" w:lineRule="auto"/>
              <w:rPr>
                <w:rFonts w:hint="eastAsia"/>
                <w:b w:val="0"/>
                <w:color w:val="000000"/>
                <w:sz w:val="18"/>
                <w:szCs w:val="18"/>
                <w:lang w:val="en-US" w:eastAsia="zh-CN"/>
              </w:rPr>
            </w:pPr>
            <w:r>
              <w:rPr>
                <w:rFonts w:hint="eastAsia"/>
                <w:b w:val="0"/>
                <w:color w:val="000000"/>
                <w:sz w:val="18"/>
                <w:szCs w:val="18"/>
                <w:lang w:val="en-US" w:eastAsia="zh-CN"/>
              </w:rPr>
              <w:t>0.945(95%CI NM)</w:t>
            </w:r>
          </w:p>
        </w:tc>
        <w:tc>
          <w:tcPr>
            <w:tcW w:w="1204" w:type="dxa"/>
            <w:tcBorders>
              <w:top w:val="single" w:color="000000" w:sz="4" w:space="0"/>
              <w:left w:val="nil"/>
              <w:bottom w:val="single" w:color="000000" w:sz="4" w:space="0"/>
              <w:right w:val="nil"/>
            </w:tcBorders>
            <w:shd w:val="clear" w:color="auto" w:fill="FFFFFF"/>
            <w:noWrap/>
            <w:vAlign w:val="center"/>
          </w:tcPr>
          <w:p w14:paraId="182C169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146A56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0F1D78E">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51263219">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8A99348">
            <w:pPr>
              <w:spacing w:line="240" w:lineRule="auto"/>
              <w:rPr>
                <w:rFonts w:hint="eastAsia"/>
                <w:b w:val="0"/>
                <w:color w:val="000000"/>
                <w:sz w:val="18"/>
                <w:szCs w:val="18"/>
                <w:lang w:val="en-US" w:eastAsia="zh-CN"/>
              </w:rPr>
            </w:pPr>
            <w:r>
              <w:rPr>
                <w:rFonts w:hint="eastAsia"/>
                <w:b w:val="0"/>
                <w:color w:val="000000"/>
                <w:sz w:val="18"/>
                <w:szCs w:val="18"/>
                <w:lang w:val="en-US" w:eastAsia="zh-CN"/>
              </w:rPr>
              <w:t>2C</w:t>
            </w:r>
          </w:p>
        </w:tc>
        <w:tc>
          <w:tcPr>
            <w:tcW w:w="1122" w:type="dxa"/>
            <w:tcBorders>
              <w:top w:val="single" w:color="000000" w:sz="4" w:space="0"/>
              <w:left w:val="nil"/>
              <w:bottom w:val="single" w:color="000000" w:sz="4" w:space="0"/>
              <w:right w:val="nil"/>
            </w:tcBorders>
            <w:shd w:val="clear" w:color="auto" w:fill="FFFFFF"/>
            <w:noWrap/>
            <w:vAlign w:val="center"/>
          </w:tcPr>
          <w:p w14:paraId="322A52FF">
            <w:pPr>
              <w:spacing w:line="240" w:lineRule="auto"/>
              <w:rPr>
                <w:rFonts w:hint="eastAsia"/>
                <w:b w:val="0"/>
                <w:color w:val="000000"/>
                <w:sz w:val="18"/>
                <w:szCs w:val="18"/>
                <w:lang w:val="en-US" w:eastAsia="zh-CN"/>
              </w:rPr>
            </w:pPr>
            <w:r>
              <w:rPr>
                <w:rFonts w:hint="eastAsia"/>
                <w:b w:val="0"/>
                <w:color w:val="000000"/>
                <w:sz w:val="18"/>
                <w:szCs w:val="18"/>
                <w:lang w:val="en-US" w:eastAsia="zh-CN"/>
              </w:rPr>
              <w:t>0.904(95%CI NM)</w:t>
            </w:r>
          </w:p>
        </w:tc>
        <w:tc>
          <w:tcPr>
            <w:tcW w:w="1122" w:type="dxa"/>
            <w:tcBorders>
              <w:top w:val="single" w:color="000000" w:sz="4" w:space="0"/>
              <w:left w:val="nil"/>
              <w:bottom w:val="single" w:color="000000" w:sz="4" w:space="0"/>
              <w:right w:val="nil"/>
            </w:tcBorders>
            <w:shd w:val="clear" w:color="auto" w:fill="FFFFFF"/>
            <w:noWrap/>
            <w:vAlign w:val="center"/>
          </w:tcPr>
          <w:p w14:paraId="5E1D55E3">
            <w:pPr>
              <w:spacing w:line="240" w:lineRule="auto"/>
              <w:rPr>
                <w:rFonts w:hint="eastAsia"/>
                <w:b w:val="0"/>
                <w:color w:val="000000"/>
                <w:sz w:val="18"/>
                <w:szCs w:val="18"/>
                <w:lang w:val="en-US" w:eastAsia="zh-CN"/>
              </w:rPr>
            </w:pPr>
            <w:r>
              <w:rPr>
                <w:rFonts w:hint="eastAsia"/>
                <w:b w:val="0"/>
                <w:color w:val="000000"/>
                <w:sz w:val="18"/>
                <w:szCs w:val="18"/>
                <w:lang w:val="en-US" w:eastAsia="zh-CN"/>
              </w:rPr>
              <w:t>60.00%</w:t>
            </w:r>
          </w:p>
        </w:tc>
        <w:tc>
          <w:tcPr>
            <w:tcW w:w="1123" w:type="dxa"/>
            <w:tcBorders>
              <w:top w:val="single" w:color="000000" w:sz="4" w:space="0"/>
              <w:left w:val="nil"/>
              <w:bottom w:val="single" w:color="000000" w:sz="4" w:space="0"/>
              <w:right w:val="nil"/>
            </w:tcBorders>
            <w:shd w:val="clear" w:color="auto" w:fill="FFFFFF"/>
            <w:noWrap/>
            <w:vAlign w:val="center"/>
          </w:tcPr>
          <w:p w14:paraId="10B8C9A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06FDBFE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3634E64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3A18F7A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92D927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724485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CF6E074">
            <w:pPr>
              <w:spacing w:line="240" w:lineRule="auto"/>
              <w:rPr>
                <w:rFonts w:hint="eastAsia"/>
                <w:b w:val="0"/>
                <w:color w:val="000000"/>
                <w:sz w:val="18"/>
                <w:szCs w:val="18"/>
                <w:lang w:val="en-US" w:eastAsia="zh-CN"/>
              </w:rPr>
            </w:pPr>
            <w:r>
              <w:rPr>
                <w:rFonts w:hint="eastAsia"/>
                <w:b w:val="0"/>
                <w:color w:val="000000"/>
                <w:sz w:val="18"/>
                <w:szCs w:val="18"/>
                <w:lang w:val="en-US" w:eastAsia="zh-CN"/>
              </w:rPr>
              <w:t>0.904(95%CI NM)</w:t>
            </w:r>
          </w:p>
        </w:tc>
        <w:tc>
          <w:tcPr>
            <w:tcW w:w="1204" w:type="dxa"/>
            <w:tcBorders>
              <w:top w:val="single" w:color="000000" w:sz="4" w:space="0"/>
              <w:left w:val="nil"/>
              <w:bottom w:val="single" w:color="000000" w:sz="4" w:space="0"/>
              <w:right w:val="nil"/>
            </w:tcBorders>
            <w:shd w:val="clear" w:color="auto" w:fill="FFFFFF"/>
            <w:noWrap/>
            <w:vAlign w:val="center"/>
          </w:tcPr>
          <w:p w14:paraId="4CB4EB5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9D1427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697B2AA6">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2A17CBFC">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7115BDB6">
            <w:pPr>
              <w:spacing w:line="240" w:lineRule="auto"/>
              <w:rPr>
                <w:rFonts w:hint="eastAsia"/>
                <w:b w:val="0"/>
                <w:color w:val="000000"/>
                <w:sz w:val="18"/>
                <w:szCs w:val="18"/>
                <w:lang w:val="en-US" w:eastAsia="zh-CN"/>
              </w:rPr>
            </w:pPr>
            <w:r>
              <w:rPr>
                <w:rFonts w:hint="eastAsia"/>
                <w:b w:val="0"/>
                <w:color w:val="000000"/>
                <w:sz w:val="18"/>
                <w:szCs w:val="18"/>
                <w:lang w:val="en-US" w:eastAsia="zh-CN"/>
              </w:rPr>
              <w:t>2D</w:t>
            </w:r>
          </w:p>
        </w:tc>
        <w:tc>
          <w:tcPr>
            <w:tcW w:w="1122" w:type="dxa"/>
            <w:tcBorders>
              <w:top w:val="single" w:color="000000" w:sz="4" w:space="0"/>
              <w:left w:val="nil"/>
              <w:bottom w:val="single" w:color="000000" w:sz="4" w:space="0"/>
              <w:right w:val="nil"/>
            </w:tcBorders>
            <w:shd w:val="clear" w:color="auto" w:fill="FFFFFF"/>
            <w:noWrap/>
            <w:vAlign w:val="center"/>
          </w:tcPr>
          <w:p w14:paraId="701A4448">
            <w:pPr>
              <w:spacing w:line="240" w:lineRule="auto"/>
              <w:rPr>
                <w:rFonts w:hint="eastAsia"/>
                <w:b w:val="0"/>
                <w:color w:val="000000"/>
                <w:sz w:val="18"/>
                <w:szCs w:val="18"/>
                <w:lang w:val="en-US" w:eastAsia="zh-CN"/>
              </w:rPr>
            </w:pPr>
            <w:r>
              <w:rPr>
                <w:rFonts w:hint="eastAsia"/>
                <w:b w:val="0"/>
                <w:color w:val="000000"/>
                <w:sz w:val="18"/>
                <w:szCs w:val="18"/>
                <w:lang w:val="en-US" w:eastAsia="zh-CN"/>
              </w:rPr>
              <w:t>0.961(95%CI NM)</w:t>
            </w:r>
          </w:p>
        </w:tc>
        <w:tc>
          <w:tcPr>
            <w:tcW w:w="1122" w:type="dxa"/>
            <w:tcBorders>
              <w:top w:val="single" w:color="000000" w:sz="4" w:space="0"/>
              <w:left w:val="nil"/>
              <w:bottom w:val="single" w:color="000000" w:sz="4" w:space="0"/>
              <w:right w:val="nil"/>
            </w:tcBorders>
            <w:shd w:val="clear" w:color="auto" w:fill="FFFFFF"/>
            <w:noWrap/>
            <w:vAlign w:val="center"/>
          </w:tcPr>
          <w:p w14:paraId="080F9299">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40D9F4B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620A614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0EED36D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73D98D1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556B0A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1C7D34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2CA22B9">
            <w:pPr>
              <w:spacing w:line="240" w:lineRule="auto"/>
              <w:rPr>
                <w:rFonts w:hint="eastAsia"/>
                <w:b w:val="0"/>
                <w:color w:val="000000"/>
                <w:sz w:val="18"/>
                <w:szCs w:val="18"/>
                <w:lang w:val="en-US" w:eastAsia="zh-CN"/>
              </w:rPr>
            </w:pPr>
            <w:r>
              <w:rPr>
                <w:rFonts w:hint="eastAsia"/>
                <w:b w:val="0"/>
                <w:color w:val="000000"/>
                <w:sz w:val="18"/>
                <w:szCs w:val="18"/>
                <w:lang w:val="en-US" w:eastAsia="zh-CN"/>
              </w:rPr>
              <w:t>0.961(95%CI NM)</w:t>
            </w:r>
          </w:p>
        </w:tc>
        <w:tc>
          <w:tcPr>
            <w:tcW w:w="1204" w:type="dxa"/>
            <w:tcBorders>
              <w:top w:val="single" w:color="000000" w:sz="4" w:space="0"/>
              <w:left w:val="nil"/>
              <w:bottom w:val="single" w:color="000000" w:sz="4" w:space="0"/>
              <w:right w:val="nil"/>
            </w:tcBorders>
            <w:shd w:val="clear" w:color="auto" w:fill="FFFFFF"/>
            <w:noWrap/>
            <w:vAlign w:val="center"/>
          </w:tcPr>
          <w:p w14:paraId="12CB416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57E8704">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6B477E78">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77D7C510">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7291722">
            <w:pPr>
              <w:spacing w:line="240" w:lineRule="auto"/>
              <w:rPr>
                <w:rFonts w:hint="eastAsia"/>
                <w:b w:val="0"/>
                <w:color w:val="000000"/>
                <w:sz w:val="18"/>
                <w:szCs w:val="18"/>
                <w:lang w:val="en-US" w:eastAsia="zh-CN"/>
              </w:rPr>
            </w:pPr>
            <w:r>
              <w:rPr>
                <w:rFonts w:hint="eastAsia"/>
                <w:b w:val="0"/>
                <w:color w:val="000000"/>
                <w:sz w:val="18"/>
                <w:szCs w:val="18"/>
                <w:lang w:val="en-US" w:eastAsia="zh-CN"/>
              </w:rPr>
              <w:t>2E</w:t>
            </w:r>
          </w:p>
        </w:tc>
        <w:tc>
          <w:tcPr>
            <w:tcW w:w="1122" w:type="dxa"/>
            <w:tcBorders>
              <w:top w:val="single" w:color="000000" w:sz="4" w:space="0"/>
              <w:left w:val="nil"/>
              <w:bottom w:val="single" w:color="000000" w:sz="4" w:space="0"/>
              <w:right w:val="nil"/>
            </w:tcBorders>
            <w:shd w:val="clear" w:color="auto" w:fill="FFFFFF"/>
            <w:noWrap/>
            <w:vAlign w:val="center"/>
          </w:tcPr>
          <w:p w14:paraId="0AC845E8">
            <w:pPr>
              <w:spacing w:line="240" w:lineRule="auto"/>
              <w:rPr>
                <w:rFonts w:hint="eastAsia"/>
                <w:b w:val="0"/>
                <w:color w:val="000000"/>
                <w:sz w:val="18"/>
                <w:szCs w:val="18"/>
                <w:lang w:val="en-US" w:eastAsia="zh-CN"/>
              </w:rPr>
            </w:pPr>
            <w:r>
              <w:rPr>
                <w:rFonts w:hint="eastAsia"/>
                <w:b w:val="0"/>
                <w:color w:val="000000"/>
                <w:sz w:val="18"/>
                <w:szCs w:val="18"/>
                <w:lang w:val="en-US" w:eastAsia="zh-CN"/>
              </w:rPr>
              <w:t>0.849(95%CI NM)</w:t>
            </w:r>
          </w:p>
        </w:tc>
        <w:tc>
          <w:tcPr>
            <w:tcW w:w="1122" w:type="dxa"/>
            <w:tcBorders>
              <w:top w:val="single" w:color="000000" w:sz="4" w:space="0"/>
              <w:left w:val="nil"/>
              <w:bottom w:val="single" w:color="000000" w:sz="4" w:space="0"/>
              <w:right w:val="nil"/>
            </w:tcBorders>
            <w:shd w:val="clear" w:color="auto" w:fill="FFFFFF"/>
            <w:noWrap/>
            <w:vAlign w:val="center"/>
          </w:tcPr>
          <w:p w14:paraId="50EF607E">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4279B37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0938536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786561D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20DE50D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5AE032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68B608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0C113D3">
            <w:pPr>
              <w:spacing w:line="240" w:lineRule="auto"/>
              <w:rPr>
                <w:rFonts w:hint="eastAsia"/>
                <w:b w:val="0"/>
                <w:color w:val="000000"/>
                <w:sz w:val="18"/>
                <w:szCs w:val="18"/>
                <w:lang w:val="en-US" w:eastAsia="zh-CN"/>
              </w:rPr>
            </w:pPr>
            <w:r>
              <w:rPr>
                <w:rFonts w:hint="eastAsia"/>
                <w:b w:val="0"/>
                <w:color w:val="000000"/>
                <w:sz w:val="18"/>
                <w:szCs w:val="18"/>
                <w:lang w:val="en-US" w:eastAsia="zh-CN"/>
              </w:rPr>
              <w:t>0.849(95%CI NM)</w:t>
            </w:r>
          </w:p>
        </w:tc>
        <w:tc>
          <w:tcPr>
            <w:tcW w:w="1204" w:type="dxa"/>
            <w:tcBorders>
              <w:top w:val="single" w:color="000000" w:sz="4" w:space="0"/>
              <w:left w:val="nil"/>
              <w:bottom w:val="single" w:color="000000" w:sz="4" w:space="0"/>
              <w:right w:val="nil"/>
            </w:tcBorders>
            <w:shd w:val="clear" w:color="auto" w:fill="FFFFFF"/>
            <w:noWrap/>
            <w:vAlign w:val="center"/>
          </w:tcPr>
          <w:p w14:paraId="3D61E5A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03A50AD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62C1C1E">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0353DD64">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0200A37">
            <w:pPr>
              <w:spacing w:line="240" w:lineRule="auto"/>
              <w:rPr>
                <w:rFonts w:hint="eastAsia"/>
                <w:b w:val="0"/>
                <w:color w:val="000000"/>
                <w:sz w:val="18"/>
                <w:szCs w:val="18"/>
                <w:lang w:val="en-US" w:eastAsia="zh-CN"/>
              </w:rPr>
            </w:pPr>
            <w:r>
              <w:rPr>
                <w:rFonts w:hint="eastAsia"/>
                <w:b w:val="0"/>
                <w:color w:val="000000"/>
                <w:sz w:val="18"/>
                <w:szCs w:val="18"/>
                <w:lang w:val="en-US" w:eastAsia="zh-CN"/>
              </w:rPr>
              <w:t>2F</w:t>
            </w:r>
          </w:p>
        </w:tc>
        <w:tc>
          <w:tcPr>
            <w:tcW w:w="1122" w:type="dxa"/>
            <w:tcBorders>
              <w:top w:val="single" w:color="000000" w:sz="4" w:space="0"/>
              <w:left w:val="nil"/>
              <w:bottom w:val="single" w:color="000000" w:sz="4" w:space="0"/>
              <w:right w:val="nil"/>
            </w:tcBorders>
            <w:shd w:val="clear" w:color="auto" w:fill="FFFFFF"/>
            <w:noWrap/>
            <w:vAlign w:val="center"/>
          </w:tcPr>
          <w:p w14:paraId="25B0D668">
            <w:pPr>
              <w:spacing w:line="240" w:lineRule="auto"/>
              <w:rPr>
                <w:rFonts w:hint="eastAsia"/>
                <w:b w:val="0"/>
                <w:color w:val="000000"/>
                <w:sz w:val="18"/>
                <w:szCs w:val="18"/>
                <w:lang w:val="en-US" w:eastAsia="zh-CN"/>
              </w:rPr>
            </w:pPr>
            <w:r>
              <w:rPr>
                <w:rFonts w:hint="eastAsia"/>
                <w:b w:val="0"/>
                <w:color w:val="000000"/>
                <w:sz w:val="18"/>
                <w:szCs w:val="18"/>
                <w:lang w:val="en-US" w:eastAsia="zh-CN"/>
              </w:rPr>
              <w:t>0.938(95%CI NM)</w:t>
            </w:r>
          </w:p>
        </w:tc>
        <w:tc>
          <w:tcPr>
            <w:tcW w:w="1122" w:type="dxa"/>
            <w:tcBorders>
              <w:top w:val="single" w:color="000000" w:sz="4" w:space="0"/>
              <w:left w:val="nil"/>
              <w:bottom w:val="single" w:color="000000" w:sz="4" w:space="0"/>
              <w:right w:val="nil"/>
            </w:tcBorders>
            <w:shd w:val="clear" w:color="auto" w:fill="FFFFFF"/>
            <w:noWrap/>
            <w:vAlign w:val="center"/>
          </w:tcPr>
          <w:p w14:paraId="69D31E63">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6A3AE39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175C8A0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4F70704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2F31EF4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F38355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9E9E70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8C1BFB5">
            <w:pPr>
              <w:spacing w:line="240" w:lineRule="auto"/>
              <w:rPr>
                <w:rFonts w:hint="eastAsia"/>
                <w:b w:val="0"/>
                <w:color w:val="000000"/>
                <w:sz w:val="18"/>
                <w:szCs w:val="18"/>
                <w:lang w:val="en-US" w:eastAsia="zh-CN"/>
              </w:rPr>
            </w:pPr>
            <w:r>
              <w:rPr>
                <w:rFonts w:hint="eastAsia"/>
                <w:b w:val="0"/>
                <w:color w:val="000000"/>
                <w:sz w:val="18"/>
                <w:szCs w:val="18"/>
                <w:lang w:val="en-US" w:eastAsia="zh-CN"/>
              </w:rPr>
              <w:t>0.938(95%CI NM)</w:t>
            </w:r>
          </w:p>
        </w:tc>
        <w:tc>
          <w:tcPr>
            <w:tcW w:w="1204" w:type="dxa"/>
            <w:tcBorders>
              <w:top w:val="single" w:color="000000" w:sz="4" w:space="0"/>
              <w:left w:val="nil"/>
              <w:bottom w:val="single" w:color="000000" w:sz="4" w:space="0"/>
              <w:right w:val="nil"/>
            </w:tcBorders>
            <w:shd w:val="clear" w:color="auto" w:fill="FFFFFF"/>
            <w:noWrap/>
            <w:vAlign w:val="center"/>
          </w:tcPr>
          <w:p w14:paraId="2F4FD4E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1B73E05">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4D83030A">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33686339">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552A3FC">
            <w:pPr>
              <w:spacing w:line="240" w:lineRule="auto"/>
              <w:rPr>
                <w:rFonts w:hint="eastAsia"/>
                <w:b w:val="0"/>
                <w:color w:val="000000"/>
                <w:sz w:val="18"/>
                <w:szCs w:val="18"/>
                <w:lang w:val="en-US" w:eastAsia="zh-CN"/>
              </w:rPr>
            </w:pPr>
            <w:r>
              <w:rPr>
                <w:rFonts w:hint="eastAsia"/>
                <w:b w:val="0"/>
                <w:color w:val="000000"/>
                <w:sz w:val="18"/>
                <w:szCs w:val="18"/>
                <w:lang w:val="en-US" w:eastAsia="zh-CN"/>
              </w:rPr>
              <w:t>2G</w:t>
            </w:r>
          </w:p>
        </w:tc>
        <w:tc>
          <w:tcPr>
            <w:tcW w:w="1122" w:type="dxa"/>
            <w:tcBorders>
              <w:top w:val="single" w:color="000000" w:sz="4" w:space="0"/>
              <w:left w:val="nil"/>
              <w:bottom w:val="single" w:color="000000" w:sz="4" w:space="0"/>
              <w:right w:val="nil"/>
            </w:tcBorders>
            <w:shd w:val="clear" w:color="auto" w:fill="FFFFFF"/>
            <w:noWrap/>
            <w:vAlign w:val="center"/>
          </w:tcPr>
          <w:p w14:paraId="34A7CE45">
            <w:pPr>
              <w:spacing w:line="240" w:lineRule="auto"/>
              <w:rPr>
                <w:rFonts w:hint="eastAsia"/>
                <w:b w:val="0"/>
                <w:color w:val="000000"/>
                <w:sz w:val="18"/>
                <w:szCs w:val="18"/>
                <w:lang w:val="en-US" w:eastAsia="zh-CN"/>
              </w:rPr>
            </w:pPr>
            <w:r>
              <w:rPr>
                <w:rFonts w:hint="eastAsia"/>
                <w:b w:val="0"/>
                <w:color w:val="000000"/>
                <w:sz w:val="18"/>
                <w:szCs w:val="18"/>
                <w:lang w:val="en-US" w:eastAsia="zh-CN"/>
              </w:rPr>
              <w:t>0.833(95%CI NM)</w:t>
            </w:r>
          </w:p>
        </w:tc>
        <w:tc>
          <w:tcPr>
            <w:tcW w:w="1122" w:type="dxa"/>
            <w:tcBorders>
              <w:top w:val="single" w:color="000000" w:sz="4" w:space="0"/>
              <w:left w:val="nil"/>
              <w:bottom w:val="single" w:color="000000" w:sz="4" w:space="0"/>
              <w:right w:val="nil"/>
            </w:tcBorders>
            <w:shd w:val="clear" w:color="auto" w:fill="FFFFFF"/>
            <w:noWrap/>
            <w:vAlign w:val="center"/>
          </w:tcPr>
          <w:p w14:paraId="7C9D4E48">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3323E0C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440AD87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74E2969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9539C6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AF306F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7AFC19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AB04EB9">
            <w:pPr>
              <w:spacing w:line="240" w:lineRule="auto"/>
              <w:rPr>
                <w:rFonts w:hint="eastAsia"/>
                <w:b w:val="0"/>
                <w:color w:val="000000"/>
                <w:sz w:val="18"/>
                <w:szCs w:val="18"/>
                <w:lang w:val="en-US" w:eastAsia="zh-CN"/>
              </w:rPr>
            </w:pPr>
            <w:r>
              <w:rPr>
                <w:rFonts w:hint="eastAsia"/>
                <w:b w:val="0"/>
                <w:color w:val="000000"/>
                <w:sz w:val="18"/>
                <w:szCs w:val="18"/>
                <w:lang w:val="en-US" w:eastAsia="zh-CN"/>
              </w:rPr>
              <w:t>0.833(95%CI NM)</w:t>
            </w:r>
          </w:p>
        </w:tc>
        <w:tc>
          <w:tcPr>
            <w:tcW w:w="1204" w:type="dxa"/>
            <w:tcBorders>
              <w:top w:val="single" w:color="000000" w:sz="4" w:space="0"/>
              <w:left w:val="nil"/>
              <w:bottom w:val="single" w:color="000000" w:sz="4" w:space="0"/>
              <w:right w:val="nil"/>
            </w:tcBorders>
            <w:shd w:val="clear" w:color="auto" w:fill="FFFFFF"/>
            <w:noWrap/>
            <w:vAlign w:val="center"/>
          </w:tcPr>
          <w:p w14:paraId="6587AD0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AB8232A">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42814B3">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1F6AEC85">
            <w:pPr>
              <w:spacing w:line="240" w:lineRule="auto"/>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050120C8">
            <w:pPr>
              <w:spacing w:line="240" w:lineRule="auto"/>
              <w:rPr>
                <w:rFonts w:hint="eastAsia"/>
                <w:b w:val="0"/>
                <w:color w:val="000000"/>
                <w:sz w:val="18"/>
                <w:szCs w:val="18"/>
                <w:lang w:val="en-US" w:eastAsia="zh-CN"/>
              </w:rPr>
            </w:pPr>
            <w:r>
              <w:rPr>
                <w:rFonts w:hint="eastAsia"/>
                <w:b w:val="0"/>
                <w:color w:val="000000"/>
                <w:sz w:val="18"/>
                <w:szCs w:val="18"/>
                <w:lang w:val="en-US" w:eastAsia="zh-CN"/>
              </w:rPr>
              <w:t>2H</w:t>
            </w:r>
          </w:p>
        </w:tc>
        <w:tc>
          <w:tcPr>
            <w:tcW w:w="1122" w:type="dxa"/>
            <w:tcBorders>
              <w:top w:val="single" w:color="000000" w:sz="4" w:space="0"/>
              <w:left w:val="nil"/>
              <w:bottom w:val="single" w:color="000000" w:sz="4" w:space="0"/>
              <w:right w:val="nil"/>
            </w:tcBorders>
            <w:shd w:val="clear" w:color="auto" w:fill="FFFFFF"/>
            <w:noWrap/>
            <w:vAlign w:val="center"/>
          </w:tcPr>
          <w:p w14:paraId="6C1E8144">
            <w:pPr>
              <w:spacing w:line="240" w:lineRule="auto"/>
              <w:rPr>
                <w:rFonts w:hint="eastAsia"/>
                <w:b w:val="0"/>
                <w:color w:val="000000"/>
                <w:sz w:val="18"/>
                <w:szCs w:val="18"/>
                <w:lang w:val="en-US" w:eastAsia="zh-CN"/>
              </w:rPr>
            </w:pPr>
            <w:r>
              <w:rPr>
                <w:rFonts w:hint="eastAsia"/>
                <w:b w:val="0"/>
                <w:color w:val="000000"/>
                <w:sz w:val="18"/>
                <w:szCs w:val="18"/>
                <w:lang w:val="en-US" w:eastAsia="zh-CN"/>
              </w:rPr>
              <w:t>0.829(95%CI NM)</w:t>
            </w:r>
          </w:p>
        </w:tc>
        <w:tc>
          <w:tcPr>
            <w:tcW w:w="1122" w:type="dxa"/>
            <w:tcBorders>
              <w:top w:val="single" w:color="000000" w:sz="4" w:space="0"/>
              <w:left w:val="nil"/>
              <w:bottom w:val="single" w:color="000000" w:sz="4" w:space="0"/>
              <w:right w:val="nil"/>
            </w:tcBorders>
            <w:shd w:val="clear" w:color="auto" w:fill="FFFFFF"/>
            <w:noWrap/>
            <w:vAlign w:val="center"/>
          </w:tcPr>
          <w:p w14:paraId="285CA53D">
            <w:pPr>
              <w:spacing w:line="240" w:lineRule="auto"/>
              <w:rPr>
                <w:rFonts w:hint="eastAsia"/>
                <w:b w:val="0"/>
                <w:color w:val="000000"/>
                <w:sz w:val="18"/>
                <w:szCs w:val="18"/>
                <w:lang w:val="en-US" w:eastAsia="zh-CN"/>
              </w:rPr>
            </w:pPr>
            <w:r>
              <w:rPr>
                <w:rFonts w:hint="eastAsia"/>
                <w:b w:val="0"/>
                <w:color w:val="000000"/>
                <w:sz w:val="18"/>
                <w:szCs w:val="18"/>
                <w:lang w:val="en-US" w:eastAsia="zh-CN"/>
              </w:rPr>
              <w:t>50.00%</w:t>
            </w:r>
          </w:p>
        </w:tc>
        <w:tc>
          <w:tcPr>
            <w:tcW w:w="1123" w:type="dxa"/>
            <w:tcBorders>
              <w:top w:val="single" w:color="000000" w:sz="4" w:space="0"/>
              <w:left w:val="nil"/>
              <w:bottom w:val="single" w:color="000000" w:sz="4" w:space="0"/>
              <w:right w:val="nil"/>
            </w:tcBorders>
            <w:shd w:val="clear" w:color="auto" w:fill="FFFFFF"/>
            <w:noWrap/>
            <w:vAlign w:val="center"/>
          </w:tcPr>
          <w:p w14:paraId="5D8B75F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73ACD77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7AD1D20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21E8CAD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2F1C41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688457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370DEB8">
            <w:pPr>
              <w:spacing w:line="240" w:lineRule="auto"/>
              <w:rPr>
                <w:rFonts w:hint="eastAsia"/>
                <w:b w:val="0"/>
                <w:color w:val="000000"/>
                <w:sz w:val="18"/>
                <w:szCs w:val="18"/>
                <w:lang w:val="en-US" w:eastAsia="zh-CN"/>
              </w:rPr>
            </w:pPr>
            <w:r>
              <w:rPr>
                <w:rFonts w:hint="eastAsia"/>
                <w:b w:val="0"/>
                <w:color w:val="000000"/>
                <w:sz w:val="18"/>
                <w:szCs w:val="18"/>
                <w:lang w:val="en-US" w:eastAsia="zh-CN"/>
              </w:rPr>
              <w:t>0.829(95%CI NM)</w:t>
            </w:r>
          </w:p>
        </w:tc>
        <w:tc>
          <w:tcPr>
            <w:tcW w:w="1204" w:type="dxa"/>
            <w:tcBorders>
              <w:top w:val="single" w:color="000000" w:sz="4" w:space="0"/>
              <w:left w:val="nil"/>
              <w:bottom w:val="single" w:color="000000" w:sz="4" w:space="0"/>
              <w:right w:val="nil"/>
            </w:tcBorders>
            <w:shd w:val="clear" w:color="auto" w:fill="FFFFFF"/>
            <w:noWrap/>
            <w:vAlign w:val="center"/>
          </w:tcPr>
          <w:p w14:paraId="3AEEBE6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107AB7FD">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395F072">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3DDD37AF">
            <w:pPr>
              <w:spacing w:line="240" w:lineRule="auto"/>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7092B9C8">
            <w:pPr>
              <w:spacing w:line="240" w:lineRule="auto"/>
              <w:rPr>
                <w:rFonts w:hint="eastAsia"/>
                <w:b w:val="0"/>
                <w:color w:val="000000"/>
                <w:sz w:val="18"/>
                <w:szCs w:val="18"/>
                <w:lang w:val="en-US" w:eastAsia="zh-CN"/>
              </w:rPr>
            </w:pPr>
            <w:r>
              <w:rPr>
                <w:rFonts w:hint="eastAsia"/>
                <w:b w:val="0"/>
                <w:color w:val="000000"/>
                <w:sz w:val="18"/>
                <w:szCs w:val="18"/>
                <w:lang w:val="en-US" w:eastAsia="zh-CN"/>
              </w:rPr>
              <w:t>3A</w:t>
            </w:r>
          </w:p>
        </w:tc>
        <w:tc>
          <w:tcPr>
            <w:tcW w:w="1122" w:type="dxa"/>
            <w:tcBorders>
              <w:top w:val="single" w:color="000000" w:sz="4" w:space="0"/>
              <w:left w:val="nil"/>
              <w:bottom w:val="single" w:color="000000" w:sz="4" w:space="0"/>
              <w:right w:val="nil"/>
            </w:tcBorders>
            <w:shd w:val="clear" w:color="auto" w:fill="FFFFFF"/>
            <w:noWrap/>
            <w:vAlign w:val="center"/>
          </w:tcPr>
          <w:p w14:paraId="2E4D9335">
            <w:pPr>
              <w:spacing w:line="240" w:lineRule="auto"/>
              <w:rPr>
                <w:rFonts w:hint="eastAsia"/>
                <w:b w:val="0"/>
                <w:color w:val="000000"/>
                <w:sz w:val="18"/>
                <w:szCs w:val="18"/>
                <w:lang w:val="en-US" w:eastAsia="zh-CN"/>
              </w:rPr>
            </w:pPr>
            <w:r>
              <w:rPr>
                <w:rFonts w:hint="eastAsia"/>
                <w:b w:val="0"/>
                <w:color w:val="000000"/>
                <w:sz w:val="18"/>
                <w:szCs w:val="18"/>
                <w:lang w:val="en-US" w:eastAsia="zh-CN"/>
              </w:rPr>
              <w:t>0.89(95%CI NM)</w:t>
            </w:r>
          </w:p>
        </w:tc>
        <w:tc>
          <w:tcPr>
            <w:tcW w:w="1122" w:type="dxa"/>
            <w:tcBorders>
              <w:top w:val="single" w:color="000000" w:sz="4" w:space="0"/>
              <w:left w:val="nil"/>
              <w:bottom w:val="single" w:color="000000" w:sz="4" w:space="0"/>
              <w:right w:val="nil"/>
            </w:tcBorders>
            <w:shd w:val="clear" w:color="auto" w:fill="FFFFFF"/>
            <w:noWrap/>
            <w:vAlign w:val="center"/>
          </w:tcPr>
          <w:p w14:paraId="0658C965">
            <w:pPr>
              <w:spacing w:line="240" w:lineRule="auto"/>
              <w:rPr>
                <w:rFonts w:hint="eastAsia"/>
                <w:b w:val="0"/>
                <w:color w:val="000000"/>
                <w:sz w:val="18"/>
                <w:szCs w:val="18"/>
                <w:lang w:val="en-US" w:eastAsia="zh-CN"/>
              </w:rPr>
            </w:pPr>
            <w:r>
              <w:rPr>
                <w:rFonts w:hint="eastAsia"/>
                <w:b w:val="0"/>
                <w:color w:val="000000"/>
                <w:sz w:val="18"/>
                <w:szCs w:val="18"/>
                <w:lang w:val="en-US" w:eastAsia="zh-CN"/>
              </w:rPr>
              <w:t>99.80%</w:t>
            </w:r>
          </w:p>
        </w:tc>
        <w:tc>
          <w:tcPr>
            <w:tcW w:w="1123" w:type="dxa"/>
            <w:tcBorders>
              <w:top w:val="single" w:color="000000" w:sz="4" w:space="0"/>
              <w:left w:val="nil"/>
              <w:bottom w:val="single" w:color="000000" w:sz="4" w:space="0"/>
              <w:right w:val="nil"/>
            </w:tcBorders>
            <w:shd w:val="clear" w:color="auto" w:fill="FFFFFF"/>
            <w:noWrap/>
            <w:vAlign w:val="center"/>
          </w:tcPr>
          <w:p w14:paraId="5200CA02">
            <w:pPr>
              <w:spacing w:line="240" w:lineRule="auto"/>
              <w:rPr>
                <w:rFonts w:hint="eastAsia"/>
                <w:b w:val="0"/>
                <w:color w:val="000000"/>
                <w:sz w:val="18"/>
                <w:szCs w:val="18"/>
                <w:lang w:val="en-US" w:eastAsia="zh-CN"/>
              </w:rPr>
            </w:pPr>
            <w:r>
              <w:rPr>
                <w:rFonts w:hint="eastAsia"/>
                <w:b w:val="0"/>
                <w:color w:val="000000"/>
                <w:sz w:val="18"/>
                <w:szCs w:val="18"/>
                <w:lang w:val="en-US" w:eastAsia="zh-CN"/>
              </w:rPr>
              <w:t>83.80%</w:t>
            </w:r>
          </w:p>
        </w:tc>
        <w:tc>
          <w:tcPr>
            <w:tcW w:w="784" w:type="dxa"/>
            <w:tcBorders>
              <w:top w:val="single" w:color="000000" w:sz="4" w:space="0"/>
              <w:left w:val="nil"/>
              <w:bottom w:val="single" w:color="000000" w:sz="4" w:space="0"/>
              <w:right w:val="nil"/>
            </w:tcBorders>
            <w:shd w:val="clear" w:color="auto" w:fill="FFFFFF"/>
            <w:noWrap/>
            <w:vAlign w:val="center"/>
          </w:tcPr>
          <w:p w14:paraId="5434402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0C852849">
            <w:pPr>
              <w:spacing w:line="240" w:lineRule="auto"/>
              <w:rPr>
                <w:rFonts w:hint="eastAsia"/>
                <w:b w:val="0"/>
                <w:color w:val="000000"/>
                <w:sz w:val="18"/>
                <w:szCs w:val="18"/>
                <w:lang w:val="en-US" w:eastAsia="zh-CN"/>
              </w:rPr>
            </w:pPr>
            <w:r>
              <w:rPr>
                <w:rFonts w:hint="eastAsia"/>
                <w:b w:val="0"/>
                <w:color w:val="000000"/>
                <w:sz w:val="18"/>
                <w:szCs w:val="18"/>
                <w:lang w:val="en-US" w:eastAsia="zh-CN"/>
              </w:rPr>
              <w:t>0.24</w:t>
            </w:r>
          </w:p>
        </w:tc>
        <w:tc>
          <w:tcPr>
            <w:tcW w:w="794" w:type="dxa"/>
            <w:tcBorders>
              <w:top w:val="single" w:color="000000" w:sz="4" w:space="0"/>
              <w:left w:val="nil"/>
              <w:bottom w:val="single" w:color="000000" w:sz="4" w:space="0"/>
              <w:right w:val="nil"/>
            </w:tcBorders>
            <w:shd w:val="clear" w:color="auto" w:fill="FFFFFF"/>
            <w:noWrap/>
            <w:vAlign w:val="center"/>
          </w:tcPr>
          <w:p w14:paraId="0BA9F62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3BF41F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D58E50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360208D">
            <w:pPr>
              <w:spacing w:line="240" w:lineRule="auto"/>
              <w:rPr>
                <w:rFonts w:hint="eastAsia"/>
                <w:b w:val="0"/>
                <w:color w:val="000000"/>
                <w:sz w:val="18"/>
                <w:szCs w:val="18"/>
                <w:lang w:val="en-US" w:eastAsia="zh-CN"/>
              </w:rPr>
            </w:pPr>
            <w:r>
              <w:rPr>
                <w:rFonts w:hint="eastAsia"/>
                <w:b w:val="0"/>
                <w:color w:val="000000"/>
                <w:sz w:val="18"/>
                <w:szCs w:val="18"/>
                <w:lang w:val="en-US" w:eastAsia="zh-CN"/>
              </w:rPr>
              <w:t>0.89(95%CI NM)</w:t>
            </w:r>
          </w:p>
        </w:tc>
        <w:tc>
          <w:tcPr>
            <w:tcW w:w="1204" w:type="dxa"/>
            <w:tcBorders>
              <w:top w:val="single" w:color="000000" w:sz="4" w:space="0"/>
              <w:left w:val="nil"/>
              <w:bottom w:val="single" w:color="000000" w:sz="4" w:space="0"/>
              <w:right w:val="nil"/>
            </w:tcBorders>
            <w:shd w:val="clear" w:color="auto" w:fill="FFFFFF"/>
            <w:noWrap/>
            <w:vAlign w:val="center"/>
          </w:tcPr>
          <w:p w14:paraId="15DBD04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7DA2946">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129C104">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646F6CE5">
            <w:pPr>
              <w:spacing w:line="240" w:lineRule="auto"/>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D3C2BD4">
            <w:pPr>
              <w:spacing w:line="240" w:lineRule="auto"/>
              <w:rPr>
                <w:rFonts w:hint="eastAsia"/>
                <w:b w:val="0"/>
                <w:color w:val="000000"/>
                <w:sz w:val="18"/>
                <w:szCs w:val="18"/>
                <w:lang w:val="en-US" w:eastAsia="zh-CN"/>
              </w:rPr>
            </w:pPr>
            <w:r>
              <w:rPr>
                <w:rFonts w:hint="eastAsia"/>
                <w:b w:val="0"/>
                <w:color w:val="000000"/>
                <w:sz w:val="18"/>
                <w:szCs w:val="18"/>
                <w:lang w:val="en-US" w:eastAsia="zh-CN"/>
              </w:rPr>
              <w:t>3B</w:t>
            </w:r>
          </w:p>
        </w:tc>
        <w:tc>
          <w:tcPr>
            <w:tcW w:w="1122" w:type="dxa"/>
            <w:tcBorders>
              <w:top w:val="single" w:color="000000" w:sz="4" w:space="0"/>
              <w:left w:val="nil"/>
              <w:bottom w:val="single" w:color="000000" w:sz="4" w:space="0"/>
              <w:right w:val="nil"/>
            </w:tcBorders>
            <w:shd w:val="clear" w:color="auto" w:fill="FFFFFF"/>
            <w:noWrap/>
            <w:vAlign w:val="center"/>
          </w:tcPr>
          <w:p w14:paraId="00A856D0">
            <w:pPr>
              <w:spacing w:line="240" w:lineRule="auto"/>
              <w:rPr>
                <w:rFonts w:hint="eastAsia"/>
                <w:b w:val="0"/>
                <w:color w:val="000000"/>
                <w:sz w:val="18"/>
                <w:szCs w:val="18"/>
                <w:lang w:val="en-US" w:eastAsia="zh-CN"/>
              </w:rPr>
            </w:pPr>
            <w:r>
              <w:rPr>
                <w:rFonts w:hint="eastAsia"/>
                <w:b w:val="0"/>
                <w:color w:val="000000"/>
                <w:sz w:val="18"/>
                <w:szCs w:val="18"/>
                <w:lang w:val="en-US" w:eastAsia="zh-CN"/>
              </w:rPr>
              <w:t>0.88(95%CI NM)</w:t>
            </w:r>
          </w:p>
        </w:tc>
        <w:tc>
          <w:tcPr>
            <w:tcW w:w="1122" w:type="dxa"/>
            <w:tcBorders>
              <w:top w:val="single" w:color="000000" w:sz="4" w:space="0"/>
              <w:left w:val="nil"/>
              <w:bottom w:val="single" w:color="000000" w:sz="4" w:space="0"/>
              <w:right w:val="nil"/>
            </w:tcBorders>
            <w:shd w:val="clear" w:color="auto" w:fill="FFFFFF"/>
            <w:noWrap/>
            <w:vAlign w:val="center"/>
          </w:tcPr>
          <w:p w14:paraId="185F11AE">
            <w:pPr>
              <w:spacing w:line="240" w:lineRule="auto"/>
              <w:rPr>
                <w:rFonts w:hint="eastAsia"/>
                <w:b w:val="0"/>
                <w:color w:val="000000"/>
                <w:sz w:val="18"/>
                <w:szCs w:val="18"/>
                <w:lang w:val="en-US" w:eastAsia="zh-CN"/>
              </w:rPr>
            </w:pPr>
            <w:r>
              <w:rPr>
                <w:rFonts w:hint="eastAsia"/>
                <w:b w:val="0"/>
                <w:color w:val="000000"/>
                <w:sz w:val="18"/>
                <w:szCs w:val="18"/>
                <w:lang w:val="en-US" w:eastAsia="zh-CN"/>
              </w:rPr>
              <w:t>99.00%</w:t>
            </w:r>
          </w:p>
        </w:tc>
        <w:tc>
          <w:tcPr>
            <w:tcW w:w="1123" w:type="dxa"/>
            <w:tcBorders>
              <w:top w:val="single" w:color="000000" w:sz="4" w:space="0"/>
              <w:left w:val="nil"/>
              <w:bottom w:val="single" w:color="000000" w:sz="4" w:space="0"/>
              <w:right w:val="nil"/>
            </w:tcBorders>
            <w:shd w:val="clear" w:color="auto" w:fill="FFFFFF"/>
            <w:noWrap/>
            <w:vAlign w:val="center"/>
          </w:tcPr>
          <w:p w14:paraId="20EBBA31">
            <w:pPr>
              <w:spacing w:line="240" w:lineRule="auto"/>
              <w:rPr>
                <w:rFonts w:hint="eastAsia"/>
                <w:b w:val="0"/>
                <w:color w:val="000000"/>
                <w:sz w:val="18"/>
                <w:szCs w:val="18"/>
                <w:lang w:val="en-US" w:eastAsia="zh-CN"/>
              </w:rPr>
            </w:pPr>
            <w:r>
              <w:rPr>
                <w:rFonts w:hint="eastAsia"/>
                <w:b w:val="0"/>
                <w:color w:val="000000"/>
                <w:sz w:val="18"/>
                <w:szCs w:val="18"/>
                <w:lang w:val="en-US" w:eastAsia="zh-CN"/>
              </w:rPr>
              <w:t>78.00%</w:t>
            </w:r>
          </w:p>
        </w:tc>
        <w:tc>
          <w:tcPr>
            <w:tcW w:w="784" w:type="dxa"/>
            <w:tcBorders>
              <w:top w:val="single" w:color="000000" w:sz="4" w:space="0"/>
              <w:left w:val="nil"/>
              <w:bottom w:val="single" w:color="000000" w:sz="4" w:space="0"/>
              <w:right w:val="nil"/>
            </w:tcBorders>
            <w:shd w:val="clear" w:color="auto" w:fill="FFFFFF"/>
            <w:noWrap/>
            <w:vAlign w:val="center"/>
          </w:tcPr>
          <w:p w14:paraId="52E3C0E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7BD54D24">
            <w:pPr>
              <w:spacing w:line="240" w:lineRule="auto"/>
              <w:rPr>
                <w:rFonts w:hint="eastAsia"/>
                <w:b w:val="0"/>
                <w:color w:val="000000"/>
                <w:sz w:val="18"/>
                <w:szCs w:val="18"/>
                <w:lang w:val="en-US" w:eastAsia="zh-CN"/>
              </w:rPr>
            </w:pPr>
            <w:r>
              <w:rPr>
                <w:rFonts w:hint="eastAsia"/>
                <w:b w:val="0"/>
                <w:color w:val="000000"/>
                <w:sz w:val="18"/>
                <w:szCs w:val="18"/>
                <w:lang w:val="en-US" w:eastAsia="zh-CN"/>
              </w:rPr>
              <w:t>0.24</w:t>
            </w:r>
          </w:p>
        </w:tc>
        <w:tc>
          <w:tcPr>
            <w:tcW w:w="794" w:type="dxa"/>
            <w:tcBorders>
              <w:top w:val="single" w:color="000000" w:sz="4" w:space="0"/>
              <w:left w:val="nil"/>
              <w:bottom w:val="single" w:color="000000" w:sz="4" w:space="0"/>
              <w:right w:val="nil"/>
            </w:tcBorders>
            <w:shd w:val="clear" w:color="auto" w:fill="FFFFFF"/>
            <w:noWrap/>
            <w:vAlign w:val="center"/>
          </w:tcPr>
          <w:p w14:paraId="3E8283D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1A6C29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8B1896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75602FE">
            <w:pPr>
              <w:spacing w:line="240" w:lineRule="auto"/>
              <w:rPr>
                <w:rFonts w:hint="eastAsia"/>
                <w:b w:val="0"/>
                <w:color w:val="000000"/>
                <w:sz w:val="18"/>
                <w:szCs w:val="18"/>
                <w:lang w:val="en-US" w:eastAsia="zh-CN"/>
              </w:rPr>
            </w:pPr>
            <w:r>
              <w:rPr>
                <w:rFonts w:hint="eastAsia"/>
                <w:b w:val="0"/>
                <w:color w:val="000000"/>
                <w:sz w:val="18"/>
                <w:szCs w:val="18"/>
                <w:lang w:val="en-US" w:eastAsia="zh-CN"/>
              </w:rPr>
              <w:t>0.88(95%CI NM)</w:t>
            </w:r>
          </w:p>
        </w:tc>
        <w:tc>
          <w:tcPr>
            <w:tcW w:w="1204" w:type="dxa"/>
            <w:tcBorders>
              <w:top w:val="single" w:color="000000" w:sz="4" w:space="0"/>
              <w:left w:val="nil"/>
              <w:bottom w:val="single" w:color="000000" w:sz="4" w:space="0"/>
              <w:right w:val="nil"/>
            </w:tcBorders>
            <w:shd w:val="clear" w:color="auto" w:fill="FFFFFF"/>
            <w:noWrap/>
            <w:vAlign w:val="center"/>
          </w:tcPr>
          <w:p w14:paraId="4F18A0C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4DCF709">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71B986C">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751F0C54">
            <w:pPr>
              <w:spacing w:line="240" w:lineRule="auto"/>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19C52B7A">
            <w:pPr>
              <w:spacing w:line="240" w:lineRule="auto"/>
              <w:rPr>
                <w:rFonts w:hint="eastAsia"/>
                <w:b w:val="0"/>
                <w:color w:val="000000"/>
                <w:sz w:val="18"/>
                <w:szCs w:val="18"/>
                <w:lang w:val="en-US" w:eastAsia="zh-CN"/>
              </w:rPr>
            </w:pPr>
            <w:r>
              <w:rPr>
                <w:rFonts w:hint="eastAsia"/>
                <w:b w:val="0"/>
                <w:color w:val="000000"/>
                <w:sz w:val="18"/>
                <w:szCs w:val="18"/>
                <w:lang w:val="en-US" w:eastAsia="zh-CN"/>
              </w:rPr>
              <w:t>3C</w:t>
            </w:r>
          </w:p>
        </w:tc>
        <w:tc>
          <w:tcPr>
            <w:tcW w:w="1122" w:type="dxa"/>
            <w:tcBorders>
              <w:top w:val="single" w:color="000000" w:sz="4" w:space="0"/>
              <w:left w:val="nil"/>
              <w:bottom w:val="single" w:color="000000" w:sz="4" w:space="0"/>
              <w:right w:val="nil"/>
            </w:tcBorders>
            <w:shd w:val="clear" w:color="auto" w:fill="FFFFFF"/>
            <w:noWrap/>
            <w:vAlign w:val="center"/>
          </w:tcPr>
          <w:p w14:paraId="45258D09">
            <w:pPr>
              <w:spacing w:line="240" w:lineRule="auto"/>
              <w:rPr>
                <w:rFonts w:hint="eastAsia"/>
                <w:b w:val="0"/>
                <w:color w:val="000000"/>
                <w:sz w:val="18"/>
                <w:szCs w:val="18"/>
                <w:lang w:val="en-US" w:eastAsia="zh-CN"/>
              </w:rPr>
            </w:pPr>
            <w:r>
              <w:rPr>
                <w:rFonts w:hint="eastAsia"/>
                <w:b w:val="0"/>
                <w:color w:val="000000"/>
                <w:sz w:val="18"/>
                <w:szCs w:val="18"/>
                <w:lang w:val="en-US" w:eastAsia="zh-CN"/>
              </w:rPr>
              <w:t>0.90(95%CI NM)</w:t>
            </w:r>
          </w:p>
        </w:tc>
        <w:tc>
          <w:tcPr>
            <w:tcW w:w="1122" w:type="dxa"/>
            <w:tcBorders>
              <w:top w:val="single" w:color="000000" w:sz="4" w:space="0"/>
              <w:left w:val="nil"/>
              <w:bottom w:val="single" w:color="000000" w:sz="4" w:space="0"/>
              <w:right w:val="nil"/>
            </w:tcBorders>
            <w:shd w:val="clear" w:color="auto" w:fill="FFFFFF"/>
            <w:noWrap/>
            <w:vAlign w:val="center"/>
          </w:tcPr>
          <w:p w14:paraId="11BA670D">
            <w:pPr>
              <w:spacing w:line="240" w:lineRule="auto"/>
              <w:rPr>
                <w:rFonts w:hint="eastAsia"/>
                <w:b w:val="0"/>
                <w:color w:val="000000"/>
                <w:sz w:val="18"/>
                <w:szCs w:val="18"/>
                <w:lang w:val="en-US" w:eastAsia="zh-CN"/>
              </w:rPr>
            </w:pPr>
            <w:r>
              <w:rPr>
                <w:rFonts w:hint="eastAsia"/>
                <w:b w:val="0"/>
                <w:color w:val="000000"/>
                <w:sz w:val="18"/>
                <w:szCs w:val="18"/>
                <w:lang w:val="en-US" w:eastAsia="zh-CN"/>
              </w:rPr>
              <w:t>99.00%</w:t>
            </w:r>
          </w:p>
        </w:tc>
        <w:tc>
          <w:tcPr>
            <w:tcW w:w="1123" w:type="dxa"/>
            <w:tcBorders>
              <w:top w:val="single" w:color="000000" w:sz="4" w:space="0"/>
              <w:left w:val="nil"/>
              <w:bottom w:val="single" w:color="000000" w:sz="4" w:space="0"/>
              <w:right w:val="nil"/>
            </w:tcBorders>
            <w:shd w:val="clear" w:color="auto" w:fill="FFFFFF"/>
            <w:noWrap/>
            <w:vAlign w:val="center"/>
          </w:tcPr>
          <w:p w14:paraId="6A4861B6">
            <w:pPr>
              <w:spacing w:line="240" w:lineRule="auto"/>
              <w:rPr>
                <w:rFonts w:hint="eastAsia"/>
                <w:b w:val="0"/>
                <w:color w:val="000000"/>
                <w:sz w:val="18"/>
                <w:szCs w:val="18"/>
                <w:lang w:val="en-US" w:eastAsia="zh-CN"/>
              </w:rPr>
            </w:pPr>
            <w:r>
              <w:rPr>
                <w:rFonts w:hint="eastAsia"/>
                <w:b w:val="0"/>
                <w:color w:val="000000"/>
                <w:sz w:val="18"/>
                <w:szCs w:val="18"/>
                <w:lang w:val="en-US" w:eastAsia="zh-CN"/>
              </w:rPr>
              <w:t>84.00%</w:t>
            </w:r>
          </w:p>
        </w:tc>
        <w:tc>
          <w:tcPr>
            <w:tcW w:w="784" w:type="dxa"/>
            <w:tcBorders>
              <w:top w:val="single" w:color="000000" w:sz="4" w:space="0"/>
              <w:left w:val="nil"/>
              <w:bottom w:val="single" w:color="000000" w:sz="4" w:space="0"/>
              <w:right w:val="nil"/>
            </w:tcBorders>
            <w:shd w:val="clear" w:color="auto" w:fill="FFFFFF"/>
            <w:noWrap/>
            <w:vAlign w:val="center"/>
          </w:tcPr>
          <w:p w14:paraId="3BF425B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01E4F840">
            <w:pPr>
              <w:spacing w:line="240" w:lineRule="auto"/>
              <w:rPr>
                <w:rFonts w:hint="eastAsia"/>
                <w:b w:val="0"/>
                <w:color w:val="000000"/>
                <w:sz w:val="18"/>
                <w:szCs w:val="18"/>
                <w:lang w:val="en-US" w:eastAsia="zh-CN"/>
              </w:rPr>
            </w:pPr>
            <w:r>
              <w:rPr>
                <w:rFonts w:hint="eastAsia"/>
                <w:b w:val="0"/>
                <w:color w:val="000000"/>
                <w:sz w:val="18"/>
                <w:szCs w:val="18"/>
                <w:lang w:val="en-US" w:eastAsia="zh-CN"/>
              </w:rPr>
              <w:t>0.24</w:t>
            </w:r>
          </w:p>
        </w:tc>
        <w:tc>
          <w:tcPr>
            <w:tcW w:w="794" w:type="dxa"/>
            <w:tcBorders>
              <w:top w:val="single" w:color="000000" w:sz="4" w:space="0"/>
              <w:left w:val="nil"/>
              <w:bottom w:val="single" w:color="000000" w:sz="4" w:space="0"/>
              <w:right w:val="nil"/>
            </w:tcBorders>
            <w:shd w:val="clear" w:color="auto" w:fill="FFFFFF"/>
            <w:noWrap/>
            <w:vAlign w:val="center"/>
          </w:tcPr>
          <w:p w14:paraId="50D2C50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0A2171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69F5B1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57FA962">
            <w:pPr>
              <w:spacing w:line="240" w:lineRule="auto"/>
              <w:rPr>
                <w:rFonts w:hint="eastAsia"/>
                <w:b w:val="0"/>
                <w:color w:val="000000"/>
                <w:sz w:val="18"/>
                <w:szCs w:val="18"/>
                <w:lang w:val="en-US" w:eastAsia="zh-CN"/>
              </w:rPr>
            </w:pPr>
            <w:r>
              <w:rPr>
                <w:rFonts w:hint="eastAsia"/>
                <w:b w:val="0"/>
                <w:color w:val="000000"/>
                <w:sz w:val="18"/>
                <w:szCs w:val="18"/>
                <w:lang w:val="en-US" w:eastAsia="zh-CN"/>
              </w:rPr>
              <w:t>0.9(95%CI NM)</w:t>
            </w:r>
          </w:p>
        </w:tc>
        <w:tc>
          <w:tcPr>
            <w:tcW w:w="1204" w:type="dxa"/>
            <w:tcBorders>
              <w:top w:val="single" w:color="000000" w:sz="4" w:space="0"/>
              <w:left w:val="nil"/>
              <w:bottom w:val="single" w:color="000000" w:sz="4" w:space="0"/>
              <w:right w:val="nil"/>
            </w:tcBorders>
            <w:shd w:val="clear" w:color="auto" w:fill="FFFFFF"/>
            <w:noWrap/>
            <w:vAlign w:val="center"/>
          </w:tcPr>
          <w:p w14:paraId="7E3D155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5866173">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C8CEEB0">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193DDB8F">
            <w:pPr>
              <w:spacing w:line="240" w:lineRule="auto"/>
              <w:rPr>
                <w:rFonts w:hint="eastAsia"/>
                <w:b w:val="0"/>
                <w:color w:val="000000"/>
                <w:sz w:val="18"/>
                <w:szCs w:val="18"/>
                <w:lang w:val="en-US" w:eastAsia="zh-CN"/>
              </w:rPr>
            </w:pPr>
            <w:r>
              <w:rPr>
                <w:rFonts w:hint="eastAsia"/>
                <w:b w:val="0"/>
                <w:color w:val="000000"/>
                <w:sz w:val="18"/>
                <w:szCs w:val="18"/>
                <w:lang w:val="en-US" w:eastAsia="zh-CN"/>
              </w:rPr>
              <w:t>Liu Q,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&lt;EndNote&gt;&lt;Cite&gt;&lt;Author&gt;Liu&lt;/Author&gt;&lt;Year&gt;2020&lt;/Year&gt;&lt;RecNum&gt;558&lt;/RecNum&gt;&lt;DisplayText&gt;(31)&lt;/DisplayText&gt;&lt;record&gt;&lt;rec-number&gt;558&lt;/rec-number&gt;&lt;foreign-keys&gt;&lt;key app="EN" db-id="earspdaa1vazprerafqvx9tx5pvfaxf9awz0" timestamp="1775314802"&gt;558&lt;/key&gt;&lt;/foreign-keys&gt;&lt;ref-type name="期刊文献"&gt;17&lt;/ref-type&gt;&lt;contributors&gt;&lt;authors&gt;&lt;author&gt;Liu, Q.&lt;/author&gt;&lt;author&gt;Yuan, J.&lt;/author&gt;&lt;author&gt;Bakeyi, M.&lt;/author&gt;&lt;author&gt;Li, J.&lt;/author&gt;&lt;author&gt;Zhang, Z.&lt;/author&gt;&lt;author&gt;Yang, X.&lt;/author&gt;&lt;author&gt;Gao, F.&lt;/author&gt;&lt;/authors&gt;&lt;/contributors&gt;&lt;auth-address&gt;Department of Cardiology of People&amp;apos;s Hospital of Xinjiang Uygur Autonomous Region, Urumqi, Xinjiang, China.&amp;#xD;The First Affiliated Hospital of Xinjiang Medical University, Urumqi, Xinjiang Uygur Autonomous Region, China.&amp;#xD;Department of Respiratory and Intensive Care Medicine of People&amp;apos;s Hospital of Xinjiang Uygur Autonomous Region, Urumqi, Xinjiang, China.&lt;/auth-address&gt;&lt;titles&gt;&lt;title&gt;Development and Validation of a Nomogram to Predict Type 2 Diabetes Mellitus in Overweight and Obese Adults: A Prospective Cohort Study from 82938 Adults in China&lt;/title&gt;&lt;secondary-title&gt;Int J Endocrinol&lt;/secondary-title&gt;&lt;/titles&gt;&lt;periodical&gt;&lt;full-title&gt;Int J Endocrinol&lt;/full-title&gt;&lt;/periodical&gt;&lt;pages&gt;8899556&lt;/pages&gt;&lt;volume&gt;2020&lt;/volume&gt;&lt;edition&gt;20201207&lt;/edition&gt;&lt;dates&gt;&lt;year&gt;2020&lt;/year&gt;&lt;/dates&gt;&lt;isbn&gt;1687-8337 (Print)&amp;#xD;1687-8337&lt;/isbn&gt;&lt;accession-num&gt;33488707&lt;/accession-num&gt;&lt;urls&gt;&lt;/urls&gt;&lt;custom1&gt;The authors declare that they have no conflicts of interest.&lt;/custom1&gt;&lt;custom2&gt;PMC7775153&lt;/custom2&gt;&lt;electronic-resource-num&gt;10.1155/2020/8899556&lt;/electronic-resource-num&gt;&lt;remote-database-provider&gt;NLM&lt;/remote-database-provider&gt;&lt;language&gt;eng&lt;/language&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(31)</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26C4933">
            <w:pPr>
              <w:spacing w:line="240" w:lineRule="auto"/>
              <w:rPr>
                <w:rFonts w:hint="eastAsia"/>
                <w:b w:val="0"/>
                <w:color w:val="000000"/>
                <w:sz w:val="18"/>
                <w:szCs w:val="18"/>
                <w:lang w:val="en-US" w:eastAsia="zh-CN"/>
              </w:rPr>
            </w:pPr>
            <w:r>
              <w:rPr>
                <w:rFonts w:hint="eastAsia"/>
                <w:b w:val="0"/>
                <w:color w:val="000000"/>
                <w:sz w:val="18"/>
                <w:szCs w:val="18"/>
                <w:lang w:val="en-US" w:eastAsia="zh-CN"/>
              </w:rPr>
              <w:t>4A</w:t>
            </w:r>
          </w:p>
        </w:tc>
        <w:tc>
          <w:tcPr>
            <w:tcW w:w="1122" w:type="dxa"/>
            <w:tcBorders>
              <w:top w:val="single" w:color="000000" w:sz="4" w:space="0"/>
              <w:left w:val="nil"/>
              <w:bottom w:val="single" w:color="000000" w:sz="4" w:space="0"/>
              <w:right w:val="nil"/>
            </w:tcBorders>
            <w:shd w:val="clear" w:color="auto" w:fill="FFFFFF"/>
            <w:noWrap/>
            <w:vAlign w:val="center"/>
          </w:tcPr>
          <w:p w14:paraId="618F54C6">
            <w:pPr>
              <w:spacing w:line="240" w:lineRule="auto"/>
              <w:rPr>
                <w:rFonts w:hint="eastAsia"/>
                <w:b w:val="0"/>
                <w:color w:val="000000"/>
                <w:sz w:val="18"/>
                <w:szCs w:val="18"/>
                <w:lang w:val="en-US" w:eastAsia="zh-CN"/>
              </w:rPr>
            </w:pPr>
            <w:r>
              <w:rPr>
                <w:rFonts w:hint="eastAsia"/>
                <w:b w:val="0"/>
                <w:color w:val="000000"/>
                <w:sz w:val="18"/>
                <w:szCs w:val="18"/>
                <w:lang w:val="en-US" w:eastAsia="zh-CN"/>
              </w:rPr>
              <w:t>AUC：0.862(0.853-0.871) C statistic: 0.859(0.850-0.868)</w:t>
            </w:r>
          </w:p>
        </w:tc>
        <w:tc>
          <w:tcPr>
            <w:tcW w:w="1122" w:type="dxa"/>
            <w:tcBorders>
              <w:top w:val="single" w:color="000000" w:sz="4" w:space="0"/>
              <w:left w:val="nil"/>
              <w:bottom w:val="single" w:color="000000" w:sz="4" w:space="0"/>
              <w:right w:val="nil"/>
            </w:tcBorders>
            <w:shd w:val="clear" w:color="auto" w:fill="FFFFFF"/>
            <w:noWrap/>
            <w:vAlign w:val="center"/>
          </w:tcPr>
          <w:p w14:paraId="51A2589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30B61E0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351F95F3">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7C0C398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266158D">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29AB9FD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F5B2FFC">
            <w:pPr>
              <w:spacing w:line="240" w:lineRule="auto"/>
              <w:rPr>
                <w:rFonts w:hint="eastAsia"/>
                <w:b w:val="0"/>
                <w:color w:val="000000"/>
                <w:sz w:val="18"/>
                <w:szCs w:val="18"/>
                <w:lang w:val="en-US" w:eastAsia="zh-CN"/>
              </w:rPr>
            </w:pPr>
            <w:r>
              <w:rPr>
                <w:rFonts w:hint="eastAsia"/>
                <w:b w:val="0"/>
                <w:color w:val="000000"/>
                <w:sz w:val="18"/>
                <w:szCs w:val="18"/>
                <w:lang w:val="en-US" w:eastAsia="zh-CN"/>
              </w:rPr>
              <w:t>AUC：0.851 (0.837-0.865) C-index： 0.848 (0.833-0.863)</w:t>
            </w:r>
          </w:p>
        </w:tc>
        <w:tc>
          <w:tcPr>
            <w:tcW w:w="1242" w:type="dxa"/>
            <w:tcBorders>
              <w:top w:val="single" w:color="000000" w:sz="4" w:space="0"/>
              <w:left w:val="nil"/>
              <w:bottom w:val="single" w:color="000000" w:sz="4" w:space="0"/>
              <w:right w:val="nil"/>
            </w:tcBorders>
            <w:shd w:val="clear" w:color="auto" w:fill="FFFFFF"/>
            <w:noWrap/>
            <w:vAlign w:val="center"/>
          </w:tcPr>
          <w:p w14:paraId="4BEF0C8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3EFC1EF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4ACBD177">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9964678">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T2DM</w:t>
            </w:r>
          </w:p>
        </w:tc>
        <w:tc>
          <w:tcPr>
            <w:tcW w:w="1315" w:type="dxa"/>
            <w:tcBorders>
              <w:top w:val="single" w:color="000000" w:sz="4" w:space="0"/>
              <w:left w:val="nil"/>
              <w:bottom w:val="single" w:color="000000" w:sz="4" w:space="0"/>
              <w:right w:val="nil"/>
            </w:tcBorders>
            <w:shd w:val="clear" w:color="auto" w:fill="FFFFFF"/>
            <w:noWrap/>
            <w:vAlign w:val="center"/>
          </w:tcPr>
          <w:p w14:paraId="138893C7">
            <w:pPr>
              <w:spacing w:line="240" w:lineRule="auto"/>
              <w:rPr>
                <w:rFonts w:hint="eastAsia"/>
                <w:b w:val="0"/>
                <w:color w:val="000000"/>
                <w:sz w:val="18"/>
                <w:szCs w:val="18"/>
                <w:lang w:val="en-US" w:eastAsia="zh-CN"/>
              </w:rPr>
            </w:pPr>
            <w:r>
              <w:rPr>
                <w:rFonts w:hint="eastAsia"/>
                <w:b w:val="0"/>
                <w:color w:val="000000"/>
                <w:sz w:val="18"/>
                <w:szCs w:val="18"/>
                <w:lang w:val="en-US" w:eastAsia="zh-CN"/>
              </w:rPr>
              <w:t>Liu Q,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&lt;EndNote&gt;&lt;Cite&gt;&lt;Author&gt;Liu&lt;/Author&gt;&lt;Year&gt;2020&lt;/Year&gt;&lt;RecNum&gt;558&lt;/RecNum&gt;&lt;DisplayText&gt;(31)&lt;/DisplayText&gt;&lt;record&gt;&lt;rec-number&gt;558&lt;/rec-number&gt;&lt;foreign-keys&gt;&lt;key app="EN" db-id="earspdaa1vazprerafqvx9tx5pvfaxf9awz0" timestamp="1775314802"&gt;558&lt;/key&gt;&lt;/foreign-keys&gt;&lt;ref-type name="期刊文献"&gt;17&lt;/ref-type&gt;&lt;contributors&gt;&lt;authors&gt;&lt;author&gt;Liu, Q.&lt;/author&gt;&lt;author&gt;Yuan, J.&lt;/author&gt;&lt;author&gt;Bakeyi, M.&lt;/author&gt;&lt;author&gt;Li, J.&lt;/author&gt;&lt;author&gt;Zhang, Z.&lt;/author&gt;&lt;author&gt;Yang, X.&lt;/author&gt;&lt;author&gt;Gao, F.&lt;/author&gt;&lt;/authors&gt;&lt;/contributors&gt;&lt;auth-address&gt;Department of Cardiology of People&amp;apos;s Hospital of Xinjiang Uygur Autonomous Region, Urumqi, Xinjiang, China.&amp;#xD;The First Affiliated Hospital of Xinjiang Medical University, Urumqi, Xinjiang Uygur Autonomous Region, China.&amp;#xD;Department of Respiratory and Intensive Care Medicine of People&amp;apos;s Hospital of Xinjiang Uygur Autonomous Region, Urumqi, Xinjiang, China.&lt;/auth-address&gt;&lt;titles&gt;&lt;title&gt;Development and Validation of a Nomogram to Predict Type 2 Diabetes Mellitus in Overweight and Obese Adults: A Prospective Cohort Study from 82938 Adults in China&lt;/title&gt;&lt;secondary-title&gt;Int J Endocrinol&lt;/secondary-title&gt;&lt;/titles&gt;&lt;periodical&gt;&lt;full-title&gt;Int J Endocrinol&lt;/full-title&gt;&lt;/periodical&gt;&lt;pages&gt;8899556&lt;/pages&gt;&lt;volume&gt;2020&lt;/volume&gt;&lt;edition&gt;20201207&lt;/edition&gt;&lt;dates&gt;&lt;year&gt;2020&lt;/year&gt;&lt;/dates&gt;&lt;isbn&gt;1687-8337 (Print)&amp;#xD;1687-8337&lt;/isbn&gt;&lt;accession-num&gt;33488707&lt;/accession-num&gt;&lt;urls&gt;&lt;/urls&gt;&lt;custom1&gt;The authors declare that they have no conflicts of interest.&lt;/custom1&gt;&lt;custom2&gt;PMC7775153&lt;/custom2&gt;&lt;electronic-resource-num&gt;10.1155/2020/8899556&lt;/electronic-resource-num&gt;&lt;remote-database-provider&gt;NLM&lt;/remote-database-provider&gt;&lt;language&gt;eng&lt;/language&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(31)</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B09B6E6">
            <w:pPr>
              <w:spacing w:line="240" w:lineRule="auto"/>
              <w:rPr>
                <w:rFonts w:hint="eastAsia"/>
                <w:b w:val="0"/>
                <w:color w:val="000000"/>
                <w:sz w:val="18"/>
                <w:szCs w:val="18"/>
                <w:lang w:val="en-US" w:eastAsia="zh-CN"/>
              </w:rPr>
            </w:pPr>
            <w:r>
              <w:rPr>
                <w:rFonts w:hint="eastAsia"/>
                <w:b w:val="0"/>
                <w:color w:val="000000"/>
                <w:sz w:val="18"/>
                <w:szCs w:val="18"/>
                <w:lang w:val="en-US" w:eastAsia="zh-CN"/>
              </w:rPr>
              <w:t>4B</w:t>
            </w:r>
          </w:p>
        </w:tc>
        <w:tc>
          <w:tcPr>
            <w:tcW w:w="1122" w:type="dxa"/>
            <w:tcBorders>
              <w:top w:val="single" w:color="000000" w:sz="4" w:space="0"/>
              <w:left w:val="nil"/>
              <w:bottom w:val="single" w:color="000000" w:sz="4" w:space="0"/>
              <w:right w:val="nil"/>
            </w:tcBorders>
            <w:shd w:val="clear" w:color="auto" w:fill="FFFFFF"/>
            <w:noWrap/>
            <w:vAlign w:val="center"/>
          </w:tcPr>
          <w:p w14:paraId="07E90835">
            <w:pPr>
              <w:spacing w:line="240" w:lineRule="auto"/>
              <w:rPr>
                <w:rFonts w:hint="eastAsia"/>
                <w:b w:val="0"/>
                <w:color w:val="000000"/>
                <w:sz w:val="18"/>
                <w:szCs w:val="18"/>
                <w:lang w:val="en-US" w:eastAsia="zh-CN"/>
              </w:rPr>
            </w:pPr>
            <w:r>
              <w:rPr>
                <w:rFonts w:hint="eastAsia"/>
                <w:b w:val="0"/>
                <w:color w:val="000000"/>
                <w:sz w:val="18"/>
                <w:szCs w:val="18"/>
                <w:lang w:val="en-US" w:eastAsia="zh-CN"/>
              </w:rPr>
              <w:t>AUC：0.862 (0.853-0.871) C statistic: 0.859(0.850-0.868)</w:t>
            </w:r>
          </w:p>
        </w:tc>
        <w:tc>
          <w:tcPr>
            <w:tcW w:w="1122" w:type="dxa"/>
            <w:tcBorders>
              <w:top w:val="single" w:color="000000" w:sz="4" w:space="0"/>
              <w:left w:val="nil"/>
              <w:bottom w:val="single" w:color="000000" w:sz="4" w:space="0"/>
              <w:right w:val="nil"/>
            </w:tcBorders>
            <w:shd w:val="clear" w:color="auto" w:fill="FFFFFF"/>
            <w:noWrap/>
            <w:vAlign w:val="center"/>
          </w:tcPr>
          <w:p w14:paraId="324AB82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39C9BA7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795F0CE2">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54DD1A3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3D7CE642">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3AE1602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F02D1E8">
            <w:pPr>
              <w:spacing w:line="240" w:lineRule="auto"/>
              <w:rPr>
                <w:rFonts w:hint="eastAsia"/>
                <w:b w:val="0"/>
                <w:color w:val="000000"/>
                <w:sz w:val="18"/>
                <w:szCs w:val="18"/>
                <w:lang w:val="en-US" w:eastAsia="zh-CN"/>
              </w:rPr>
            </w:pPr>
            <w:r>
              <w:rPr>
                <w:rFonts w:hint="eastAsia"/>
                <w:b w:val="0"/>
                <w:color w:val="000000"/>
                <w:sz w:val="18"/>
                <w:szCs w:val="18"/>
                <w:lang w:val="en-US" w:eastAsia="zh-CN"/>
              </w:rPr>
              <w:t>AUC：0.851 (0.837-0.865) C-index： 0.848 (0.833-0.863)</w:t>
            </w:r>
          </w:p>
        </w:tc>
        <w:tc>
          <w:tcPr>
            <w:tcW w:w="1242" w:type="dxa"/>
            <w:tcBorders>
              <w:top w:val="single" w:color="000000" w:sz="4" w:space="0"/>
              <w:left w:val="nil"/>
              <w:bottom w:val="single" w:color="000000" w:sz="4" w:space="0"/>
              <w:right w:val="nil"/>
            </w:tcBorders>
            <w:shd w:val="clear" w:color="auto" w:fill="FFFFFF"/>
            <w:noWrap/>
            <w:vAlign w:val="center"/>
          </w:tcPr>
          <w:p w14:paraId="3F67F26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1CBC519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22A09F3">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403097C">
            <w:pPr>
              <w:spacing w:line="240" w:lineRule="auto"/>
              <w:rPr>
                <w:rFonts w:hint="eastAsia"/>
                <w:b w:val="0"/>
                <w:color w:val="000000"/>
                <w:sz w:val="18"/>
                <w:szCs w:val="18"/>
                <w:lang w:val="en-US" w:eastAsia="zh-CN"/>
              </w:rPr>
            </w:pPr>
            <w:r>
              <w:rPr>
                <w:rFonts w:hint="eastAsia"/>
                <w:b w:val="0"/>
                <w:color w:val="000000"/>
                <w:sz w:val="18"/>
                <w:szCs w:val="18"/>
                <w:lang w:val="en-US" w:eastAsia="zh-CN"/>
              </w:rPr>
              <w:t>SLD (confirmed by ultrasound)</w:t>
            </w:r>
          </w:p>
        </w:tc>
        <w:tc>
          <w:tcPr>
            <w:tcW w:w="1315" w:type="dxa"/>
            <w:tcBorders>
              <w:top w:val="single" w:color="000000" w:sz="4" w:space="0"/>
              <w:left w:val="nil"/>
              <w:bottom w:val="single" w:color="000000" w:sz="4" w:space="0"/>
              <w:right w:val="nil"/>
            </w:tcBorders>
            <w:shd w:val="clear" w:color="auto" w:fill="FFFFFF"/>
            <w:noWrap/>
            <w:vAlign w:val="center"/>
          </w:tcPr>
          <w:p w14:paraId="0A18430F">
            <w:pPr>
              <w:spacing w:line="240" w:lineRule="auto"/>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4629561">
            <w:pPr>
              <w:spacing w:line="240" w:lineRule="auto"/>
              <w:rPr>
                <w:rFonts w:hint="eastAsia"/>
                <w:b w:val="0"/>
                <w:color w:val="000000"/>
                <w:sz w:val="18"/>
                <w:szCs w:val="18"/>
                <w:lang w:val="en-US" w:eastAsia="zh-CN"/>
              </w:rPr>
            </w:pPr>
            <w:r>
              <w:rPr>
                <w:rFonts w:hint="eastAsia"/>
                <w:b w:val="0"/>
                <w:color w:val="000000"/>
                <w:sz w:val="18"/>
                <w:szCs w:val="18"/>
                <w:lang w:val="en-US" w:eastAsia="zh-CN"/>
              </w:rPr>
              <w:t>5A</w:t>
            </w:r>
          </w:p>
        </w:tc>
        <w:tc>
          <w:tcPr>
            <w:tcW w:w="1122" w:type="dxa"/>
            <w:tcBorders>
              <w:top w:val="single" w:color="000000" w:sz="4" w:space="0"/>
              <w:left w:val="nil"/>
              <w:bottom w:val="single" w:color="000000" w:sz="4" w:space="0"/>
              <w:right w:val="nil"/>
            </w:tcBorders>
            <w:shd w:val="clear" w:color="auto" w:fill="FFFFFF"/>
            <w:noWrap/>
            <w:vAlign w:val="center"/>
          </w:tcPr>
          <w:p w14:paraId="1034205C">
            <w:pPr>
              <w:spacing w:line="240" w:lineRule="auto"/>
              <w:rPr>
                <w:rFonts w:hint="eastAsia"/>
                <w:b w:val="0"/>
                <w:color w:val="000000"/>
                <w:sz w:val="18"/>
                <w:szCs w:val="18"/>
                <w:lang w:val="en-US" w:eastAsia="zh-CN"/>
              </w:rPr>
            </w:pPr>
            <w:r>
              <w:rPr>
                <w:rFonts w:hint="eastAsia"/>
                <w:b w:val="0"/>
                <w:color w:val="000000"/>
                <w:sz w:val="18"/>
                <w:szCs w:val="18"/>
                <w:lang w:val="en-US" w:eastAsia="zh-CN"/>
              </w:rPr>
              <w:t>0.817 (0.811-0.824)</w:t>
            </w:r>
          </w:p>
        </w:tc>
        <w:tc>
          <w:tcPr>
            <w:tcW w:w="1122" w:type="dxa"/>
            <w:tcBorders>
              <w:top w:val="single" w:color="000000" w:sz="4" w:space="0"/>
              <w:left w:val="nil"/>
              <w:bottom w:val="single" w:color="000000" w:sz="4" w:space="0"/>
              <w:right w:val="nil"/>
            </w:tcBorders>
            <w:shd w:val="clear" w:color="auto" w:fill="FFFFFF"/>
            <w:noWrap/>
            <w:vAlign w:val="center"/>
          </w:tcPr>
          <w:p w14:paraId="04B5FF58">
            <w:pPr>
              <w:spacing w:line="240" w:lineRule="auto"/>
              <w:rPr>
                <w:rFonts w:hint="eastAsia"/>
                <w:b w:val="0"/>
                <w:color w:val="000000"/>
                <w:sz w:val="18"/>
                <w:szCs w:val="18"/>
                <w:lang w:val="en-US" w:eastAsia="zh-CN"/>
              </w:rPr>
            </w:pPr>
            <w:r>
              <w:rPr>
                <w:rFonts w:hint="eastAsia"/>
                <w:b w:val="0"/>
                <w:color w:val="000000"/>
                <w:sz w:val="18"/>
                <w:szCs w:val="18"/>
                <w:lang w:val="en-US" w:eastAsia="zh-CN"/>
              </w:rPr>
              <w:t>92.70%</w:t>
            </w:r>
          </w:p>
        </w:tc>
        <w:tc>
          <w:tcPr>
            <w:tcW w:w="1123" w:type="dxa"/>
            <w:tcBorders>
              <w:top w:val="single" w:color="000000" w:sz="4" w:space="0"/>
              <w:left w:val="nil"/>
              <w:bottom w:val="single" w:color="000000" w:sz="4" w:space="0"/>
              <w:right w:val="nil"/>
            </w:tcBorders>
            <w:shd w:val="clear" w:color="auto" w:fill="FFFFFF"/>
            <w:noWrap/>
            <w:vAlign w:val="center"/>
          </w:tcPr>
          <w:p w14:paraId="3DD3D815">
            <w:pPr>
              <w:spacing w:line="240" w:lineRule="auto"/>
              <w:rPr>
                <w:rFonts w:hint="eastAsia"/>
                <w:b w:val="0"/>
                <w:color w:val="000000"/>
                <w:sz w:val="18"/>
                <w:szCs w:val="18"/>
                <w:lang w:val="en-US" w:eastAsia="zh-CN"/>
              </w:rPr>
            </w:pPr>
            <w:r>
              <w:rPr>
                <w:rFonts w:hint="eastAsia"/>
                <w:b w:val="0"/>
                <w:color w:val="000000"/>
                <w:sz w:val="18"/>
                <w:szCs w:val="18"/>
                <w:lang w:val="en-US" w:eastAsia="zh-CN"/>
              </w:rPr>
              <w:t>94.70%</w:t>
            </w:r>
          </w:p>
        </w:tc>
        <w:tc>
          <w:tcPr>
            <w:tcW w:w="784" w:type="dxa"/>
            <w:tcBorders>
              <w:top w:val="single" w:color="000000" w:sz="4" w:space="0"/>
              <w:left w:val="nil"/>
              <w:bottom w:val="single" w:color="000000" w:sz="4" w:space="0"/>
              <w:right w:val="nil"/>
            </w:tcBorders>
            <w:shd w:val="clear" w:color="auto" w:fill="FFFFFF"/>
            <w:noWrap/>
            <w:vAlign w:val="center"/>
          </w:tcPr>
          <w:p w14:paraId="3ED507D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6F0310E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6C4446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0F5ADF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07FE546">
            <w:pPr>
              <w:spacing w:line="240" w:lineRule="auto"/>
              <w:rPr>
                <w:rFonts w:hint="eastAsia"/>
                <w:b w:val="0"/>
                <w:color w:val="000000"/>
                <w:sz w:val="18"/>
                <w:szCs w:val="18"/>
                <w:lang w:val="en-US" w:eastAsia="zh-CN"/>
              </w:rPr>
            </w:pPr>
            <w:r>
              <w:rPr>
                <w:rFonts w:hint="eastAsia"/>
                <w:b w:val="0"/>
                <w:color w:val="000000"/>
                <w:sz w:val="18"/>
                <w:szCs w:val="18"/>
                <w:lang w:val="en-US" w:eastAsia="zh-CN"/>
              </w:rPr>
              <w:t>0.822 (0.811-0.832)</w:t>
            </w:r>
          </w:p>
        </w:tc>
        <w:tc>
          <w:tcPr>
            <w:tcW w:w="1242" w:type="dxa"/>
            <w:tcBorders>
              <w:top w:val="single" w:color="000000" w:sz="4" w:space="0"/>
              <w:left w:val="nil"/>
              <w:bottom w:val="single" w:color="000000" w:sz="4" w:space="0"/>
              <w:right w:val="nil"/>
            </w:tcBorders>
            <w:shd w:val="clear" w:color="auto" w:fill="FFFFFF"/>
            <w:noWrap/>
            <w:vAlign w:val="center"/>
          </w:tcPr>
          <w:p w14:paraId="573959C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6572D79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6574AF0C">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7C7A8D7">
            <w:pPr>
              <w:spacing w:line="240" w:lineRule="auto"/>
              <w:rPr>
                <w:rFonts w:hint="eastAsia"/>
                <w:b w:val="0"/>
                <w:color w:val="000000"/>
                <w:sz w:val="18"/>
                <w:szCs w:val="18"/>
                <w:lang w:val="en-US" w:eastAsia="zh-CN"/>
              </w:rPr>
            </w:pPr>
            <w:r>
              <w:rPr>
                <w:rFonts w:hint="eastAsia"/>
                <w:b w:val="0"/>
                <w:color w:val="000000"/>
                <w:sz w:val="18"/>
                <w:szCs w:val="18"/>
                <w:lang w:val="en-US" w:eastAsia="zh-CN"/>
              </w:rPr>
              <w:t>SLD (confirmed by ultrasound)</w:t>
            </w:r>
          </w:p>
        </w:tc>
        <w:tc>
          <w:tcPr>
            <w:tcW w:w="1315" w:type="dxa"/>
            <w:tcBorders>
              <w:top w:val="single" w:color="000000" w:sz="4" w:space="0"/>
              <w:left w:val="nil"/>
              <w:bottom w:val="single" w:color="000000" w:sz="4" w:space="0"/>
              <w:right w:val="nil"/>
            </w:tcBorders>
            <w:shd w:val="clear" w:color="auto" w:fill="FFFFFF"/>
            <w:noWrap/>
            <w:vAlign w:val="center"/>
          </w:tcPr>
          <w:p w14:paraId="6CE0A744">
            <w:pPr>
              <w:spacing w:line="240" w:lineRule="auto"/>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1E59620">
            <w:pPr>
              <w:spacing w:line="240" w:lineRule="auto"/>
              <w:rPr>
                <w:rFonts w:hint="eastAsia"/>
                <w:b w:val="0"/>
                <w:color w:val="000000"/>
                <w:sz w:val="18"/>
                <w:szCs w:val="18"/>
                <w:lang w:val="en-US" w:eastAsia="zh-CN"/>
              </w:rPr>
            </w:pPr>
            <w:r>
              <w:rPr>
                <w:rFonts w:hint="eastAsia"/>
                <w:b w:val="0"/>
                <w:color w:val="000000"/>
                <w:sz w:val="18"/>
                <w:szCs w:val="18"/>
                <w:lang w:val="en-US" w:eastAsia="zh-CN"/>
              </w:rPr>
              <w:t>5B</w:t>
            </w:r>
          </w:p>
        </w:tc>
        <w:tc>
          <w:tcPr>
            <w:tcW w:w="1122" w:type="dxa"/>
            <w:tcBorders>
              <w:top w:val="single" w:color="000000" w:sz="4" w:space="0"/>
              <w:left w:val="nil"/>
              <w:bottom w:val="single" w:color="000000" w:sz="4" w:space="0"/>
              <w:right w:val="nil"/>
            </w:tcBorders>
            <w:shd w:val="clear" w:color="auto" w:fill="FFFFFF"/>
            <w:noWrap/>
            <w:vAlign w:val="center"/>
          </w:tcPr>
          <w:p w14:paraId="645E6D41">
            <w:pPr>
              <w:spacing w:line="240" w:lineRule="auto"/>
              <w:rPr>
                <w:rFonts w:hint="eastAsia"/>
                <w:b w:val="0"/>
                <w:color w:val="000000"/>
                <w:sz w:val="18"/>
                <w:szCs w:val="18"/>
                <w:lang w:val="en-US" w:eastAsia="zh-CN"/>
              </w:rPr>
            </w:pPr>
            <w:r>
              <w:rPr>
                <w:rFonts w:hint="eastAsia"/>
                <w:b w:val="0"/>
                <w:color w:val="000000"/>
                <w:sz w:val="18"/>
                <w:szCs w:val="18"/>
                <w:lang w:val="en-US" w:eastAsia="zh-CN"/>
              </w:rPr>
              <w:t>0.823 (0.816-0.829)</w:t>
            </w:r>
          </w:p>
        </w:tc>
        <w:tc>
          <w:tcPr>
            <w:tcW w:w="1122" w:type="dxa"/>
            <w:tcBorders>
              <w:top w:val="single" w:color="000000" w:sz="4" w:space="0"/>
              <w:left w:val="nil"/>
              <w:bottom w:val="single" w:color="000000" w:sz="4" w:space="0"/>
              <w:right w:val="nil"/>
            </w:tcBorders>
            <w:shd w:val="clear" w:color="auto" w:fill="FFFFFF"/>
            <w:noWrap/>
            <w:vAlign w:val="center"/>
          </w:tcPr>
          <w:p w14:paraId="5C79F877">
            <w:pPr>
              <w:spacing w:line="240" w:lineRule="auto"/>
              <w:rPr>
                <w:rFonts w:hint="eastAsia"/>
                <w:b w:val="0"/>
                <w:color w:val="000000"/>
                <w:sz w:val="18"/>
                <w:szCs w:val="18"/>
                <w:lang w:val="en-US" w:eastAsia="zh-CN"/>
              </w:rPr>
            </w:pPr>
            <w:r>
              <w:rPr>
                <w:rFonts w:hint="eastAsia"/>
                <w:b w:val="0"/>
                <w:color w:val="000000"/>
                <w:sz w:val="18"/>
                <w:szCs w:val="18"/>
                <w:lang w:val="en-US" w:eastAsia="zh-CN"/>
              </w:rPr>
              <w:t>92.80%</w:t>
            </w:r>
          </w:p>
        </w:tc>
        <w:tc>
          <w:tcPr>
            <w:tcW w:w="1123" w:type="dxa"/>
            <w:tcBorders>
              <w:top w:val="single" w:color="000000" w:sz="4" w:space="0"/>
              <w:left w:val="nil"/>
              <w:bottom w:val="single" w:color="000000" w:sz="4" w:space="0"/>
              <w:right w:val="nil"/>
            </w:tcBorders>
            <w:shd w:val="clear" w:color="auto" w:fill="FFFFFF"/>
            <w:noWrap/>
            <w:vAlign w:val="center"/>
          </w:tcPr>
          <w:p w14:paraId="4E3433D8">
            <w:pPr>
              <w:spacing w:line="240" w:lineRule="auto"/>
              <w:rPr>
                <w:rFonts w:hint="eastAsia"/>
                <w:b w:val="0"/>
                <w:color w:val="000000"/>
                <w:sz w:val="18"/>
                <w:szCs w:val="18"/>
                <w:lang w:val="en-US" w:eastAsia="zh-CN"/>
              </w:rPr>
            </w:pPr>
            <w:r>
              <w:rPr>
                <w:rFonts w:hint="eastAsia"/>
                <w:b w:val="0"/>
                <w:color w:val="000000"/>
                <w:sz w:val="18"/>
                <w:szCs w:val="18"/>
                <w:lang w:val="en-US" w:eastAsia="zh-CN"/>
              </w:rPr>
              <w:t>95.10%</w:t>
            </w:r>
          </w:p>
        </w:tc>
        <w:tc>
          <w:tcPr>
            <w:tcW w:w="784" w:type="dxa"/>
            <w:tcBorders>
              <w:top w:val="single" w:color="000000" w:sz="4" w:space="0"/>
              <w:left w:val="nil"/>
              <w:bottom w:val="single" w:color="000000" w:sz="4" w:space="0"/>
              <w:right w:val="nil"/>
            </w:tcBorders>
            <w:shd w:val="clear" w:color="auto" w:fill="FFFFFF"/>
            <w:noWrap/>
            <w:vAlign w:val="center"/>
          </w:tcPr>
          <w:p w14:paraId="476D2F2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2434470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46863EF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BCBACF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4436190">
            <w:pPr>
              <w:spacing w:line="240" w:lineRule="auto"/>
              <w:rPr>
                <w:rFonts w:hint="eastAsia"/>
                <w:b w:val="0"/>
                <w:color w:val="000000"/>
                <w:sz w:val="18"/>
                <w:szCs w:val="18"/>
                <w:lang w:val="en-US" w:eastAsia="zh-CN"/>
              </w:rPr>
            </w:pPr>
            <w:r>
              <w:rPr>
                <w:rFonts w:hint="eastAsia"/>
                <w:b w:val="0"/>
                <w:color w:val="000000"/>
                <w:sz w:val="18"/>
                <w:szCs w:val="18"/>
                <w:lang w:val="en-US" w:eastAsia="zh-CN"/>
              </w:rPr>
              <w:t>0.822 (0.811-0.832)</w:t>
            </w:r>
          </w:p>
        </w:tc>
        <w:tc>
          <w:tcPr>
            <w:tcW w:w="1242" w:type="dxa"/>
            <w:tcBorders>
              <w:top w:val="single" w:color="000000" w:sz="4" w:space="0"/>
              <w:left w:val="nil"/>
              <w:bottom w:val="single" w:color="000000" w:sz="4" w:space="0"/>
              <w:right w:val="nil"/>
            </w:tcBorders>
            <w:shd w:val="clear" w:color="auto" w:fill="FFFFFF"/>
            <w:noWrap/>
            <w:vAlign w:val="center"/>
          </w:tcPr>
          <w:p w14:paraId="104D0F7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26EE5A7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0E588559">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25584822">
            <w:pPr>
              <w:spacing w:line="240" w:lineRule="auto"/>
              <w:rPr>
                <w:rFonts w:hint="eastAsia"/>
                <w:b w:val="0"/>
                <w:color w:val="000000"/>
                <w:sz w:val="18"/>
                <w:szCs w:val="18"/>
                <w:lang w:val="en-US" w:eastAsia="zh-CN"/>
              </w:rPr>
            </w:pPr>
            <w:r>
              <w:rPr>
                <w:rFonts w:hint="eastAsia"/>
                <w:b w:val="0"/>
                <w:color w:val="000000"/>
                <w:sz w:val="18"/>
                <w:szCs w:val="18"/>
                <w:lang w:val="en-US" w:eastAsia="zh-CN"/>
              </w:rPr>
              <w:t>SLD (confirmed by ultrasound)</w:t>
            </w:r>
          </w:p>
        </w:tc>
        <w:tc>
          <w:tcPr>
            <w:tcW w:w="1315" w:type="dxa"/>
            <w:tcBorders>
              <w:top w:val="single" w:color="000000" w:sz="4" w:space="0"/>
              <w:left w:val="nil"/>
              <w:bottom w:val="single" w:color="000000" w:sz="4" w:space="0"/>
              <w:right w:val="nil"/>
            </w:tcBorders>
            <w:shd w:val="clear" w:color="auto" w:fill="FFFFFF"/>
            <w:noWrap/>
            <w:vAlign w:val="center"/>
          </w:tcPr>
          <w:p w14:paraId="0924E394">
            <w:pPr>
              <w:spacing w:line="240" w:lineRule="auto"/>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199CDCFB">
            <w:pPr>
              <w:spacing w:line="240" w:lineRule="auto"/>
              <w:rPr>
                <w:rFonts w:hint="eastAsia"/>
                <w:b w:val="0"/>
                <w:color w:val="000000"/>
                <w:sz w:val="18"/>
                <w:szCs w:val="18"/>
                <w:lang w:val="en-US" w:eastAsia="zh-CN"/>
              </w:rPr>
            </w:pPr>
            <w:r>
              <w:rPr>
                <w:rFonts w:hint="eastAsia"/>
                <w:b w:val="0"/>
                <w:color w:val="000000"/>
                <w:sz w:val="18"/>
                <w:szCs w:val="18"/>
                <w:lang w:val="en-US" w:eastAsia="zh-CN"/>
              </w:rPr>
              <w:t>5C</w:t>
            </w:r>
          </w:p>
        </w:tc>
        <w:tc>
          <w:tcPr>
            <w:tcW w:w="1122" w:type="dxa"/>
            <w:tcBorders>
              <w:top w:val="single" w:color="000000" w:sz="4" w:space="0"/>
              <w:left w:val="nil"/>
              <w:bottom w:val="single" w:color="000000" w:sz="4" w:space="0"/>
              <w:right w:val="nil"/>
            </w:tcBorders>
            <w:shd w:val="clear" w:color="auto" w:fill="FFFFFF"/>
            <w:noWrap/>
            <w:vAlign w:val="center"/>
          </w:tcPr>
          <w:p w14:paraId="76E70E61">
            <w:pPr>
              <w:spacing w:line="240" w:lineRule="auto"/>
              <w:rPr>
                <w:rFonts w:hint="eastAsia"/>
                <w:b w:val="0"/>
                <w:color w:val="000000"/>
                <w:sz w:val="18"/>
                <w:szCs w:val="18"/>
                <w:lang w:val="en-US" w:eastAsia="zh-CN"/>
              </w:rPr>
            </w:pPr>
            <w:r>
              <w:rPr>
                <w:rFonts w:hint="eastAsia"/>
                <w:b w:val="0"/>
                <w:color w:val="000000"/>
                <w:sz w:val="18"/>
                <w:szCs w:val="18"/>
                <w:lang w:val="en-US" w:eastAsia="zh-CN"/>
              </w:rPr>
              <w:t>0.820 (0.813-0.826)</w:t>
            </w:r>
          </w:p>
        </w:tc>
        <w:tc>
          <w:tcPr>
            <w:tcW w:w="1122" w:type="dxa"/>
            <w:tcBorders>
              <w:top w:val="single" w:color="000000" w:sz="4" w:space="0"/>
              <w:left w:val="nil"/>
              <w:bottom w:val="single" w:color="000000" w:sz="4" w:space="0"/>
              <w:right w:val="nil"/>
            </w:tcBorders>
            <w:shd w:val="clear" w:color="auto" w:fill="FFFFFF"/>
            <w:noWrap/>
            <w:vAlign w:val="center"/>
          </w:tcPr>
          <w:p w14:paraId="3DE32F51">
            <w:pPr>
              <w:spacing w:line="240" w:lineRule="auto"/>
              <w:rPr>
                <w:rFonts w:hint="eastAsia"/>
                <w:b w:val="0"/>
                <w:color w:val="000000"/>
                <w:sz w:val="18"/>
                <w:szCs w:val="18"/>
                <w:lang w:val="en-US" w:eastAsia="zh-CN"/>
              </w:rPr>
            </w:pPr>
            <w:r>
              <w:rPr>
                <w:rFonts w:hint="eastAsia"/>
                <w:b w:val="0"/>
                <w:color w:val="000000"/>
                <w:sz w:val="18"/>
                <w:szCs w:val="18"/>
                <w:lang w:val="en-US" w:eastAsia="zh-CN"/>
              </w:rPr>
              <w:t>92.60%</w:t>
            </w:r>
          </w:p>
        </w:tc>
        <w:tc>
          <w:tcPr>
            <w:tcW w:w="1123" w:type="dxa"/>
            <w:tcBorders>
              <w:top w:val="single" w:color="000000" w:sz="4" w:space="0"/>
              <w:left w:val="nil"/>
              <w:bottom w:val="single" w:color="000000" w:sz="4" w:space="0"/>
              <w:right w:val="nil"/>
            </w:tcBorders>
            <w:shd w:val="clear" w:color="auto" w:fill="FFFFFF"/>
            <w:noWrap/>
            <w:vAlign w:val="center"/>
          </w:tcPr>
          <w:p w14:paraId="6BA83B88">
            <w:pPr>
              <w:spacing w:line="240" w:lineRule="auto"/>
              <w:rPr>
                <w:rFonts w:hint="eastAsia"/>
                <w:b w:val="0"/>
                <w:color w:val="000000"/>
                <w:sz w:val="18"/>
                <w:szCs w:val="18"/>
                <w:lang w:val="en-US" w:eastAsia="zh-CN"/>
              </w:rPr>
            </w:pPr>
            <w:r>
              <w:rPr>
                <w:rFonts w:hint="eastAsia"/>
                <w:b w:val="0"/>
                <w:color w:val="000000"/>
                <w:sz w:val="18"/>
                <w:szCs w:val="18"/>
                <w:lang w:val="en-US" w:eastAsia="zh-CN"/>
              </w:rPr>
              <w:t>95.00%</w:t>
            </w:r>
          </w:p>
        </w:tc>
        <w:tc>
          <w:tcPr>
            <w:tcW w:w="784" w:type="dxa"/>
            <w:tcBorders>
              <w:top w:val="single" w:color="000000" w:sz="4" w:space="0"/>
              <w:left w:val="nil"/>
              <w:bottom w:val="single" w:color="000000" w:sz="4" w:space="0"/>
              <w:right w:val="nil"/>
            </w:tcBorders>
            <w:shd w:val="clear" w:color="auto" w:fill="FFFFFF"/>
            <w:noWrap/>
            <w:vAlign w:val="center"/>
          </w:tcPr>
          <w:p w14:paraId="4A613BD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4F073BF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A1B5EF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BE90DC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0AAC4C0">
            <w:pPr>
              <w:spacing w:line="240" w:lineRule="auto"/>
              <w:rPr>
                <w:rFonts w:hint="eastAsia"/>
                <w:b w:val="0"/>
                <w:color w:val="000000"/>
                <w:sz w:val="18"/>
                <w:szCs w:val="18"/>
                <w:lang w:val="en-US" w:eastAsia="zh-CN"/>
              </w:rPr>
            </w:pPr>
            <w:r>
              <w:rPr>
                <w:rFonts w:hint="eastAsia"/>
                <w:b w:val="0"/>
                <w:color w:val="000000"/>
                <w:sz w:val="18"/>
                <w:szCs w:val="18"/>
                <w:lang w:val="en-US" w:eastAsia="zh-CN"/>
              </w:rPr>
              <w:t>0.822 (0.812-0.832)</w:t>
            </w:r>
          </w:p>
        </w:tc>
        <w:tc>
          <w:tcPr>
            <w:tcW w:w="1242" w:type="dxa"/>
            <w:tcBorders>
              <w:top w:val="single" w:color="000000" w:sz="4" w:space="0"/>
              <w:left w:val="nil"/>
              <w:bottom w:val="single" w:color="000000" w:sz="4" w:space="0"/>
              <w:right w:val="nil"/>
            </w:tcBorders>
            <w:shd w:val="clear" w:color="auto" w:fill="FFFFFF"/>
            <w:noWrap/>
            <w:vAlign w:val="center"/>
          </w:tcPr>
          <w:p w14:paraId="7125B9F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532713C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85BD08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783948C">
            <w:pPr>
              <w:spacing w:line="240" w:lineRule="auto"/>
              <w:rPr>
                <w:rFonts w:hint="eastAsia"/>
                <w:b w:val="0"/>
                <w:color w:val="000000"/>
                <w:sz w:val="18"/>
                <w:szCs w:val="18"/>
                <w:lang w:val="en-US" w:eastAsia="zh-CN"/>
              </w:rPr>
            </w:pPr>
            <w:r>
              <w:rPr>
                <w:rFonts w:hint="eastAsia"/>
                <w:b w:val="0"/>
                <w:color w:val="000000"/>
                <w:sz w:val="18"/>
                <w:szCs w:val="18"/>
                <w:lang w:val="en-US" w:eastAsia="zh-CN"/>
              </w:rPr>
              <w:t>OSA</w:t>
            </w:r>
          </w:p>
        </w:tc>
        <w:tc>
          <w:tcPr>
            <w:tcW w:w="1315" w:type="dxa"/>
            <w:tcBorders>
              <w:top w:val="single" w:color="000000" w:sz="4" w:space="0"/>
              <w:left w:val="nil"/>
              <w:bottom w:val="single" w:color="000000" w:sz="4" w:space="0"/>
              <w:right w:val="nil"/>
            </w:tcBorders>
            <w:shd w:val="clear" w:color="auto" w:fill="FFFFFF"/>
            <w:noWrap/>
            <w:vAlign w:val="center"/>
          </w:tcPr>
          <w:p w14:paraId="5A8235D3">
            <w:pPr>
              <w:spacing w:line="240" w:lineRule="auto"/>
              <w:rPr>
                <w:rFonts w:hint="eastAsia"/>
                <w:b w:val="0"/>
                <w:color w:val="000000"/>
                <w:sz w:val="18"/>
                <w:szCs w:val="18"/>
                <w:lang w:val="en-US" w:eastAsia="zh-CN"/>
              </w:rPr>
            </w:pPr>
            <w:r>
              <w:rPr>
                <w:rFonts w:hint="eastAsia"/>
                <w:b w:val="0"/>
                <w:color w:val="000000"/>
                <w:sz w:val="18"/>
                <w:szCs w:val="18"/>
                <w:lang w:val="en-US" w:eastAsia="zh-CN"/>
              </w:rPr>
              <w:t>Zhu X,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PEVuZE5vdGU+PENpdGU+PEF1dGhvcj5aaHU8L0F1dGhvcj48WWVhcj4yMDI1PC9ZZWFyPjxSZWNO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(33)</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4162CAC">
            <w:pPr>
              <w:spacing w:line="240" w:lineRule="auto"/>
              <w:rPr>
                <w:rFonts w:hint="eastAsia"/>
                <w:b w:val="0"/>
                <w:color w:val="000000"/>
                <w:sz w:val="18"/>
                <w:szCs w:val="18"/>
                <w:lang w:val="en-US" w:eastAsia="zh-CN"/>
              </w:rPr>
            </w:pPr>
            <w:r>
              <w:rPr>
                <w:rFonts w:hint="eastAsia"/>
                <w:b w:val="0"/>
                <w:color w:val="000000"/>
                <w:sz w:val="18"/>
                <w:szCs w:val="18"/>
                <w:lang w:val="en-US" w:eastAsia="zh-CN"/>
              </w:rPr>
              <w:t>6</w:t>
            </w:r>
          </w:p>
        </w:tc>
        <w:tc>
          <w:tcPr>
            <w:tcW w:w="1122" w:type="dxa"/>
            <w:tcBorders>
              <w:top w:val="single" w:color="000000" w:sz="4" w:space="0"/>
              <w:left w:val="nil"/>
              <w:bottom w:val="single" w:color="000000" w:sz="4" w:space="0"/>
              <w:right w:val="nil"/>
            </w:tcBorders>
            <w:shd w:val="clear" w:color="auto" w:fill="FFFFFF"/>
            <w:noWrap/>
            <w:vAlign w:val="center"/>
          </w:tcPr>
          <w:p w14:paraId="6C360195">
            <w:pPr>
              <w:spacing w:line="240" w:lineRule="auto"/>
              <w:rPr>
                <w:rFonts w:hint="eastAsia"/>
                <w:b w:val="0"/>
                <w:color w:val="000000"/>
                <w:sz w:val="18"/>
                <w:szCs w:val="18"/>
                <w:lang w:val="en-US" w:eastAsia="zh-CN"/>
              </w:rPr>
            </w:pPr>
            <w:r>
              <w:rPr>
                <w:rFonts w:hint="eastAsia"/>
                <w:b w:val="0"/>
                <w:color w:val="000000"/>
                <w:sz w:val="18"/>
                <w:szCs w:val="18"/>
                <w:lang w:val="en-US" w:eastAsia="zh-CN"/>
              </w:rPr>
              <w:t>0.88 (0.82-0.94)</w:t>
            </w:r>
          </w:p>
        </w:tc>
        <w:tc>
          <w:tcPr>
            <w:tcW w:w="1122" w:type="dxa"/>
            <w:tcBorders>
              <w:top w:val="single" w:color="000000" w:sz="4" w:space="0"/>
              <w:left w:val="nil"/>
              <w:bottom w:val="single" w:color="000000" w:sz="4" w:space="0"/>
              <w:right w:val="nil"/>
            </w:tcBorders>
            <w:shd w:val="clear" w:color="auto" w:fill="FFFFFF"/>
            <w:noWrap/>
            <w:vAlign w:val="center"/>
          </w:tcPr>
          <w:p w14:paraId="151A60E9">
            <w:pPr>
              <w:spacing w:line="240" w:lineRule="auto"/>
              <w:rPr>
                <w:rFonts w:hint="eastAsia"/>
                <w:b w:val="0"/>
                <w:color w:val="000000"/>
                <w:sz w:val="18"/>
                <w:szCs w:val="18"/>
                <w:lang w:val="en-US" w:eastAsia="zh-CN"/>
              </w:rPr>
            </w:pPr>
            <w:r>
              <w:rPr>
                <w:rFonts w:hint="eastAsia"/>
                <w:b w:val="0"/>
                <w:color w:val="000000"/>
                <w:sz w:val="18"/>
                <w:szCs w:val="18"/>
                <w:lang w:val="en-US" w:eastAsia="zh-CN"/>
              </w:rPr>
              <w:t>93.00%</w:t>
            </w:r>
          </w:p>
        </w:tc>
        <w:tc>
          <w:tcPr>
            <w:tcW w:w="1123" w:type="dxa"/>
            <w:tcBorders>
              <w:top w:val="single" w:color="000000" w:sz="4" w:space="0"/>
              <w:left w:val="nil"/>
              <w:bottom w:val="single" w:color="000000" w:sz="4" w:space="0"/>
              <w:right w:val="nil"/>
            </w:tcBorders>
            <w:shd w:val="clear" w:color="auto" w:fill="FFFFFF"/>
            <w:noWrap/>
            <w:vAlign w:val="center"/>
          </w:tcPr>
          <w:p w14:paraId="56DCE60B">
            <w:pPr>
              <w:spacing w:line="240" w:lineRule="auto"/>
              <w:rPr>
                <w:rFonts w:hint="eastAsia"/>
                <w:b w:val="0"/>
                <w:color w:val="000000"/>
                <w:sz w:val="18"/>
                <w:szCs w:val="18"/>
                <w:lang w:val="en-US" w:eastAsia="zh-CN"/>
              </w:rPr>
            </w:pPr>
            <w:r>
              <w:rPr>
                <w:rFonts w:hint="eastAsia"/>
                <w:b w:val="0"/>
                <w:color w:val="000000"/>
                <w:sz w:val="18"/>
                <w:szCs w:val="18"/>
                <w:lang w:val="en-US" w:eastAsia="zh-CN"/>
              </w:rPr>
              <w:t>70.00%</w:t>
            </w:r>
          </w:p>
        </w:tc>
        <w:tc>
          <w:tcPr>
            <w:tcW w:w="784" w:type="dxa"/>
            <w:tcBorders>
              <w:top w:val="single" w:color="000000" w:sz="4" w:space="0"/>
              <w:left w:val="nil"/>
              <w:bottom w:val="single" w:color="000000" w:sz="4" w:space="0"/>
              <w:right w:val="nil"/>
            </w:tcBorders>
            <w:shd w:val="clear" w:color="auto" w:fill="FFFFFF"/>
            <w:noWrap/>
            <w:vAlign w:val="center"/>
          </w:tcPr>
          <w:p w14:paraId="2641F55A">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38018260">
            <w:pPr>
              <w:spacing w:line="240" w:lineRule="auto"/>
              <w:rPr>
                <w:rFonts w:hint="eastAsia"/>
                <w:b w:val="0"/>
                <w:color w:val="000000"/>
                <w:sz w:val="18"/>
                <w:szCs w:val="18"/>
                <w:lang w:val="en-US" w:eastAsia="zh-CN"/>
              </w:rPr>
            </w:pPr>
            <w:r>
              <w:rPr>
                <w:rFonts w:hint="eastAsia"/>
                <w:b w:val="0"/>
                <w:color w:val="000000"/>
                <w:sz w:val="18"/>
                <w:szCs w:val="18"/>
                <w:lang w:val="en-US" w:eastAsia="zh-CN"/>
              </w:rPr>
              <w:t>0.955</w:t>
            </w:r>
          </w:p>
        </w:tc>
        <w:tc>
          <w:tcPr>
            <w:tcW w:w="794" w:type="dxa"/>
            <w:tcBorders>
              <w:top w:val="single" w:color="000000" w:sz="4" w:space="0"/>
              <w:left w:val="nil"/>
              <w:bottom w:val="single" w:color="000000" w:sz="4" w:space="0"/>
              <w:right w:val="nil"/>
            </w:tcBorders>
            <w:shd w:val="clear" w:color="auto" w:fill="FFFFFF"/>
            <w:noWrap/>
            <w:vAlign w:val="center"/>
          </w:tcPr>
          <w:p w14:paraId="740253D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E3C7A1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22BDEC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C338503">
            <w:pPr>
              <w:spacing w:line="240" w:lineRule="auto"/>
              <w:rPr>
                <w:rFonts w:hint="eastAsia"/>
                <w:b w:val="0"/>
                <w:color w:val="000000"/>
                <w:sz w:val="18"/>
                <w:szCs w:val="18"/>
                <w:lang w:val="en-US" w:eastAsia="zh-CN"/>
              </w:rPr>
            </w:pPr>
            <w:r>
              <w:rPr>
                <w:rFonts w:hint="eastAsia"/>
                <w:b w:val="0"/>
                <w:color w:val="000000"/>
                <w:sz w:val="18"/>
                <w:szCs w:val="18"/>
                <w:lang w:val="en-US" w:eastAsia="zh-CN"/>
              </w:rPr>
              <w:t>0.87 (0.79–0.96)</w:t>
            </w:r>
          </w:p>
        </w:tc>
        <w:tc>
          <w:tcPr>
            <w:tcW w:w="1204" w:type="dxa"/>
            <w:tcBorders>
              <w:top w:val="single" w:color="000000" w:sz="4" w:space="0"/>
              <w:left w:val="nil"/>
              <w:bottom w:val="single" w:color="000000" w:sz="4" w:space="0"/>
              <w:right w:val="nil"/>
            </w:tcBorders>
            <w:shd w:val="clear" w:color="auto" w:fill="FFFFFF"/>
            <w:noWrap/>
            <w:vAlign w:val="center"/>
          </w:tcPr>
          <w:p w14:paraId="14304B8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DDCFD90">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2BF03E26">
            <w:pPr>
              <w:spacing w:line="240" w:lineRule="auto"/>
              <w:rPr>
                <w:rFonts w:hint="eastAsia"/>
                <w:b w:val="0"/>
                <w:color w:val="000000"/>
                <w:sz w:val="18"/>
                <w:szCs w:val="18"/>
                <w:lang w:val="en-US" w:eastAsia="zh-CN"/>
              </w:rPr>
            </w:pPr>
            <w:r>
              <w:rPr>
                <w:rFonts w:hint="eastAsia"/>
                <w:b w:val="0"/>
                <w:color w:val="000000"/>
                <w:sz w:val="18"/>
                <w:szCs w:val="18"/>
                <w:lang w:val="en-US" w:eastAsia="zh-CN"/>
              </w:rPr>
              <w:t>First-time ASCVD</w:t>
            </w:r>
          </w:p>
        </w:tc>
        <w:tc>
          <w:tcPr>
            <w:tcW w:w="1315" w:type="dxa"/>
            <w:tcBorders>
              <w:top w:val="single" w:color="000000" w:sz="4" w:space="0"/>
              <w:left w:val="nil"/>
              <w:bottom w:val="single" w:color="000000" w:sz="4" w:space="0"/>
              <w:right w:val="nil"/>
            </w:tcBorders>
            <w:shd w:val="clear" w:color="auto" w:fill="FFFFFF"/>
            <w:noWrap/>
            <w:vAlign w:val="center"/>
          </w:tcPr>
          <w:p w14:paraId="703034E9">
            <w:pPr>
              <w:spacing w:line="240" w:lineRule="auto"/>
              <w:rPr>
                <w:rFonts w:hint="eastAsia"/>
                <w:b w:val="0"/>
                <w:color w:val="000000"/>
                <w:sz w:val="18"/>
                <w:szCs w:val="18"/>
                <w:lang w:val="en-US" w:eastAsia="zh-CN"/>
              </w:rPr>
            </w:pPr>
            <w:r>
              <w:rPr>
                <w:rFonts w:hint="eastAsia"/>
                <w:b w:val="0"/>
                <w:color w:val="000000"/>
                <w:sz w:val="18"/>
                <w:szCs w:val="18"/>
                <w:lang w:val="en-US" w:eastAsia="zh-CN"/>
              </w:rPr>
              <w:t>Zhou Y,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PEVuZE5vdGU+PENpdGU+PEF1dGhvcj5aaG91PC9BdXRob3I+PFllYXI+MjAyNTwvWWVhcj48UmVj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(34)</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45BC8E75">
            <w:pPr>
              <w:spacing w:line="240" w:lineRule="auto"/>
              <w:rPr>
                <w:rFonts w:hint="eastAsia"/>
                <w:b w:val="0"/>
                <w:color w:val="000000"/>
                <w:sz w:val="18"/>
                <w:szCs w:val="18"/>
                <w:lang w:val="en-US" w:eastAsia="zh-CN"/>
              </w:rPr>
            </w:pPr>
            <w:r>
              <w:rPr>
                <w:rFonts w:hint="eastAsia"/>
                <w:b w:val="0"/>
                <w:color w:val="000000"/>
                <w:sz w:val="18"/>
                <w:szCs w:val="18"/>
                <w:lang w:val="en-US" w:eastAsia="zh-CN"/>
              </w:rPr>
              <w:t>7A</w:t>
            </w:r>
          </w:p>
        </w:tc>
        <w:tc>
          <w:tcPr>
            <w:tcW w:w="1122" w:type="dxa"/>
            <w:tcBorders>
              <w:top w:val="single" w:color="000000" w:sz="4" w:space="0"/>
              <w:left w:val="nil"/>
              <w:bottom w:val="single" w:color="000000" w:sz="4" w:space="0"/>
              <w:right w:val="nil"/>
            </w:tcBorders>
            <w:shd w:val="clear" w:color="auto" w:fill="FFFFFF"/>
            <w:noWrap/>
            <w:vAlign w:val="center"/>
          </w:tcPr>
          <w:p w14:paraId="30ED205D">
            <w:pPr>
              <w:spacing w:line="240" w:lineRule="auto"/>
              <w:rPr>
                <w:rFonts w:hint="eastAsia"/>
                <w:b w:val="0"/>
                <w:color w:val="000000"/>
                <w:sz w:val="18"/>
                <w:szCs w:val="18"/>
                <w:lang w:val="en-US" w:eastAsia="zh-CN"/>
              </w:rPr>
            </w:pPr>
            <w:r>
              <w:rPr>
                <w:rFonts w:hint="eastAsia"/>
                <w:b w:val="0"/>
                <w:color w:val="000000"/>
                <w:sz w:val="18"/>
                <w:szCs w:val="18"/>
                <w:lang w:val="en-US" w:eastAsia="zh-CN"/>
              </w:rPr>
              <w:t>0.758 (0.756-0.761)</w:t>
            </w:r>
          </w:p>
        </w:tc>
        <w:tc>
          <w:tcPr>
            <w:tcW w:w="1122" w:type="dxa"/>
            <w:tcBorders>
              <w:top w:val="single" w:color="000000" w:sz="4" w:space="0"/>
              <w:left w:val="nil"/>
              <w:bottom w:val="single" w:color="000000" w:sz="4" w:space="0"/>
              <w:right w:val="nil"/>
            </w:tcBorders>
            <w:shd w:val="clear" w:color="auto" w:fill="FFFFFF"/>
            <w:noWrap/>
            <w:vAlign w:val="center"/>
          </w:tcPr>
          <w:p w14:paraId="1BBE4E5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6E41F76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62A846FE">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2057E410">
            <w:pPr>
              <w:spacing w:line="240" w:lineRule="auto"/>
              <w:rPr>
                <w:rFonts w:hint="eastAsia"/>
                <w:b w:val="0"/>
                <w:color w:val="000000"/>
                <w:sz w:val="18"/>
                <w:szCs w:val="18"/>
                <w:lang w:val="en-US" w:eastAsia="zh-CN"/>
              </w:rPr>
            </w:pPr>
            <w:r>
              <w:rPr>
                <w:rFonts w:hint="eastAsia"/>
                <w:b w:val="0"/>
                <w:color w:val="000000"/>
                <w:sz w:val="18"/>
                <w:szCs w:val="18"/>
                <w:lang w:val="en-US" w:eastAsia="zh-CN"/>
              </w:rPr>
              <w:t>0.634</w:t>
            </w:r>
          </w:p>
        </w:tc>
        <w:tc>
          <w:tcPr>
            <w:tcW w:w="794" w:type="dxa"/>
            <w:tcBorders>
              <w:top w:val="single" w:color="000000" w:sz="4" w:space="0"/>
              <w:left w:val="nil"/>
              <w:bottom w:val="single" w:color="000000" w:sz="4" w:space="0"/>
              <w:right w:val="nil"/>
            </w:tcBorders>
            <w:shd w:val="clear" w:color="auto" w:fill="FFFFFF"/>
            <w:noWrap/>
            <w:vAlign w:val="center"/>
          </w:tcPr>
          <w:p w14:paraId="2BFBEDE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3BF8C3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6EC9799">
            <w:pPr>
              <w:spacing w:line="240" w:lineRule="auto"/>
              <w:rPr>
                <w:rFonts w:hint="eastAsia"/>
                <w:b w:val="0"/>
                <w:color w:val="000000"/>
                <w:sz w:val="18"/>
                <w:szCs w:val="18"/>
                <w:lang w:val="en-US" w:eastAsia="zh-CN"/>
              </w:rPr>
            </w:pPr>
            <w:r>
              <w:rPr>
                <w:rFonts w:hint="eastAsia"/>
                <w:b w:val="0"/>
                <w:color w:val="000000"/>
                <w:sz w:val="18"/>
                <w:szCs w:val="18"/>
                <w:lang w:val="en-US" w:eastAsia="zh-CN"/>
              </w:rPr>
              <w:t>0.735(95%CI NM)</w:t>
            </w:r>
          </w:p>
        </w:tc>
        <w:tc>
          <w:tcPr>
            <w:tcW w:w="1242" w:type="dxa"/>
            <w:tcBorders>
              <w:top w:val="single" w:color="000000" w:sz="4" w:space="0"/>
              <w:left w:val="nil"/>
              <w:bottom w:val="single" w:color="000000" w:sz="4" w:space="0"/>
              <w:right w:val="nil"/>
            </w:tcBorders>
            <w:shd w:val="clear" w:color="auto" w:fill="FFFFFF"/>
            <w:noWrap/>
            <w:vAlign w:val="center"/>
          </w:tcPr>
          <w:p w14:paraId="1317CDD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40367CAB">
            <w:pPr>
              <w:spacing w:line="240" w:lineRule="auto"/>
              <w:rPr>
                <w:rFonts w:hint="eastAsia"/>
                <w:b w:val="0"/>
                <w:color w:val="000000"/>
                <w:sz w:val="18"/>
                <w:szCs w:val="18"/>
                <w:lang w:val="en-US" w:eastAsia="zh-CN"/>
              </w:rPr>
            </w:pPr>
            <w:r>
              <w:rPr>
                <w:rFonts w:hint="eastAsia"/>
                <w:b w:val="0"/>
                <w:color w:val="000000"/>
                <w:sz w:val="18"/>
                <w:szCs w:val="18"/>
                <w:lang w:val="en-US" w:eastAsia="zh-CN"/>
              </w:rPr>
              <w:t>0.707(95%CI NR)</w:t>
            </w:r>
          </w:p>
        </w:tc>
      </w:tr>
      <w:tr w14:paraId="5A911DC9">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1A64A4C">
            <w:pPr>
              <w:spacing w:line="240" w:lineRule="auto"/>
              <w:rPr>
                <w:rFonts w:hint="eastAsia"/>
                <w:b w:val="0"/>
                <w:color w:val="000000"/>
                <w:sz w:val="18"/>
                <w:szCs w:val="18"/>
                <w:lang w:val="en-US" w:eastAsia="zh-CN"/>
              </w:rPr>
            </w:pPr>
            <w:r>
              <w:rPr>
                <w:rFonts w:hint="eastAsia"/>
                <w:b w:val="0"/>
                <w:color w:val="000000"/>
                <w:sz w:val="18"/>
                <w:szCs w:val="18"/>
                <w:lang w:val="en-US" w:eastAsia="zh-CN"/>
              </w:rPr>
              <w:t>First-time ASCVD</w:t>
            </w:r>
          </w:p>
        </w:tc>
        <w:tc>
          <w:tcPr>
            <w:tcW w:w="1315" w:type="dxa"/>
            <w:tcBorders>
              <w:top w:val="single" w:color="000000" w:sz="4" w:space="0"/>
              <w:left w:val="nil"/>
              <w:bottom w:val="single" w:color="000000" w:sz="4" w:space="0"/>
              <w:right w:val="nil"/>
            </w:tcBorders>
            <w:shd w:val="clear" w:color="auto" w:fill="FFFFFF"/>
            <w:noWrap/>
            <w:vAlign w:val="center"/>
          </w:tcPr>
          <w:p w14:paraId="77C036F2">
            <w:pPr>
              <w:spacing w:line="240" w:lineRule="auto"/>
              <w:rPr>
                <w:rFonts w:hint="eastAsia"/>
                <w:b w:val="0"/>
                <w:color w:val="000000"/>
                <w:sz w:val="18"/>
                <w:szCs w:val="18"/>
                <w:lang w:val="en-US" w:eastAsia="zh-CN"/>
              </w:rPr>
            </w:pPr>
            <w:r>
              <w:rPr>
                <w:rFonts w:hint="eastAsia"/>
                <w:b w:val="0"/>
                <w:color w:val="000000"/>
                <w:sz w:val="18"/>
                <w:szCs w:val="18"/>
                <w:lang w:val="en-US" w:eastAsia="zh-CN"/>
              </w:rPr>
              <w:t>Zhou Y,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PEVuZE5vdGU+PENpdGU+PEF1dGhvcj5aaG91PC9BdXRob3I+PFllYXI+MjAyNTwvWWVhcj48UmVj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(34)</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E7549D6">
            <w:pPr>
              <w:spacing w:line="240" w:lineRule="auto"/>
              <w:rPr>
                <w:rFonts w:hint="eastAsia"/>
                <w:b w:val="0"/>
                <w:color w:val="000000"/>
                <w:sz w:val="18"/>
                <w:szCs w:val="18"/>
                <w:lang w:val="en-US" w:eastAsia="zh-CN"/>
              </w:rPr>
            </w:pPr>
            <w:r>
              <w:rPr>
                <w:rFonts w:hint="eastAsia"/>
                <w:b w:val="0"/>
                <w:color w:val="000000"/>
                <w:sz w:val="18"/>
                <w:szCs w:val="18"/>
                <w:lang w:val="en-US" w:eastAsia="zh-CN"/>
              </w:rPr>
              <w:t>7B</w:t>
            </w:r>
          </w:p>
        </w:tc>
        <w:tc>
          <w:tcPr>
            <w:tcW w:w="1122" w:type="dxa"/>
            <w:tcBorders>
              <w:top w:val="single" w:color="000000" w:sz="4" w:space="0"/>
              <w:left w:val="nil"/>
              <w:bottom w:val="single" w:color="000000" w:sz="4" w:space="0"/>
              <w:right w:val="nil"/>
            </w:tcBorders>
            <w:shd w:val="clear" w:color="auto" w:fill="FFFFFF"/>
            <w:noWrap/>
            <w:vAlign w:val="center"/>
          </w:tcPr>
          <w:p w14:paraId="7CA51741">
            <w:pPr>
              <w:spacing w:line="240" w:lineRule="auto"/>
              <w:rPr>
                <w:rFonts w:hint="eastAsia"/>
                <w:b w:val="0"/>
                <w:color w:val="000000"/>
                <w:sz w:val="18"/>
                <w:szCs w:val="18"/>
                <w:lang w:val="en-US" w:eastAsia="zh-CN"/>
              </w:rPr>
            </w:pPr>
            <w:r>
              <w:rPr>
                <w:rFonts w:hint="eastAsia"/>
                <w:b w:val="0"/>
                <w:color w:val="000000"/>
                <w:sz w:val="18"/>
                <w:szCs w:val="18"/>
                <w:lang w:val="en-US" w:eastAsia="zh-CN"/>
              </w:rPr>
              <w:t>0.817 (0.815-0.818)</w:t>
            </w:r>
          </w:p>
        </w:tc>
        <w:tc>
          <w:tcPr>
            <w:tcW w:w="1122" w:type="dxa"/>
            <w:tcBorders>
              <w:top w:val="single" w:color="000000" w:sz="4" w:space="0"/>
              <w:left w:val="nil"/>
              <w:bottom w:val="single" w:color="000000" w:sz="4" w:space="0"/>
              <w:right w:val="nil"/>
            </w:tcBorders>
            <w:shd w:val="clear" w:color="auto" w:fill="FFFFFF"/>
            <w:noWrap/>
            <w:vAlign w:val="center"/>
          </w:tcPr>
          <w:p w14:paraId="293B97B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3197BB9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2786DB2B">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6CFEB81C">
            <w:pPr>
              <w:spacing w:line="240" w:lineRule="auto"/>
              <w:rPr>
                <w:rFonts w:hint="eastAsia"/>
                <w:b w:val="0"/>
                <w:color w:val="000000"/>
                <w:sz w:val="18"/>
                <w:szCs w:val="18"/>
                <w:lang w:val="en-US" w:eastAsia="zh-CN"/>
              </w:rPr>
            </w:pPr>
            <w:r>
              <w:rPr>
                <w:rFonts w:hint="eastAsia"/>
                <w:b w:val="0"/>
                <w:color w:val="000000"/>
                <w:sz w:val="18"/>
                <w:szCs w:val="18"/>
                <w:lang w:val="en-US" w:eastAsia="zh-CN"/>
              </w:rPr>
              <w:t>0.857</w:t>
            </w:r>
          </w:p>
        </w:tc>
        <w:tc>
          <w:tcPr>
            <w:tcW w:w="794" w:type="dxa"/>
            <w:tcBorders>
              <w:top w:val="single" w:color="000000" w:sz="4" w:space="0"/>
              <w:left w:val="nil"/>
              <w:bottom w:val="single" w:color="000000" w:sz="4" w:space="0"/>
              <w:right w:val="nil"/>
            </w:tcBorders>
            <w:shd w:val="clear" w:color="auto" w:fill="FFFFFF"/>
            <w:noWrap/>
            <w:vAlign w:val="center"/>
          </w:tcPr>
          <w:p w14:paraId="6E4D941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824E23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91813E7">
            <w:pPr>
              <w:spacing w:line="240" w:lineRule="auto"/>
              <w:rPr>
                <w:rFonts w:hint="eastAsia"/>
                <w:b w:val="0"/>
                <w:color w:val="000000"/>
                <w:sz w:val="18"/>
                <w:szCs w:val="18"/>
                <w:lang w:val="en-US" w:eastAsia="zh-CN"/>
              </w:rPr>
            </w:pPr>
            <w:r>
              <w:rPr>
                <w:rFonts w:hint="eastAsia"/>
                <w:b w:val="0"/>
                <w:color w:val="000000"/>
                <w:sz w:val="18"/>
                <w:szCs w:val="18"/>
                <w:lang w:val="en-US" w:eastAsia="zh-CN"/>
              </w:rPr>
              <w:t>0.799(95%CI NM)</w:t>
            </w:r>
          </w:p>
        </w:tc>
        <w:tc>
          <w:tcPr>
            <w:tcW w:w="1242" w:type="dxa"/>
            <w:tcBorders>
              <w:top w:val="single" w:color="000000" w:sz="4" w:space="0"/>
              <w:left w:val="nil"/>
              <w:bottom w:val="single" w:color="000000" w:sz="4" w:space="0"/>
              <w:right w:val="nil"/>
            </w:tcBorders>
            <w:shd w:val="clear" w:color="auto" w:fill="FFFFFF"/>
            <w:noWrap/>
            <w:vAlign w:val="center"/>
          </w:tcPr>
          <w:p w14:paraId="4F386FC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3FBC738E">
            <w:pPr>
              <w:spacing w:line="240" w:lineRule="auto"/>
              <w:rPr>
                <w:rFonts w:hint="eastAsia"/>
                <w:b w:val="0"/>
                <w:color w:val="000000"/>
                <w:sz w:val="18"/>
                <w:szCs w:val="18"/>
                <w:lang w:val="en-US" w:eastAsia="zh-CN"/>
              </w:rPr>
            </w:pPr>
            <w:r>
              <w:rPr>
                <w:rFonts w:hint="eastAsia"/>
                <w:b w:val="0"/>
                <w:color w:val="000000"/>
                <w:sz w:val="18"/>
                <w:szCs w:val="18"/>
                <w:lang w:val="en-US" w:eastAsia="zh-CN"/>
              </w:rPr>
              <w:t>0.734(95%CI NR)</w:t>
            </w:r>
          </w:p>
        </w:tc>
      </w:tr>
      <w:tr w14:paraId="2C5B073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EB80BE2">
            <w:pPr>
              <w:spacing w:line="240" w:lineRule="auto"/>
              <w:rPr>
                <w:rFonts w:hint="eastAsia"/>
                <w:b w:val="0"/>
                <w:color w:val="000000"/>
                <w:sz w:val="18"/>
                <w:szCs w:val="18"/>
                <w:lang w:val="en-US" w:eastAsia="zh-CN"/>
              </w:rPr>
            </w:pPr>
            <w:r>
              <w:rPr>
                <w:rFonts w:hint="eastAsia"/>
                <w:b w:val="0"/>
                <w:color w:val="000000"/>
                <w:sz w:val="18"/>
                <w:szCs w:val="18"/>
                <w:lang w:val="en-US" w:eastAsia="zh-CN"/>
              </w:rPr>
              <w:t>Systemic Thromboembolism</w:t>
            </w:r>
          </w:p>
        </w:tc>
        <w:tc>
          <w:tcPr>
            <w:tcW w:w="1315" w:type="dxa"/>
            <w:tcBorders>
              <w:top w:val="single" w:color="000000" w:sz="4" w:space="0"/>
              <w:left w:val="nil"/>
              <w:bottom w:val="single" w:color="000000" w:sz="4" w:space="0"/>
              <w:right w:val="nil"/>
            </w:tcBorders>
            <w:shd w:val="clear" w:color="auto" w:fill="FFFFFF"/>
            <w:noWrap/>
            <w:vAlign w:val="center"/>
          </w:tcPr>
          <w:p w14:paraId="309966B3">
            <w:pPr>
              <w:spacing w:line="240" w:lineRule="auto"/>
              <w:rPr>
                <w:rFonts w:hint="eastAsia"/>
                <w:b w:val="0"/>
                <w:color w:val="000000"/>
                <w:sz w:val="18"/>
                <w:szCs w:val="18"/>
                <w:lang w:val="en-US" w:eastAsia="zh-CN"/>
              </w:rPr>
            </w:pPr>
            <w:r>
              <w:rPr>
                <w:rFonts w:hint="eastAsia"/>
                <w:b w:val="0"/>
                <w:color w:val="000000"/>
                <w:sz w:val="18"/>
                <w:szCs w:val="18"/>
                <w:lang w:val="en-US" w:eastAsia="zh-CN"/>
              </w:rPr>
              <w:t>Yu M,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&lt;EndNote&gt;&lt;Cite&gt;&lt;Author&gt;Yu&lt;/Author&gt;&lt;Year&gt;2024&lt;/Year&gt;&lt;RecNum&gt;540&lt;/RecNum&gt;&lt;DisplayText&gt;(35)&lt;/DisplayText&gt;&lt;record&gt;&lt;rec-number&gt;540&lt;/rec-number&gt;&lt;foreign-keys&gt;&lt;key app="EN" db-id="earspdaa1vazprerafqvx9tx5pvfaxf9awz0" timestamp="1775312456"&gt;540&lt;/key&gt;&lt;/foreign-keys&gt;&lt;ref-type name="期刊文献"&gt;17&lt;/ref-type&gt;&lt;contributors&gt;&lt;authors&gt;&lt;author&gt;Yu, M.&lt;/author&gt;&lt;author&gt;Li, X.&lt;/author&gt;&lt;author&gt;Zong, L.&lt;/author&gt;&lt;author&gt;Wang, Z.&lt;/author&gt;&lt;author&gt;Lv, Q.&lt;/author&gt;&lt;/authors&gt;&lt;/contributors&gt;&lt;auth-address&gt;Department of Pharmacy, Zhongshan Hospital, Fudan University, Shanghai, China.&lt;/auth-address&gt;&lt;titles&gt;&lt;title&gt;A Novel Body Mass Index-Based Thromboembolic Risk Score for Overweight Patients with Nonvalvular Atrial Fibrillation&lt;/title&gt;&lt;secondary-title&gt;Anatol J Cardiol&lt;/secondary-title&gt;&lt;/titles&gt;&lt;periodical&gt;&lt;full-title&gt;Anatol J Cardiol&lt;/full-title&gt;&lt;/periodical&gt;&lt;pages&gt;35-43&lt;/pages&gt;&lt;volume&gt;28&lt;/volume&gt;&lt;number&gt;1&lt;/number&gt;&lt;edition&gt;20231114&lt;/edition&gt;&lt;keywords&gt;&lt;keyword&gt;Humans&lt;/keyword&gt;&lt;keyword&gt;*Atrial Fibrillation/complications&lt;/keyword&gt;&lt;keyword&gt;Body Mass Index&lt;/keyword&gt;&lt;keyword&gt;Retrospective Studies&lt;/keyword&gt;&lt;keyword&gt;Overweight/complications&lt;/keyword&gt;&lt;keyword&gt;Risk Factors&lt;/keyword&gt;&lt;keyword&gt;*Thromboembolism/etiology&lt;/keyword&gt;&lt;keyword&gt;*Thrombosis&lt;/keyword&gt;&lt;keyword&gt;Risk Assessment/methods&lt;/keyword&gt;&lt;keyword&gt;*Stroke&lt;/keyword&gt;&lt;/keywords&gt;&lt;dates&gt;&lt;year&gt;2024&lt;/year&gt;&lt;pub-dates&gt;&lt;date&gt;Jan 2&lt;/date&gt;&lt;/pub-dates&gt;&lt;/dates&gt;&lt;isbn&gt;2149-2263 (Print)&amp;#xD;2149-2263&lt;/isbn&gt;&lt;accession-num&gt;37961898&lt;/accession-num&gt;&lt;urls&gt;&lt;/urls&gt;&lt;custom1&gt;Declaration of Interests: The authors have no conflict of interest to declare.&lt;/custom1&gt;&lt;custom2&gt;PMC10796238&lt;/custom2&gt;&lt;electronic-resource-num&gt;10.14744/AnatolJCardiol.2023.3373&lt;/electronic-resource-num&gt;&lt;remote-database-provider&gt;NLM&lt;/remote-database-provider&gt;&lt;language&gt;eng&lt;/language&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(35)</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A3E037F">
            <w:pPr>
              <w:spacing w:line="240" w:lineRule="auto"/>
              <w:rPr>
                <w:rFonts w:hint="eastAsia"/>
                <w:b w:val="0"/>
                <w:color w:val="000000"/>
                <w:sz w:val="18"/>
                <w:szCs w:val="18"/>
                <w:lang w:val="en-US" w:eastAsia="zh-CN"/>
              </w:rPr>
            </w:pPr>
            <w:r>
              <w:rPr>
                <w:rFonts w:hint="eastAsia"/>
                <w:b w:val="0"/>
                <w:color w:val="000000"/>
                <w:sz w:val="18"/>
                <w:szCs w:val="18"/>
                <w:lang w:val="en-US" w:eastAsia="zh-CN"/>
              </w:rPr>
              <w:t>8A</w:t>
            </w:r>
          </w:p>
        </w:tc>
        <w:tc>
          <w:tcPr>
            <w:tcW w:w="1122" w:type="dxa"/>
            <w:tcBorders>
              <w:top w:val="single" w:color="000000" w:sz="4" w:space="0"/>
              <w:left w:val="nil"/>
              <w:bottom w:val="single" w:color="000000" w:sz="4" w:space="0"/>
              <w:right w:val="nil"/>
            </w:tcBorders>
            <w:shd w:val="clear" w:color="auto" w:fill="FFFFFF"/>
            <w:noWrap/>
            <w:vAlign w:val="center"/>
          </w:tcPr>
          <w:p w14:paraId="6D5A9A9B">
            <w:pPr>
              <w:spacing w:line="240" w:lineRule="auto"/>
              <w:rPr>
                <w:rFonts w:hint="eastAsia"/>
                <w:b w:val="0"/>
                <w:color w:val="000000"/>
                <w:sz w:val="18"/>
                <w:szCs w:val="18"/>
                <w:lang w:val="en-US" w:eastAsia="zh-CN"/>
              </w:rPr>
            </w:pPr>
            <w:r>
              <w:rPr>
                <w:rFonts w:hint="eastAsia"/>
                <w:b w:val="0"/>
                <w:color w:val="000000"/>
                <w:sz w:val="18"/>
                <w:szCs w:val="18"/>
                <w:lang w:val="en-US" w:eastAsia="zh-CN"/>
              </w:rPr>
              <w:t>0.885(0.815-0.955)</w:t>
            </w:r>
          </w:p>
        </w:tc>
        <w:tc>
          <w:tcPr>
            <w:tcW w:w="1122" w:type="dxa"/>
            <w:tcBorders>
              <w:top w:val="single" w:color="000000" w:sz="4" w:space="0"/>
              <w:left w:val="nil"/>
              <w:bottom w:val="single" w:color="000000" w:sz="4" w:space="0"/>
              <w:right w:val="nil"/>
            </w:tcBorders>
            <w:shd w:val="clear" w:color="auto" w:fill="FFFFFF"/>
            <w:noWrap/>
            <w:vAlign w:val="center"/>
          </w:tcPr>
          <w:p w14:paraId="3305BAF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5E541DE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683FFEC8">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517C5B4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734A448C">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2E74E415">
            <w:pPr>
              <w:spacing w:line="240" w:lineRule="auto"/>
              <w:rPr>
                <w:rFonts w:hint="eastAsia"/>
                <w:b w:val="0"/>
                <w:color w:val="000000"/>
                <w:sz w:val="18"/>
                <w:szCs w:val="18"/>
                <w:lang w:val="en-US" w:eastAsia="zh-CN"/>
              </w:rPr>
            </w:pPr>
            <w:r>
              <w:rPr>
                <w:rFonts w:hint="eastAsia"/>
                <w:b w:val="0"/>
                <w:color w:val="000000"/>
                <w:sz w:val="18"/>
                <w:szCs w:val="18"/>
                <w:lang w:val="en-US" w:eastAsia="zh-CN"/>
              </w:rPr>
              <w:t>0.885(0.814-0.954)</w:t>
            </w:r>
          </w:p>
        </w:tc>
        <w:tc>
          <w:tcPr>
            <w:tcW w:w="1242" w:type="dxa"/>
            <w:tcBorders>
              <w:top w:val="single" w:color="000000" w:sz="4" w:space="0"/>
              <w:left w:val="nil"/>
              <w:bottom w:val="single" w:color="000000" w:sz="4" w:space="0"/>
              <w:right w:val="nil"/>
            </w:tcBorders>
            <w:shd w:val="clear" w:color="auto" w:fill="FFFFFF"/>
            <w:noWrap/>
            <w:vAlign w:val="center"/>
          </w:tcPr>
          <w:p w14:paraId="1B1E7A8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34822F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61E679B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7611AE6">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D1C85F6">
            <w:pPr>
              <w:spacing w:line="240" w:lineRule="auto"/>
              <w:rPr>
                <w:rFonts w:hint="eastAsia"/>
                <w:b w:val="0"/>
                <w:color w:val="000000"/>
                <w:sz w:val="18"/>
                <w:szCs w:val="18"/>
                <w:lang w:val="en-US" w:eastAsia="zh-CN"/>
              </w:rPr>
            </w:pPr>
            <w:r>
              <w:rPr>
                <w:rFonts w:hint="eastAsia"/>
                <w:b w:val="0"/>
                <w:color w:val="000000"/>
                <w:sz w:val="18"/>
                <w:szCs w:val="18"/>
                <w:lang w:val="en-US" w:eastAsia="zh-CN"/>
              </w:rPr>
              <w:t>Systemic Thromboembolism</w:t>
            </w:r>
          </w:p>
        </w:tc>
        <w:tc>
          <w:tcPr>
            <w:tcW w:w="1315" w:type="dxa"/>
            <w:tcBorders>
              <w:top w:val="single" w:color="000000" w:sz="4" w:space="0"/>
              <w:left w:val="nil"/>
              <w:bottom w:val="single" w:color="000000" w:sz="4" w:space="0"/>
              <w:right w:val="nil"/>
            </w:tcBorders>
            <w:shd w:val="clear" w:color="auto" w:fill="FFFFFF"/>
            <w:noWrap/>
            <w:vAlign w:val="center"/>
          </w:tcPr>
          <w:p w14:paraId="02468E77">
            <w:pPr>
              <w:spacing w:line="240" w:lineRule="auto"/>
              <w:rPr>
                <w:rFonts w:hint="eastAsia"/>
                <w:b w:val="0"/>
                <w:color w:val="000000"/>
                <w:sz w:val="18"/>
                <w:szCs w:val="18"/>
                <w:lang w:val="en-US" w:eastAsia="zh-CN"/>
              </w:rPr>
            </w:pPr>
            <w:r>
              <w:rPr>
                <w:rFonts w:hint="eastAsia"/>
                <w:b w:val="0"/>
                <w:color w:val="000000"/>
                <w:sz w:val="18"/>
                <w:szCs w:val="18"/>
                <w:lang w:val="en-US" w:eastAsia="zh-CN"/>
              </w:rPr>
              <w:t>Yu M,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&lt;EndNote&gt;&lt;Cite&gt;&lt;Author&gt;Yu&lt;/Author&gt;&lt;Year&gt;2024&lt;/Year&gt;&lt;RecNum&gt;540&lt;/RecNum&gt;&lt;DisplayText&gt;(35)&lt;/DisplayText&gt;&lt;record&gt;&lt;rec-number&gt;540&lt;/rec-number&gt;&lt;foreign-keys&gt;&lt;key app="EN" db-id="earspdaa1vazprerafqvx9tx5pvfaxf9awz0" timestamp="1775312456"&gt;540&lt;/key&gt;&lt;/foreign-keys&gt;&lt;ref-type name="期刊文献"&gt;17&lt;/ref-type&gt;&lt;contributors&gt;&lt;authors&gt;&lt;author&gt;Yu, M.&lt;/author&gt;&lt;author&gt;Li, X.&lt;/author&gt;&lt;author&gt;Zong, L.&lt;/author&gt;&lt;author&gt;Wang, Z.&lt;/author&gt;&lt;author&gt;Lv, Q.&lt;/author&gt;&lt;/authors&gt;&lt;/contributors&gt;&lt;auth-address&gt;Department of Pharmacy, Zhongshan Hospital, Fudan University, Shanghai, China.&lt;/auth-address&gt;&lt;titles&gt;&lt;title&gt;A Novel Body Mass Index-Based Thromboembolic Risk Score for Overweight Patients with Nonvalvular Atrial Fibrillation&lt;/title&gt;&lt;secondary-title&gt;Anatol J Cardiol&lt;/secondary-title&gt;&lt;/titles&gt;&lt;periodical&gt;&lt;full-title&gt;Anatol J Cardiol&lt;/full-title&gt;&lt;/periodical&gt;&lt;pages&gt;35-43&lt;/pages&gt;&lt;volume&gt;28&lt;/volume&gt;&lt;number&gt;1&lt;/number&gt;&lt;edition&gt;20231114&lt;/edition&gt;&lt;keywords&gt;&lt;keyword&gt;Humans&lt;/keyword&gt;&lt;keyword&gt;*Atrial Fibrillation/complications&lt;/keyword&gt;&lt;keyword&gt;Body Mass Index&lt;/keyword&gt;&lt;keyword&gt;Retrospective Studies&lt;/keyword&gt;&lt;keyword&gt;Overweight/complications&lt;/keyword&gt;&lt;keyword&gt;Risk Factors&lt;/keyword&gt;&lt;keyword&gt;*Thromboembolism/etiology&lt;/keyword&gt;&lt;keyword&gt;*Thrombosis&lt;/keyword&gt;&lt;keyword&gt;Risk Assessment/methods&lt;/keyword&gt;&lt;keyword&gt;*Stroke&lt;/keyword&gt;&lt;/keywords&gt;&lt;dates&gt;&lt;year&gt;2024&lt;/year&gt;&lt;pub-dates&gt;&lt;date&gt;Jan 2&lt;/date&gt;&lt;/pub-dates&gt;&lt;/dates&gt;&lt;isbn&gt;2149-2263 (Print)&amp;#xD;2149-2263&lt;/isbn&gt;&lt;accession-num&gt;37961898&lt;/accession-num&gt;&lt;urls&gt;&lt;/urls&gt;&lt;custom1&gt;Declaration of Interests: The authors have no conflict of interest to declare.&lt;/custom1&gt;&lt;custom2&gt;PMC10796238&lt;/custom2&gt;&lt;electronic-resource-num&gt;10.14744/AnatolJCardiol.2023.3373&lt;/electronic-resource-num&gt;&lt;remote-database-provider&gt;NLM&lt;/remote-database-provider&gt;&lt;language&gt;eng&lt;/language&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(35)</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031043D7">
            <w:pPr>
              <w:spacing w:line="240" w:lineRule="auto"/>
              <w:rPr>
                <w:rFonts w:hint="eastAsia"/>
                <w:b w:val="0"/>
                <w:color w:val="000000"/>
                <w:sz w:val="18"/>
                <w:szCs w:val="18"/>
                <w:lang w:val="en-US" w:eastAsia="zh-CN"/>
              </w:rPr>
            </w:pPr>
            <w:r>
              <w:rPr>
                <w:rFonts w:hint="eastAsia"/>
                <w:b w:val="0"/>
                <w:color w:val="000000"/>
                <w:sz w:val="18"/>
                <w:szCs w:val="18"/>
                <w:lang w:val="en-US" w:eastAsia="zh-CN"/>
              </w:rPr>
              <w:t>8B</w:t>
            </w:r>
          </w:p>
        </w:tc>
        <w:tc>
          <w:tcPr>
            <w:tcW w:w="1122" w:type="dxa"/>
            <w:tcBorders>
              <w:top w:val="single" w:color="000000" w:sz="4" w:space="0"/>
              <w:left w:val="nil"/>
              <w:bottom w:val="single" w:color="000000" w:sz="4" w:space="0"/>
              <w:right w:val="nil"/>
            </w:tcBorders>
            <w:shd w:val="clear" w:color="auto" w:fill="FFFFFF"/>
            <w:noWrap/>
            <w:vAlign w:val="center"/>
          </w:tcPr>
          <w:p w14:paraId="470B2B46">
            <w:pPr>
              <w:spacing w:line="240" w:lineRule="auto"/>
              <w:rPr>
                <w:rFonts w:hint="eastAsia"/>
                <w:b w:val="0"/>
                <w:color w:val="000000"/>
                <w:sz w:val="18"/>
                <w:szCs w:val="18"/>
                <w:lang w:val="en-US" w:eastAsia="zh-CN"/>
              </w:rPr>
            </w:pPr>
            <w:r>
              <w:rPr>
                <w:rFonts w:hint="eastAsia"/>
                <w:b w:val="0"/>
                <w:color w:val="000000"/>
                <w:sz w:val="18"/>
                <w:szCs w:val="18"/>
                <w:lang w:val="en-US" w:eastAsia="zh-CN"/>
              </w:rPr>
              <w:t>0.885(0.815-0.955)</w:t>
            </w:r>
          </w:p>
        </w:tc>
        <w:tc>
          <w:tcPr>
            <w:tcW w:w="1122" w:type="dxa"/>
            <w:tcBorders>
              <w:top w:val="single" w:color="000000" w:sz="4" w:space="0"/>
              <w:left w:val="nil"/>
              <w:bottom w:val="single" w:color="000000" w:sz="4" w:space="0"/>
              <w:right w:val="nil"/>
            </w:tcBorders>
            <w:shd w:val="clear" w:color="auto" w:fill="FFFFFF"/>
            <w:noWrap/>
            <w:vAlign w:val="center"/>
          </w:tcPr>
          <w:p w14:paraId="2678F9E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045A584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1A6ADC4A">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1414E03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7CFD4DD0">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500E6115">
            <w:pPr>
              <w:spacing w:line="240" w:lineRule="auto"/>
              <w:rPr>
                <w:rFonts w:hint="eastAsia"/>
                <w:b w:val="0"/>
                <w:color w:val="000000"/>
                <w:sz w:val="18"/>
                <w:szCs w:val="18"/>
                <w:lang w:val="en-US" w:eastAsia="zh-CN"/>
              </w:rPr>
            </w:pPr>
            <w:r>
              <w:rPr>
                <w:rFonts w:hint="eastAsia"/>
                <w:b w:val="0"/>
                <w:color w:val="000000"/>
                <w:sz w:val="18"/>
                <w:szCs w:val="18"/>
                <w:lang w:val="en-US" w:eastAsia="zh-CN"/>
              </w:rPr>
              <w:t>0.885(0.814-0.954)</w:t>
            </w:r>
          </w:p>
        </w:tc>
        <w:tc>
          <w:tcPr>
            <w:tcW w:w="1242" w:type="dxa"/>
            <w:tcBorders>
              <w:top w:val="single" w:color="000000" w:sz="4" w:space="0"/>
              <w:left w:val="nil"/>
              <w:bottom w:val="single" w:color="000000" w:sz="4" w:space="0"/>
              <w:right w:val="nil"/>
            </w:tcBorders>
            <w:shd w:val="clear" w:color="auto" w:fill="FFFFFF"/>
            <w:noWrap/>
            <w:vAlign w:val="center"/>
          </w:tcPr>
          <w:p w14:paraId="2E319F8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230CE9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3FE7A9F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7D3EEA2">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27782A6A">
            <w:pPr>
              <w:spacing w:line="240" w:lineRule="auto"/>
              <w:rPr>
                <w:rFonts w:hint="eastAsia"/>
                <w:b w:val="0"/>
                <w:color w:val="000000"/>
                <w:sz w:val="18"/>
                <w:szCs w:val="18"/>
                <w:lang w:val="en-US" w:eastAsia="zh-CN"/>
              </w:rPr>
            </w:pPr>
            <w:r>
              <w:rPr>
                <w:rFonts w:hint="eastAsia"/>
                <w:b w:val="0"/>
                <w:color w:val="000000"/>
                <w:sz w:val="18"/>
                <w:szCs w:val="18"/>
                <w:lang w:val="en-US" w:eastAsia="zh-CN"/>
              </w:rPr>
              <w:t>Hyperuricemia</w:t>
            </w:r>
          </w:p>
        </w:tc>
        <w:tc>
          <w:tcPr>
            <w:tcW w:w="1315" w:type="dxa"/>
            <w:tcBorders>
              <w:top w:val="single" w:color="000000" w:sz="4" w:space="0"/>
              <w:left w:val="nil"/>
              <w:bottom w:val="single" w:color="000000" w:sz="4" w:space="0"/>
              <w:right w:val="nil"/>
            </w:tcBorders>
            <w:shd w:val="clear" w:color="auto" w:fill="FFFFFF"/>
            <w:noWrap/>
            <w:vAlign w:val="center"/>
          </w:tcPr>
          <w:p w14:paraId="2AD6692B">
            <w:pPr>
              <w:spacing w:line="240" w:lineRule="auto"/>
              <w:rPr>
                <w:rFonts w:hint="eastAsia"/>
                <w:b w:val="0"/>
                <w:color w:val="000000"/>
                <w:sz w:val="18"/>
                <w:szCs w:val="18"/>
                <w:lang w:val="en-US" w:eastAsia="zh-CN"/>
              </w:rPr>
            </w:pPr>
            <w:r>
              <w:rPr>
                <w:rFonts w:hint="eastAsia"/>
                <w:b w:val="0"/>
                <w:color w:val="000000"/>
                <w:sz w:val="18"/>
                <w:szCs w:val="18"/>
                <w:lang w:val="en-US" w:eastAsia="zh-CN"/>
              </w:rPr>
              <w:t>Jing J,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&lt;EndNote&gt;&lt;Cite&gt;&lt;Author&gt;JING Jianying&lt;/Author&gt;&lt;Year&gt;2024&lt;/Year&gt;&lt;RecNum&gt;532&lt;/RecNum&gt;&lt;DisplayText&gt;(36)&lt;/DisplayText&gt;&lt;record&gt;&lt;rec-number&gt;532&lt;/rec-number&gt;&lt;foreign-keys&gt;&lt;key app="EN" db-id="earspdaa1vazprerafqvx9tx5pvfaxf9awz0" timestamp="1775309810"&gt;532&lt;/key&gt;&lt;/foreign-keys&gt;&lt;ref-type name="期刊文献"&gt;17&lt;/ref-type&gt;&lt;contributors&gt;&lt;authors&gt;&lt;author&gt;JING Jianying, XIAO Ningting, GUO Xuemei, JING Xueming, XIE Rong, HE Yonglong&lt;/author&gt;&lt;/authors&gt;&lt;/contributors&gt;&lt;titles&gt;&lt;title&gt;Prediction and evaluation of nomogram model on risk of hyperuricemia in overweight and obese children and adolescents&lt;/title&gt;&lt;secondary-title&gt;Chongqing Medical Journal&lt;/secondary-title&gt;&lt;/titles&gt;&lt;periodical&gt;&lt;full-title&gt;Chongqing Medical Journal&lt;/full-title&gt;&lt;/periodical&gt;&lt;pages&gt;220-225&lt;/pages&gt;&lt;volume&gt;53&lt;/volume&gt;&lt;number&gt;2&lt;/number&gt;&lt;section&gt;220&lt;/section&gt;&lt;dates&gt;&lt;year&gt;2024&lt;/year&gt;&lt;/dates&gt;&lt;urls&gt;&lt;/urls&gt;&lt;electronic-resource-num&gt;DOI: 10.3969/j.issn.1671-8348.2024.02.012&lt;/electronic-resource-num&gt;&lt;/record&gt;&lt;/Cite&gt;&lt;/EndNote&gt;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(36)</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678F91B">
            <w:pPr>
              <w:spacing w:line="240" w:lineRule="auto"/>
              <w:rPr>
                <w:rFonts w:hint="eastAsia"/>
                <w:b w:val="0"/>
                <w:color w:val="000000"/>
                <w:sz w:val="18"/>
                <w:szCs w:val="18"/>
                <w:lang w:val="en-US" w:eastAsia="zh-CN"/>
              </w:rPr>
            </w:pPr>
            <w:r>
              <w:rPr>
                <w:rFonts w:hint="eastAsia"/>
                <w:b w:val="0"/>
                <w:color w:val="000000"/>
                <w:sz w:val="18"/>
                <w:szCs w:val="18"/>
                <w:lang w:val="en-US" w:eastAsia="zh-CN"/>
              </w:rPr>
              <w:t>9</w:t>
            </w:r>
          </w:p>
        </w:tc>
        <w:tc>
          <w:tcPr>
            <w:tcW w:w="1122" w:type="dxa"/>
            <w:tcBorders>
              <w:top w:val="single" w:color="000000" w:sz="4" w:space="0"/>
              <w:left w:val="nil"/>
              <w:bottom w:val="single" w:color="000000" w:sz="4" w:space="0"/>
              <w:right w:val="nil"/>
            </w:tcBorders>
            <w:shd w:val="clear" w:color="auto" w:fill="FFFFFF"/>
            <w:noWrap/>
            <w:vAlign w:val="center"/>
          </w:tcPr>
          <w:p w14:paraId="02844A93">
            <w:pPr>
              <w:spacing w:line="240" w:lineRule="auto"/>
              <w:rPr>
                <w:rFonts w:hint="eastAsia"/>
                <w:b w:val="0"/>
                <w:color w:val="000000"/>
                <w:sz w:val="18"/>
                <w:szCs w:val="18"/>
                <w:lang w:val="en-US" w:eastAsia="zh-CN"/>
              </w:rPr>
            </w:pPr>
            <w:r>
              <w:rPr>
                <w:rFonts w:hint="eastAsia"/>
                <w:b w:val="0"/>
                <w:color w:val="000000"/>
                <w:sz w:val="18"/>
                <w:szCs w:val="18"/>
                <w:lang w:val="en-US" w:eastAsia="zh-CN"/>
              </w:rPr>
              <w:t>0.840(0.801-0.880)</w:t>
            </w:r>
          </w:p>
        </w:tc>
        <w:tc>
          <w:tcPr>
            <w:tcW w:w="1122" w:type="dxa"/>
            <w:tcBorders>
              <w:top w:val="single" w:color="000000" w:sz="4" w:space="0"/>
              <w:left w:val="nil"/>
              <w:bottom w:val="single" w:color="000000" w:sz="4" w:space="0"/>
              <w:right w:val="nil"/>
            </w:tcBorders>
            <w:shd w:val="clear" w:color="auto" w:fill="FFFFFF"/>
            <w:noWrap/>
            <w:vAlign w:val="center"/>
          </w:tcPr>
          <w:p w14:paraId="0A2B25C1">
            <w:pPr>
              <w:spacing w:line="240" w:lineRule="auto"/>
              <w:rPr>
                <w:rFonts w:hint="eastAsia"/>
                <w:b w:val="0"/>
                <w:color w:val="000000"/>
                <w:sz w:val="18"/>
                <w:szCs w:val="18"/>
                <w:lang w:val="en-US" w:eastAsia="zh-CN"/>
              </w:rPr>
            </w:pPr>
            <w:r>
              <w:rPr>
                <w:rFonts w:hint="eastAsia"/>
                <w:b w:val="0"/>
                <w:color w:val="000000"/>
                <w:sz w:val="18"/>
                <w:szCs w:val="18"/>
                <w:lang w:val="en-US" w:eastAsia="zh-CN"/>
              </w:rPr>
              <w:t>78.60%</w:t>
            </w:r>
          </w:p>
        </w:tc>
        <w:tc>
          <w:tcPr>
            <w:tcW w:w="1123" w:type="dxa"/>
            <w:tcBorders>
              <w:top w:val="single" w:color="000000" w:sz="4" w:space="0"/>
              <w:left w:val="nil"/>
              <w:bottom w:val="single" w:color="000000" w:sz="4" w:space="0"/>
              <w:right w:val="nil"/>
            </w:tcBorders>
            <w:shd w:val="clear" w:color="auto" w:fill="FFFFFF"/>
            <w:noWrap/>
            <w:vAlign w:val="center"/>
          </w:tcPr>
          <w:p w14:paraId="56562455">
            <w:pPr>
              <w:spacing w:line="240" w:lineRule="auto"/>
              <w:rPr>
                <w:rFonts w:hint="eastAsia"/>
                <w:b w:val="0"/>
                <w:color w:val="000000"/>
                <w:sz w:val="18"/>
                <w:szCs w:val="18"/>
                <w:lang w:val="en-US" w:eastAsia="zh-CN"/>
              </w:rPr>
            </w:pPr>
            <w:r>
              <w:rPr>
                <w:rFonts w:hint="eastAsia"/>
                <w:b w:val="0"/>
                <w:color w:val="000000"/>
                <w:sz w:val="18"/>
                <w:szCs w:val="18"/>
                <w:lang w:val="en-US" w:eastAsia="zh-CN"/>
              </w:rPr>
              <w:t>76.20%</w:t>
            </w:r>
          </w:p>
        </w:tc>
        <w:tc>
          <w:tcPr>
            <w:tcW w:w="784" w:type="dxa"/>
            <w:tcBorders>
              <w:top w:val="single" w:color="000000" w:sz="4" w:space="0"/>
              <w:left w:val="nil"/>
              <w:bottom w:val="single" w:color="000000" w:sz="4" w:space="0"/>
              <w:right w:val="nil"/>
            </w:tcBorders>
            <w:shd w:val="clear" w:color="auto" w:fill="FFFFFF"/>
            <w:noWrap/>
            <w:vAlign w:val="center"/>
          </w:tcPr>
          <w:p w14:paraId="037B14ED">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7A6129BE">
            <w:pPr>
              <w:spacing w:line="240" w:lineRule="auto"/>
              <w:rPr>
                <w:rFonts w:hint="eastAsia"/>
                <w:b w:val="0"/>
                <w:color w:val="000000"/>
                <w:sz w:val="18"/>
                <w:szCs w:val="18"/>
                <w:lang w:val="en-US" w:eastAsia="zh-CN"/>
              </w:rPr>
            </w:pPr>
            <w:r>
              <w:rPr>
                <w:rFonts w:hint="eastAsia"/>
                <w:b w:val="0"/>
                <w:color w:val="000000"/>
                <w:sz w:val="18"/>
                <w:szCs w:val="18"/>
                <w:lang w:val="en-US" w:eastAsia="zh-CN"/>
              </w:rPr>
              <w:t>P &gt; 0.05</w:t>
            </w:r>
          </w:p>
        </w:tc>
        <w:tc>
          <w:tcPr>
            <w:tcW w:w="794" w:type="dxa"/>
            <w:tcBorders>
              <w:top w:val="single" w:color="000000" w:sz="4" w:space="0"/>
              <w:left w:val="nil"/>
              <w:bottom w:val="single" w:color="000000" w:sz="4" w:space="0"/>
              <w:right w:val="nil"/>
            </w:tcBorders>
            <w:shd w:val="clear" w:color="auto" w:fill="FFFFFF"/>
            <w:noWrap/>
            <w:vAlign w:val="center"/>
          </w:tcPr>
          <w:p w14:paraId="71767FA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0934513">
            <w:pPr>
              <w:spacing w:line="240" w:lineRule="auto"/>
              <w:rPr>
                <w:rFonts w:hint="eastAsia"/>
                <w:b w:val="0"/>
                <w:color w:val="000000"/>
                <w:sz w:val="18"/>
                <w:szCs w:val="18"/>
                <w:lang w:val="en-US" w:eastAsia="zh-CN"/>
              </w:rPr>
            </w:pPr>
            <w:r>
              <w:rPr>
                <w:rFonts w:hint="eastAsia"/>
                <w:b w:val="0"/>
                <w:color w:val="000000"/>
                <w:sz w:val="18"/>
                <w:szCs w:val="18"/>
                <w:lang w:val="en-US" w:eastAsia="zh-CN"/>
              </w:rPr>
              <w:t>0.871(95%CI NM)</w:t>
            </w:r>
          </w:p>
        </w:tc>
        <w:tc>
          <w:tcPr>
            <w:tcW w:w="1242" w:type="dxa"/>
            <w:tcBorders>
              <w:top w:val="single" w:color="000000" w:sz="4" w:space="0"/>
              <w:left w:val="nil"/>
              <w:bottom w:val="single" w:color="000000" w:sz="4" w:space="0"/>
              <w:right w:val="nil"/>
            </w:tcBorders>
            <w:shd w:val="clear" w:color="auto" w:fill="FFFFFF"/>
            <w:noWrap/>
            <w:vAlign w:val="center"/>
          </w:tcPr>
          <w:p w14:paraId="353DA32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B162D8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70EA819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0F9CE8D">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58165664">
            <w:pPr>
              <w:spacing w:line="240" w:lineRule="auto"/>
              <w:rPr>
                <w:rFonts w:hint="eastAsia"/>
                <w:b w:val="0"/>
                <w:color w:val="000000"/>
                <w:sz w:val="18"/>
                <w:szCs w:val="18"/>
                <w:lang w:val="en-US" w:eastAsia="zh-CN"/>
              </w:rPr>
            </w:pPr>
            <w:r>
              <w:rPr>
                <w:rFonts w:hint="eastAsia"/>
                <w:b w:val="0"/>
                <w:color w:val="000000"/>
                <w:sz w:val="18"/>
                <w:szCs w:val="18"/>
                <w:lang w:val="en-US" w:eastAsia="zh-CN"/>
              </w:rPr>
              <w:t>New-onset CKD</w:t>
            </w:r>
          </w:p>
        </w:tc>
        <w:tc>
          <w:tcPr>
            <w:tcW w:w="1315" w:type="dxa"/>
            <w:tcBorders>
              <w:top w:val="single" w:color="000000" w:sz="4" w:space="0"/>
              <w:left w:val="nil"/>
              <w:bottom w:val="single" w:color="000000" w:sz="4" w:space="0"/>
              <w:right w:val="nil"/>
            </w:tcBorders>
            <w:shd w:val="clear" w:color="auto" w:fill="FFFFFF"/>
            <w:noWrap/>
            <w:vAlign w:val="center"/>
          </w:tcPr>
          <w:p w14:paraId="08D58B96">
            <w:pPr>
              <w:spacing w:line="240" w:lineRule="auto"/>
              <w:rPr>
                <w:rFonts w:hint="eastAsia"/>
                <w:b w:val="0"/>
                <w:color w:val="000000"/>
                <w:sz w:val="18"/>
                <w:szCs w:val="18"/>
                <w:lang w:val="en-US" w:eastAsia="zh-CN"/>
              </w:rPr>
            </w:pPr>
            <w:r>
              <w:rPr>
                <w:rFonts w:hint="eastAsia"/>
                <w:b w:val="0"/>
                <w:color w:val="000000"/>
                <w:sz w:val="18"/>
                <w:szCs w:val="18"/>
                <w:lang w:val="en-US" w:eastAsia="zh-CN"/>
              </w:rPr>
              <w:t>Zhang H,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PEVuZE5vdGU+PENpdGU+PEF1dGhvcj5aaGFuZzwvQXV0aG9yPjxZZWFyPjIwMjQ8L1llYXI+PFJl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(37)</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11DD431">
            <w:pPr>
              <w:spacing w:line="240" w:lineRule="auto"/>
              <w:rPr>
                <w:rFonts w:hint="eastAsia"/>
                <w:b w:val="0"/>
                <w:color w:val="000000"/>
                <w:sz w:val="18"/>
                <w:szCs w:val="18"/>
                <w:lang w:val="en-US" w:eastAsia="zh-CN"/>
              </w:rPr>
            </w:pPr>
            <w:r>
              <w:rPr>
                <w:rFonts w:hint="eastAsia"/>
                <w:b w:val="0"/>
                <w:color w:val="000000"/>
                <w:sz w:val="18"/>
                <w:szCs w:val="18"/>
                <w:lang w:val="en-US" w:eastAsia="zh-CN"/>
              </w:rPr>
              <w:t>10</w:t>
            </w:r>
          </w:p>
        </w:tc>
        <w:tc>
          <w:tcPr>
            <w:tcW w:w="1122" w:type="dxa"/>
            <w:tcBorders>
              <w:top w:val="single" w:color="000000" w:sz="4" w:space="0"/>
              <w:left w:val="nil"/>
              <w:bottom w:val="single" w:color="000000" w:sz="4" w:space="0"/>
              <w:right w:val="nil"/>
            </w:tcBorders>
            <w:shd w:val="clear" w:color="auto" w:fill="FFFFFF"/>
            <w:noWrap/>
            <w:vAlign w:val="center"/>
          </w:tcPr>
          <w:p w14:paraId="2E456D3F">
            <w:pPr>
              <w:spacing w:line="240" w:lineRule="auto"/>
              <w:rPr>
                <w:rFonts w:hint="eastAsia"/>
                <w:b w:val="0"/>
                <w:color w:val="000000"/>
                <w:sz w:val="18"/>
                <w:szCs w:val="18"/>
                <w:lang w:val="en-US" w:eastAsia="zh-CN"/>
              </w:rPr>
            </w:pPr>
            <w:r>
              <w:rPr>
                <w:rFonts w:hint="eastAsia"/>
                <w:b w:val="0"/>
                <w:color w:val="000000"/>
                <w:sz w:val="18"/>
                <w:szCs w:val="18"/>
                <w:lang w:val="en-US" w:eastAsia="zh-CN"/>
              </w:rPr>
              <w:t>0.789(0.754-0.831)</w:t>
            </w:r>
          </w:p>
        </w:tc>
        <w:tc>
          <w:tcPr>
            <w:tcW w:w="1122" w:type="dxa"/>
            <w:tcBorders>
              <w:top w:val="single" w:color="000000" w:sz="4" w:space="0"/>
              <w:left w:val="nil"/>
              <w:bottom w:val="single" w:color="000000" w:sz="4" w:space="0"/>
              <w:right w:val="nil"/>
            </w:tcBorders>
            <w:shd w:val="clear" w:color="auto" w:fill="FFFFFF"/>
            <w:noWrap/>
            <w:vAlign w:val="center"/>
          </w:tcPr>
          <w:p w14:paraId="062DD0B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5883B4A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6F207CF9">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4DF5BF9B">
            <w:pPr>
              <w:spacing w:line="240" w:lineRule="auto"/>
              <w:rPr>
                <w:rFonts w:hint="eastAsia"/>
                <w:b w:val="0"/>
                <w:color w:val="000000"/>
                <w:sz w:val="18"/>
                <w:szCs w:val="18"/>
                <w:lang w:val="en-US" w:eastAsia="zh-CN"/>
              </w:rPr>
            </w:pPr>
            <w:r>
              <w:rPr>
                <w:rFonts w:hint="eastAsia"/>
                <w:b w:val="0"/>
                <w:color w:val="000000"/>
                <w:sz w:val="18"/>
                <w:szCs w:val="18"/>
                <w:lang w:val="en-US" w:eastAsia="zh-CN"/>
              </w:rPr>
              <w:t>0.547</w:t>
            </w:r>
          </w:p>
        </w:tc>
        <w:tc>
          <w:tcPr>
            <w:tcW w:w="794" w:type="dxa"/>
            <w:tcBorders>
              <w:top w:val="single" w:color="000000" w:sz="4" w:space="0"/>
              <w:left w:val="nil"/>
              <w:bottom w:val="single" w:color="000000" w:sz="4" w:space="0"/>
              <w:right w:val="nil"/>
            </w:tcBorders>
            <w:shd w:val="clear" w:color="auto" w:fill="FFFFFF"/>
            <w:noWrap/>
            <w:vAlign w:val="center"/>
          </w:tcPr>
          <w:p w14:paraId="4D5F686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C07E17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5534F0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652D6CF">
            <w:pPr>
              <w:spacing w:line="240" w:lineRule="auto"/>
              <w:rPr>
                <w:rFonts w:hint="eastAsia"/>
                <w:b w:val="0"/>
                <w:color w:val="000000"/>
                <w:sz w:val="18"/>
                <w:szCs w:val="18"/>
                <w:lang w:val="en-US" w:eastAsia="zh-CN"/>
              </w:rPr>
            </w:pPr>
            <w:r>
              <w:rPr>
                <w:rFonts w:hint="eastAsia"/>
                <w:b w:val="0"/>
                <w:color w:val="000000"/>
                <w:sz w:val="18"/>
                <w:szCs w:val="18"/>
                <w:lang w:val="en-US" w:eastAsia="zh-CN"/>
              </w:rPr>
              <w:t>0.812(95%CI NM)</w:t>
            </w:r>
          </w:p>
        </w:tc>
        <w:tc>
          <w:tcPr>
            <w:tcW w:w="1204" w:type="dxa"/>
            <w:tcBorders>
              <w:top w:val="single" w:color="000000" w:sz="4" w:space="0"/>
              <w:left w:val="nil"/>
              <w:bottom w:val="single" w:color="000000" w:sz="4" w:space="0"/>
              <w:right w:val="nil"/>
            </w:tcBorders>
            <w:shd w:val="clear" w:color="auto" w:fill="FFFFFF"/>
            <w:noWrap/>
            <w:vAlign w:val="center"/>
          </w:tcPr>
          <w:p w14:paraId="159BBFC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E68DA15">
        <w:trPr>
          <w:trHeight w:val="351" w:hRule="atLeast"/>
        </w:trPr>
        <w:tc>
          <w:tcPr>
            <w:tcW w:w="14300" w:type="dxa"/>
            <w:gridSpan w:val="13"/>
            <w:tcBorders>
              <w:top w:val="single" w:color="000000" w:sz="4" w:space="0"/>
              <w:left w:val="nil"/>
              <w:bottom w:val="single" w:color="000000" w:sz="4" w:space="0"/>
              <w:right w:val="nil"/>
            </w:tcBorders>
            <w:shd w:val="clear" w:color="auto" w:fill="DBE3F4" w:themeFill="accent1" w:themeFillTint="32"/>
            <w:noWrap/>
            <w:vAlign w:val="center"/>
          </w:tcPr>
          <w:p w14:paraId="5A3938E0">
            <w:pPr>
              <w:spacing w:line="240" w:lineRule="auto"/>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Cross-sectional Study</w:t>
            </w:r>
          </w:p>
        </w:tc>
      </w:tr>
      <w:tr w14:paraId="3F60CA7C">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3B1A5F6">
            <w:pPr>
              <w:spacing w:line="240" w:lineRule="auto"/>
              <w:rPr>
                <w:rFonts w:hint="eastAsia"/>
                <w:b w:val="0"/>
                <w:color w:val="000000"/>
                <w:sz w:val="18"/>
                <w:szCs w:val="18"/>
                <w:lang w:val="en-US" w:eastAsia="zh-CN"/>
              </w:rPr>
            </w:pPr>
            <w:r>
              <w:rPr>
                <w:rFonts w:hint="eastAsia"/>
                <w:b w:val="0"/>
                <w:color w:val="000000"/>
                <w:sz w:val="18"/>
                <w:szCs w:val="18"/>
                <w:lang w:val="en-US" w:eastAsia="zh-CN"/>
              </w:rPr>
              <w:t>Hypertension</w:t>
            </w:r>
          </w:p>
        </w:tc>
        <w:tc>
          <w:tcPr>
            <w:tcW w:w="1315" w:type="dxa"/>
            <w:tcBorders>
              <w:top w:val="single" w:color="000000" w:sz="4" w:space="0"/>
              <w:left w:val="nil"/>
              <w:bottom w:val="single" w:color="000000" w:sz="4" w:space="0"/>
              <w:right w:val="nil"/>
            </w:tcBorders>
            <w:shd w:val="clear" w:color="auto" w:fill="FFFFFF"/>
            <w:noWrap/>
            <w:vAlign w:val="center"/>
          </w:tcPr>
          <w:p w14:paraId="6A65427D">
            <w:pPr>
              <w:spacing w:line="240" w:lineRule="auto"/>
              <w:rPr>
                <w:rFonts w:hint="eastAsia"/>
                <w:b w:val="0"/>
                <w:color w:val="000000"/>
                <w:sz w:val="18"/>
                <w:szCs w:val="18"/>
                <w:lang w:val="en-US" w:eastAsia="zh-CN"/>
              </w:rPr>
            </w:pPr>
            <w:r>
              <w:rPr>
                <w:rFonts w:hint="eastAsia"/>
                <w:b w:val="0"/>
                <w:color w:val="000000"/>
                <w:sz w:val="18"/>
                <w:szCs w:val="18"/>
                <w:lang w:val="en-US" w:eastAsia="zh-CN"/>
              </w:rPr>
              <w:t>Yang X,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&lt;EndNote&gt;&lt;Cite&gt;&lt;Author&gt;YANG Xiulin&lt;/Author&gt;&lt;Year&gt;2025&lt;/Year&gt;&lt;RecNum&gt;530&lt;/RecNum&gt;&lt;DisplayText&gt;(38)&lt;/DisplayText&gt;&lt;record&gt;&lt;rec-number&gt;530&lt;/rec-number&gt;&lt;foreign-keys&gt;&lt;key app="EN" db-id="earspdaa1vazprerafqvx9tx5pvfaxf9awz0" timestamp="1775309523"&gt;530&lt;/key&gt;&lt;/foreign-keys&gt;&lt;ref-type name="期刊文献"&gt;17&lt;/ref-type&gt;&lt;contributors&gt;&lt;authors&gt;&lt;author&gt;YANG Xiulin, CHENG Peng, MA Bin, MA Weihong, HAI Xiangjun&lt;/author&gt;&lt;/authors&gt;&lt;/contributors&gt;&lt;titles&gt;&lt;title&gt;Construction and evaluation of a nomogram model for predicting the risk of hypertension in Dongxiang adults based on obesity and muscle mass indices&lt;/title&gt;&lt;secondary-title&gt;Acta Anatomica Sinica&lt;/secondary-title&gt;&lt;/titles&gt;&lt;periodical&gt;&lt;full-title&gt;Acta Anatomica Sinica&lt;/full-title&gt;&lt;/periodical&gt;&lt;pages&gt;336-341&lt;/pages&gt;&lt;volume&gt;56&lt;/volume&gt;&lt;number&gt;3&lt;/number&gt;&lt;section&gt;336&lt;/section&gt;&lt;dates&gt;&lt;year&gt;2025&lt;/year&gt;&lt;/dates&gt;&lt;urls&gt;&lt;/urls&gt;&lt;electronic-resource-num&gt;DOI: 10.16098/j.issn.0529-1356.2025.03.012&lt;/electronic-resource-num&gt;&lt;/record&gt;&lt;/Cite&gt;&lt;/EndNote&gt;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(38)</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54010F3">
            <w:pPr>
              <w:spacing w:line="240" w:lineRule="auto"/>
              <w:rPr>
                <w:rFonts w:hint="eastAsia"/>
                <w:b w:val="0"/>
                <w:color w:val="000000"/>
                <w:sz w:val="18"/>
                <w:szCs w:val="18"/>
                <w:lang w:val="en-US" w:eastAsia="zh-CN"/>
              </w:rPr>
            </w:pPr>
            <w:r>
              <w:rPr>
                <w:rFonts w:hint="eastAsia"/>
                <w:b w:val="0"/>
                <w:color w:val="000000"/>
                <w:sz w:val="18"/>
                <w:szCs w:val="18"/>
                <w:lang w:val="en-US" w:eastAsia="zh-CN"/>
              </w:rPr>
              <w:t>11</w:t>
            </w:r>
          </w:p>
        </w:tc>
        <w:tc>
          <w:tcPr>
            <w:tcW w:w="1122" w:type="dxa"/>
            <w:tcBorders>
              <w:top w:val="single" w:color="000000" w:sz="4" w:space="0"/>
              <w:left w:val="nil"/>
              <w:bottom w:val="single" w:color="000000" w:sz="4" w:space="0"/>
              <w:right w:val="nil"/>
            </w:tcBorders>
            <w:shd w:val="clear" w:color="auto" w:fill="FFFFFF"/>
            <w:noWrap/>
            <w:vAlign w:val="center"/>
          </w:tcPr>
          <w:p w14:paraId="0401ADE7">
            <w:pPr>
              <w:spacing w:line="240" w:lineRule="auto"/>
              <w:rPr>
                <w:rFonts w:hint="eastAsia"/>
                <w:b w:val="0"/>
                <w:color w:val="000000"/>
                <w:sz w:val="18"/>
                <w:szCs w:val="18"/>
                <w:lang w:val="en-US" w:eastAsia="zh-CN"/>
              </w:rPr>
            </w:pPr>
            <w:r>
              <w:rPr>
                <w:rFonts w:hint="eastAsia"/>
                <w:b w:val="0"/>
                <w:color w:val="000000"/>
                <w:sz w:val="18"/>
                <w:szCs w:val="18"/>
                <w:lang w:val="en-US" w:eastAsia="zh-CN"/>
              </w:rPr>
              <w:t>0.796(95%CI NM)</w:t>
            </w:r>
          </w:p>
        </w:tc>
        <w:tc>
          <w:tcPr>
            <w:tcW w:w="1122" w:type="dxa"/>
            <w:tcBorders>
              <w:top w:val="single" w:color="000000" w:sz="4" w:space="0"/>
              <w:left w:val="nil"/>
              <w:bottom w:val="single" w:color="000000" w:sz="4" w:space="0"/>
              <w:right w:val="nil"/>
            </w:tcBorders>
            <w:shd w:val="clear" w:color="auto" w:fill="FFFFFF"/>
            <w:noWrap/>
            <w:vAlign w:val="center"/>
          </w:tcPr>
          <w:p w14:paraId="17C00A1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785F198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3DEAD44E">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2B6CE6BC">
            <w:pPr>
              <w:spacing w:line="240" w:lineRule="auto"/>
              <w:rPr>
                <w:rFonts w:hint="eastAsia"/>
                <w:b w:val="0"/>
                <w:color w:val="000000"/>
                <w:sz w:val="18"/>
                <w:szCs w:val="18"/>
                <w:lang w:val="en-US" w:eastAsia="zh-CN"/>
              </w:rPr>
            </w:pPr>
            <w:r>
              <w:rPr>
                <w:rFonts w:hint="eastAsia"/>
                <w:b w:val="0"/>
                <w:color w:val="000000"/>
                <w:sz w:val="18"/>
                <w:szCs w:val="18"/>
                <w:lang w:val="en-US" w:eastAsia="zh-CN"/>
              </w:rPr>
              <w:t>0.103</w:t>
            </w:r>
          </w:p>
        </w:tc>
        <w:tc>
          <w:tcPr>
            <w:tcW w:w="794" w:type="dxa"/>
            <w:tcBorders>
              <w:top w:val="single" w:color="000000" w:sz="4" w:space="0"/>
              <w:left w:val="nil"/>
              <w:bottom w:val="single" w:color="000000" w:sz="4" w:space="0"/>
              <w:right w:val="nil"/>
            </w:tcBorders>
            <w:shd w:val="clear" w:color="auto" w:fill="FFFFFF"/>
            <w:noWrap/>
            <w:vAlign w:val="center"/>
          </w:tcPr>
          <w:p w14:paraId="06AF4DA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27E7A85">
            <w:pPr>
              <w:spacing w:line="240" w:lineRule="auto"/>
              <w:rPr>
                <w:rFonts w:hint="eastAsia"/>
                <w:b w:val="0"/>
                <w:color w:val="000000"/>
                <w:sz w:val="18"/>
                <w:szCs w:val="18"/>
                <w:lang w:val="en-US" w:eastAsia="zh-CN"/>
              </w:rPr>
            </w:pPr>
            <w:r>
              <w:rPr>
                <w:rFonts w:hint="eastAsia"/>
                <w:b w:val="0"/>
                <w:color w:val="000000"/>
                <w:sz w:val="18"/>
                <w:szCs w:val="18"/>
                <w:lang w:val="en-US" w:eastAsia="zh-CN"/>
              </w:rPr>
              <w:t>0.7957(95%CI NM)</w:t>
            </w:r>
          </w:p>
        </w:tc>
        <w:tc>
          <w:tcPr>
            <w:tcW w:w="1242" w:type="dxa"/>
            <w:tcBorders>
              <w:top w:val="single" w:color="000000" w:sz="4" w:space="0"/>
              <w:left w:val="nil"/>
              <w:bottom w:val="single" w:color="000000" w:sz="4" w:space="0"/>
              <w:right w:val="nil"/>
            </w:tcBorders>
            <w:shd w:val="clear" w:color="auto" w:fill="FFFFFF"/>
            <w:noWrap/>
            <w:vAlign w:val="center"/>
          </w:tcPr>
          <w:p w14:paraId="2F4DCF8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04437B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7ADB4E2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307F8C2">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58E76A3">
            <w:pPr>
              <w:spacing w:line="240" w:lineRule="auto"/>
              <w:rPr>
                <w:rFonts w:hint="eastAsia"/>
                <w:b w:val="0"/>
                <w:color w:val="000000"/>
                <w:sz w:val="18"/>
                <w:szCs w:val="18"/>
                <w:lang w:val="en-US" w:eastAsia="zh-CN"/>
              </w:rPr>
            </w:pPr>
            <w:r>
              <w:rPr>
                <w:rFonts w:hint="eastAsia"/>
                <w:b w:val="0"/>
                <w:color w:val="000000"/>
                <w:sz w:val="18"/>
                <w:szCs w:val="18"/>
                <w:lang w:val="en-US" w:eastAsia="zh-CN"/>
              </w:rPr>
              <w:t>Dyslipidemia</w:t>
            </w:r>
          </w:p>
        </w:tc>
        <w:tc>
          <w:tcPr>
            <w:tcW w:w="1315" w:type="dxa"/>
            <w:tcBorders>
              <w:top w:val="single" w:color="000000" w:sz="4" w:space="0"/>
              <w:left w:val="nil"/>
              <w:bottom w:val="single" w:color="000000" w:sz="4" w:space="0"/>
              <w:right w:val="nil"/>
            </w:tcBorders>
            <w:shd w:val="clear" w:color="auto" w:fill="FFFFFF"/>
            <w:noWrap/>
            <w:vAlign w:val="center"/>
          </w:tcPr>
          <w:p w14:paraId="105A02D9">
            <w:pPr>
              <w:spacing w:line="240" w:lineRule="auto"/>
              <w:rPr>
                <w:rFonts w:hint="eastAsia"/>
                <w:b w:val="0"/>
                <w:color w:val="000000"/>
                <w:sz w:val="18"/>
                <w:szCs w:val="18"/>
                <w:lang w:val="en-US" w:eastAsia="zh-CN"/>
              </w:rPr>
            </w:pPr>
            <w:r>
              <w:rPr>
                <w:rFonts w:hint="eastAsia"/>
                <w:b w:val="0"/>
                <w:color w:val="000000"/>
                <w:sz w:val="18"/>
                <w:szCs w:val="18"/>
                <w:lang w:val="en-US" w:eastAsia="zh-CN"/>
              </w:rPr>
              <w:t>Liao J, et al., 2023</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&lt;EndNote&gt;&lt;Cite&gt;&lt;Author&gt;LIAO Jing&lt;/Author&gt;&lt;Year&gt;2023&lt;/Year&gt;&lt;RecNum&gt;534&lt;/RecNum&gt;&lt;DisplayText&gt;(39)&lt;/DisplayText&gt;&lt;record&gt;&lt;rec-number&gt;534&lt;/rec-number&gt;&lt;foreign-keys&gt;&lt;key app="EN" db-id="earspdaa1vazprerafqvx9tx5pvfaxf9awz0" timestamp="1775310079"&gt;534&lt;/key&gt;&lt;/foreign-keys&gt;&lt;ref-type name="期刊文献"&gt;17&lt;/ref-type&gt;&lt;contributors&gt;&lt;authors&gt;&lt;author&gt;LIAO Jing, ZHU Lin&lt;/author&gt;&lt;/authors&gt;&lt;/contributors&gt;&lt;titles&gt;&lt;title&gt;Nomograph model for predicting the risk of dyslipidemia with anthropometric indices in obese adolescents aged 13-16 years&lt;/title&gt;&lt;secondary-title&gt;Chinese Journal of Child Health Care&lt;/secondary-title&gt;&lt;/titles&gt;&lt;periodical&gt;&lt;full-title&gt;Chinese Journal of Child Health Care&lt;/full-title&gt;&lt;/periodical&gt;&lt;pages&gt;379-384&lt;/pages&gt;&lt;volume&gt;31&lt;/volume&gt;&lt;number&gt;4&lt;/number&gt;&lt;section&gt;379&lt;/section&gt;&lt;dates&gt;&lt;year&gt;2023&lt;/year&gt;&lt;/dates&gt;&lt;urls&gt;&lt;/urls&gt;&lt;electronic-resource-num&gt;DOI: 10.11852/zgetbjzz2022-1080&lt;/electronic-resource-num&gt;&lt;/record&gt;&lt;/Cite&gt;&lt;/EndNote&gt;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C0DF142">
            <w:pPr>
              <w:spacing w:line="240" w:lineRule="auto"/>
              <w:rPr>
                <w:rFonts w:hint="eastAsia"/>
                <w:b w:val="0"/>
                <w:color w:val="000000"/>
                <w:sz w:val="18"/>
                <w:szCs w:val="18"/>
                <w:lang w:val="en-US" w:eastAsia="zh-CN"/>
              </w:rPr>
            </w:pPr>
            <w:r>
              <w:rPr>
                <w:rFonts w:hint="eastAsia"/>
                <w:b w:val="0"/>
                <w:color w:val="000000"/>
                <w:sz w:val="18"/>
                <w:szCs w:val="18"/>
                <w:lang w:val="en-US" w:eastAsia="zh-CN"/>
              </w:rPr>
              <w:t>12A</w:t>
            </w:r>
          </w:p>
        </w:tc>
        <w:tc>
          <w:tcPr>
            <w:tcW w:w="1122" w:type="dxa"/>
            <w:tcBorders>
              <w:top w:val="single" w:color="000000" w:sz="4" w:space="0"/>
              <w:left w:val="nil"/>
              <w:bottom w:val="single" w:color="000000" w:sz="4" w:space="0"/>
              <w:right w:val="nil"/>
            </w:tcBorders>
            <w:shd w:val="clear" w:color="auto" w:fill="FFFFFF"/>
            <w:noWrap/>
            <w:vAlign w:val="center"/>
          </w:tcPr>
          <w:p w14:paraId="77A6E5B8">
            <w:pPr>
              <w:spacing w:line="240" w:lineRule="auto"/>
              <w:rPr>
                <w:rFonts w:hint="eastAsia"/>
                <w:b w:val="0"/>
                <w:color w:val="000000"/>
                <w:sz w:val="18"/>
                <w:szCs w:val="18"/>
                <w:lang w:val="en-US" w:eastAsia="zh-CN"/>
              </w:rPr>
            </w:pPr>
            <w:r>
              <w:rPr>
                <w:rFonts w:hint="eastAsia"/>
                <w:b w:val="0"/>
                <w:color w:val="000000"/>
                <w:sz w:val="18"/>
                <w:szCs w:val="18"/>
                <w:lang w:val="en-US" w:eastAsia="zh-CN"/>
              </w:rPr>
              <w:t>0.62(95%CI NM)</w:t>
            </w:r>
          </w:p>
        </w:tc>
        <w:tc>
          <w:tcPr>
            <w:tcW w:w="1122" w:type="dxa"/>
            <w:tcBorders>
              <w:top w:val="single" w:color="000000" w:sz="4" w:space="0"/>
              <w:left w:val="nil"/>
              <w:bottom w:val="single" w:color="000000" w:sz="4" w:space="0"/>
              <w:right w:val="nil"/>
            </w:tcBorders>
            <w:shd w:val="clear" w:color="auto" w:fill="FFFFFF"/>
            <w:noWrap/>
            <w:vAlign w:val="center"/>
          </w:tcPr>
          <w:p w14:paraId="7AE4796B">
            <w:pPr>
              <w:spacing w:line="240" w:lineRule="auto"/>
              <w:rPr>
                <w:rFonts w:hint="eastAsia"/>
                <w:b w:val="0"/>
                <w:color w:val="000000"/>
                <w:sz w:val="18"/>
                <w:szCs w:val="18"/>
                <w:lang w:val="en-US" w:eastAsia="zh-CN"/>
              </w:rPr>
            </w:pPr>
            <w:r>
              <w:rPr>
                <w:rFonts w:hint="eastAsia"/>
                <w:b w:val="0"/>
                <w:color w:val="000000"/>
                <w:sz w:val="18"/>
                <w:szCs w:val="18"/>
                <w:lang w:val="en-US" w:eastAsia="zh-CN"/>
              </w:rPr>
              <w:t>67.11%</w:t>
            </w:r>
          </w:p>
        </w:tc>
        <w:tc>
          <w:tcPr>
            <w:tcW w:w="1123" w:type="dxa"/>
            <w:tcBorders>
              <w:top w:val="single" w:color="000000" w:sz="4" w:space="0"/>
              <w:left w:val="nil"/>
              <w:bottom w:val="single" w:color="000000" w:sz="4" w:space="0"/>
              <w:right w:val="nil"/>
            </w:tcBorders>
            <w:shd w:val="clear" w:color="auto" w:fill="FFFFFF"/>
            <w:noWrap/>
            <w:vAlign w:val="center"/>
          </w:tcPr>
          <w:p w14:paraId="10279BAB">
            <w:pPr>
              <w:spacing w:line="240" w:lineRule="auto"/>
              <w:rPr>
                <w:rFonts w:hint="eastAsia"/>
                <w:b w:val="0"/>
                <w:color w:val="000000"/>
                <w:sz w:val="18"/>
                <w:szCs w:val="18"/>
                <w:lang w:val="en-US" w:eastAsia="zh-CN"/>
              </w:rPr>
            </w:pPr>
            <w:r>
              <w:rPr>
                <w:rFonts w:hint="eastAsia"/>
                <w:b w:val="0"/>
                <w:color w:val="000000"/>
                <w:sz w:val="18"/>
                <w:szCs w:val="18"/>
                <w:lang w:val="en-US" w:eastAsia="zh-CN"/>
              </w:rPr>
              <w:t>52.72%</w:t>
            </w:r>
          </w:p>
        </w:tc>
        <w:tc>
          <w:tcPr>
            <w:tcW w:w="784" w:type="dxa"/>
            <w:tcBorders>
              <w:top w:val="single" w:color="000000" w:sz="4" w:space="0"/>
              <w:left w:val="nil"/>
              <w:bottom w:val="single" w:color="000000" w:sz="4" w:space="0"/>
              <w:right w:val="nil"/>
            </w:tcBorders>
            <w:shd w:val="clear" w:color="auto" w:fill="FFFFFF"/>
            <w:noWrap/>
            <w:vAlign w:val="center"/>
          </w:tcPr>
          <w:p w14:paraId="5B9508B5">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29BA10F0">
            <w:pPr>
              <w:spacing w:line="240" w:lineRule="auto"/>
              <w:rPr>
                <w:rFonts w:hint="eastAsia"/>
                <w:b w:val="0"/>
                <w:color w:val="000000"/>
                <w:sz w:val="18"/>
                <w:szCs w:val="18"/>
                <w:lang w:val="en-US" w:eastAsia="zh-CN"/>
              </w:rPr>
            </w:pPr>
            <w:r>
              <w:rPr>
                <w:rFonts w:hint="eastAsia"/>
                <w:b w:val="0"/>
                <w:color w:val="000000"/>
                <w:sz w:val="18"/>
                <w:szCs w:val="18"/>
                <w:lang w:val="en-US" w:eastAsia="zh-CN"/>
              </w:rPr>
              <w:t>0.575</w:t>
            </w:r>
          </w:p>
        </w:tc>
        <w:tc>
          <w:tcPr>
            <w:tcW w:w="794" w:type="dxa"/>
            <w:tcBorders>
              <w:top w:val="single" w:color="000000" w:sz="4" w:space="0"/>
              <w:left w:val="nil"/>
              <w:bottom w:val="single" w:color="000000" w:sz="4" w:space="0"/>
              <w:right w:val="nil"/>
            </w:tcBorders>
            <w:shd w:val="clear" w:color="auto" w:fill="FFFFFF"/>
            <w:noWrap/>
            <w:vAlign w:val="center"/>
          </w:tcPr>
          <w:p w14:paraId="3B707CE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C54ECAF">
            <w:pPr>
              <w:spacing w:line="240" w:lineRule="auto"/>
              <w:rPr>
                <w:rFonts w:hint="eastAsia"/>
                <w:b w:val="0"/>
                <w:color w:val="000000"/>
                <w:sz w:val="18"/>
                <w:szCs w:val="18"/>
                <w:lang w:val="en-US" w:eastAsia="zh-CN"/>
              </w:rPr>
            </w:pPr>
            <w:r>
              <w:rPr>
                <w:rFonts w:hint="eastAsia"/>
                <w:b w:val="0"/>
                <w:color w:val="000000"/>
                <w:sz w:val="18"/>
                <w:szCs w:val="18"/>
                <w:lang w:val="en-US" w:eastAsia="zh-CN"/>
              </w:rPr>
              <w:t>0.62(95%CI NM)</w:t>
            </w:r>
          </w:p>
        </w:tc>
        <w:tc>
          <w:tcPr>
            <w:tcW w:w="1242" w:type="dxa"/>
            <w:tcBorders>
              <w:top w:val="single" w:color="000000" w:sz="4" w:space="0"/>
              <w:left w:val="nil"/>
              <w:bottom w:val="single" w:color="000000" w:sz="4" w:space="0"/>
              <w:right w:val="nil"/>
            </w:tcBorders>
            <w:shd w:val="clear" w:color="auto" w:fill="FFFFFF"/>
            <w:noWrap/>
            <w:vAlign w:val="center"/>
          </w:tcPr>
          <w:p w14:paraId="411A15B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48F59E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522DB3A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99AE7F1">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5AB307EF">
            <w:pPr>
              <w:spacing w:line="240" w:lineRule="auto"/>
              <w:rPr>
                <w:rFonts w:hint="eastAsia"/>
                <w:b w:val="0"/>
                <w:color w:val="000000"/>
                <w:sz w:val="18"/>
                <w:szCs w:val="18"/>
                <w:lang w:val="en-US" w:eastAsia="zh-CN"/>
              </w:rPr>
            </w:pPr>
            <w:r>
              <w:rPr>
                <w:rFonts w:hint="eastAsia"/>
                <w:b w:val="0"/>
                <w:color w:val="000000"/>
                <w:sz w:val="18"/>
                <w:szCs w:val="18"/>
                <w:lang w:val="en-US" w:eastAsia="zh-CN"/>
              </w:rPr>
              <w:t>Dyslipidemia</w:t>
            </w:r>
          </w:p>
        </w:tc>
        <w:tc>
          <w:tcPr>
            <w:tcW w:w="1315" w:type="dxa"/>
            <w:tcBorders>
              <w:top w:val="single" w:color="000000" w:sz="4" w:space="0"/>
              <w:left w:val="nil"/>
              <w:bottom w:val="single" w:color="000000" w:sz="4" w:space="0"/>
              <w:right w:val="nil"/>
            </w:tcBorders>
            <w:shd w:val="clear" w:color="auto" w:fill="FFFFFF"/>
            <w:noWrap/>
            <w:vAlign w:val="center"/>
          </w:tcPr>
          <w:p w14:paraId="6E5B77B4">
            <w:pPr>
              <w:spacing w:line="240" w:lineRule="auto"/>
              <w:rPr>
                <w:rFonts w:hint="eastAsia"/>
                <w:b w:val="0"/>
                <w:color w:val="000000"/>
                <w:sz w:val="18"/>
                <w:szCs w:val="18"/>
                <w:lang w:val="en-US" w:eastAsia="zh-CN"/>
              </w:rPr>
            </w:pPr>
            <w:r>
              <w:rPr>
                <w:rFonts w:hint="eastAsia"/>
                <w:b w:val="0"/>
                <w:color w:val="000000"/>
                <w:sz w:val="18"/>
                <w:szCs w:val="18"/>
                <w:lang w:val="en-US" w:eastAsia="zh-CN"/>
              </w:rPr>
              <w:t>Liao J, et al., 2023</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&lt;EndNote&gt;&lt;Cite&gt;&lt;Author&gt;LIAO Jing&lt;/Author&gt;&lt;Year&gt;2023&lt;/Year&gt;&lt;RecNum&gt;534&lt;/RecNum&gt;&lt;DisplayText&gt;(39)&lt;/DisplayText&gt;&lt;record&gt;&lt;rec-number&gt;534&lt;/rec-number&gt;&lt;foreign-keys&gt;&lt;key app="EN" db-id="earspdaa1vazprerafqvx9tx5pvfaxf9awz0" timestamp="1775310079"&gt;534&lt;/key&gt;&lt;/foreign-keys&gt;&lt;ref-type name="期刊文献"&gt;17&lt;/ref-type&gt;&lt;contributors&gt;&lt;authors&gt;&lt;author&gt;LIAO Jing, ZHU Lin&lt;/author&gt;&lt;/authors&gt;&lt;/contributors&gt;&lt;titles&gt;&lt;title&gt;Nomograph model for predicting the risk of dyslipidemia with anthropometric indices in obese adolescents aged 13-16 years&lt;/title&gt;&lt;secondary-title&gt;Chinese Journal of Child Health Care&lt;/secondary-title&gt;&lt;/titles&gt;&lt;periodical&gt;&lt;full-title&gt;Chinese Journal of Child Health Care&lt;/full-title&gt;&lt;/periodical&gt;&lt;pages&gt;379-384&lt;/pages&gt;&lt;volume&gt;31&lt;/volume&gt;&lt;number&gt;4&lt;/number&gt;&lt;section&gt;379&lt;/section&gt;&lt;dates&gt;&lt;year&gt;2023&lt;/year&gt;&lt;/dates&gt;&lt;urls&gt;&lt;/urls&gt;&lt;electronic-resource-num&gt;DOI: 10.11852/zgetbjzz2022-1080&lt;/electronic-resource-num&gt;&lt;/record&gt;&lt;/Cite&gt;&lt;/EndNote&gt;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2491904D">
            <w:pPr>
              <w:spacing w:line="240" w:lineRule="auto"/>
              <w:rPr>
                <w:rFonts w:hint="eastAsia"/>
                <w:b w:val="0"/>
                <w:color w:val="000000"/>
                <w:sz w:val="18"/>
                <w:szCs w:val="18"/>
                <w:lang w:val="en-US" w:eastAsia="zh-CN"/>
              </w:rPr>
            </w:pPr>
            <w:r>
              <w:rPr>
                <w:rFonts w:hint="eastAsia"/>
                <w:b w:val="0"/>
                <w:color w:val="000000"/>
                <w:sz w:val="18"/>
                <w:szCs w:val="18"/>
                <w:lang w:val="en-US" w:eastAsia="zh-CN"/>
              </w:rPr>
              <w:t>12B</w:t>
            </w:r>
          </w:p>
        </w:tc>
        <w:tc>
          <w:tcPr>
            <w:tcW w:w="1122" w:type="dxa"/>
            <w:tcBorders>
              <w:top w:val="single" w:color="000000" w:sz="4" w:space="0"/>
              <w:left w:val="nil"/>
              <w:bottom w:val="single" w:color="000000" w:sz="4" w:space="0"/>
              <w:right w:val="nil"/>
            </w:tcBorders>
            <w:shd w:val="clear" w:color="auto" w:fill="FFFFFF"/>
            <w:noWrap/>
            <w:vAlign w:val="center"/>
          </w:tcPr>
          <w:p w14:paraId="4EF92823">
            <w:pPr>
              <w:spacing w:line="240" w:lineRule="auto"/>
              <w:rPr>
                <w:rFonts w:hint="eastAsia"/>
                <w:b w:val="0"/>
                <w:color w:val="000000"/>
                <w:sz w:val="18"/>
                <w:szCs w:val="18"/>
                <w:lang w:val="en-US" w:eastAsia="zh-CN"/>
              </w:rPr>
            </w:pPr>
            <w:r>
              <w:rPr>
                <w:rFonts w:hint="eastAsia"/>
                <w:b w:val="0"/>
                <w:color w:val="000000"/>
                <w:sz w:val="18"/>
                <w:szCs w:val="18"/>
                <w:lang w:val="en-US" w:eastAsia="zh-CN"/>
              </w:rPr>
              <w:t>0.7(95%CI NM)</w:t>
            </w:r>
          </w:p>
        </w:tc>
        <w:tc>
          <w:tcPr>
            <w:tcW w:w="1122" w:type="dxa"/>
            <w:tcBorders>
              <w:top w:val="single" w:color="000000" w:sz="4" w:space="0"/>
              <w:left w:val="nil"/>
              <w:bottom w:val="single" w:color="000000" w:sz="4" w:space="0"/>
              <w:right w:val="nil"/>
            </w:tcBorders>
            <w:shd w:val="clear" w:color="auto" w:fill="FFFFFF"/>
            <w:noWrap/>
            <w:vAlign w:val="center"/>
          </w:tcPr>
          <w:p w14:paraId="03A690C7">
            <w:pPr>
              <w:spacing w:line="240" w:lineRule="auto"/>
              <w:rPr>
                <w:rFonts w:hint="eastAsia"/>
                <w:b w:val="0"/>
                <w:color w:val="000000"/>
                <w:sz w:val="18"/>
                <w:szCs w:val="18"/>
                <w:lang w:val="en-US" w:eastAsia="zh-CN"/>
              </w:rPr>
            </w:pPr>
            <w:r>
              <w:rPr>
                <w:rFonts w:hint="eastAsia"/>
                <w:b w:val="0"/>
                <w:color w:val="000000"/>
                <w:sz w:val="18"/>
                <w:szCs w:val="18"/>
                <w:lang w:val="en-US" w:eastAsia="zh-CN"/>
              </w:rPr>
              <w:t>68.19%</w:t>
            </w:r>
          </w:p>
        </w:tc>
        <w:tc>
          <w:tcPr>
            <w:tcW w:w="1123" w:type="dxa"/>
            <w:tcBorders>
              <w:top w:val="single" w:color="000000" w:sz="4" w:space="0"/>
              <w:left w:val="nil"/>
              <w:bottom w:val="single" w:color="000000" w:sz="4" w:space="0"/>
              <w:right w:val="nil"/>
            </w:tcBorders>
            <w:shd w:val="clear" w:color="auto" w:fill="FFFFFF"/>
            <w:noWrap/>
            <w:vAlign w:val="center"/>
          </w:tcPr>
          <w:p w14:paraId="6FF64823">
            <w:pPr>
              <w:spacing w:line="240" w:lineRule="auto"/>
              <w:rPr>
                <w:rFonts w:hint="eastAsia"/>
                <w:b w:val="0"/>
                <w:color w:val="000000"/>
                <w:sz w:val="18"/>
                <w:szCs w:val="18"/>
                <w:lang w:val="en-US" w:eastAsia="zh-CN"/>
              </w:rPr>
            </w:pPr>
            <w:r>
              <w:rPr>
                <w:rFonts w:hint="eastAsia"/>
                <w:b w:val="0"/>
                <w:color w:val="000000"/>
                <w:sz w:val="18"/>
                <w:szCs w:val="18"/>
                <w:lang w:val="en-US" w:eastAsia="zh-CN"/>
              </w:rPr>
              <w:t>64.39%</w:t>
            </w:r>
          </w:p>
        </w:tc>
        <w:tc>
          <w:tcPr>
            <w:tcW w:w="784" w:type="dxa"/>
            <w:tcBorders>
              <w:top w:val="single" w:color="000000" w:sz="4" w:space="0"/>
              <w:left w:val="nil"/>
              <w:bottom w:val="single" w:color="000000" w:sz="4" w:space="0"/>
              <w:right w:val="nil"/>
            </w:tcBorders>
            <w:shd w:val="clear" w:color="auto" w:fill="FFFFFF"/>
            <w:noWrap/>
            <w:vAlign w:val="center"/>
          </w:tcPr>
          <w:p w14:paraId="667CBF46">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3AB79525">
            <w:pPr>
              <w:spacing w:line="240" w:lineRule="auto"/>
              <w:rPr>
                <w:rFonts w:hint="eastAsia"/>
                <w:b w:val="0"/>
                <w:color w:val="000000"/>
                <w:sz w:val="18"/>
                <w:szCs w:val="18"/>
                <w:lang w:val="en-US" w:eastAsia="zh-CN"/>
              </w:rPr>
            </w:pPr>
            <w:r>
              <w:rPr>
                <w:rFonts w:hint="eastAsia"/>
                <w:b w:val="0"/>
                <w:color w:val="000000"/>
                <w:sz w:val="18"/>
                <w:szCs w:val="18"/>
                <w:lang w:val="en-US" w:eastAsia="zh-CN"/>
              </w:rPr>
              <w:t>0.422</w:t>
            </w:r>
          </w:p>
        </w:tc>
        <w:tc>
          <w:tcPr>
            <w:tcW w:w="794" w:type="dxa"/>
            <w:tcBorders>
              <w:top w:val="single" w:color="000000" w:sz="4" w:space="0"/>
              <w:left w:val="nil"/>
              <w:bottom w:val="single" w:color="000000" w:sz="4" w:space="0"/>
              <w:right w:val="nil"/>
            </w:tcBorders>
            <w:shd w:val="clear" w:color="auto" w:fill="FFFFFF"/>
            <w:noWrap/>
            <w:vAlign w:val="center"/>
          </w:tcPr>
          <w:p w14:paraId="5937A9B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D43F9B9">
            <w:pPr>
              <w:spacing w:line="240" w:lineRule="auto"/>
              <w:rPr>
                <w:rFonts w:hint="eastAsia"/>
                <w:b w:val="0"/>
                <w:color w:val="000000"/>
                <w:sz w:val="18"/>
                <w:szCs w:val="18"/>
                <w:lang w:val="en-US" w:eastAsia="zh-CN"/>
              </w:rPr>
            </w:pPr>
            <w:r>
              <w:rPr>
                <w:rFonts w:hint="eastAsia"/>
                <w:b w:val="0"/>
                <w:color w:val="000000"/>
                <w:sz w:val="18"/>
                <w:szCs w:val="18"/>
                <w:lang w:val="en-US" w:eastAsia="zh-CN"/>
              </w:rPr>
              <w:t>0.7(95%CI NM)</w:t>
            </w:r>
          </w:p>
        </w:tc>
        <w:tc>
          <w:tcPr>
            <w:tcW w:w="1242" w:type="dxa"/>
            <w:tcBorders>
              <w:top w:val="single" w:color="000000" w:sz="4" w:space="0"/>
              <w:left w:val="nil"/>
              <w:bottom w:val="single" w:color="000000" w:sz="4" w:space="0"/>
              <w:right w:val="nil"/>
            </w:tcBorders>
            <w:shd w:val="clear" w:color="auto" w:fill="FFFFFF"/>
            <w:noWrap/>
            <w:vAlign w:val="center"/>
          </w:tcPr>
          <w:p w14:paraId="5E7D2EB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5C6315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5B2A066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37914E73">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456EF9E4">
            <w:pPr>
              <w:spacing w:line="240" w:lineRule="auto"/>
              <w:rPr>
                <w:rFonts w:hint="eastAsia"/>
                <w:b w:val="0"/>
                <w:color w:val="000000"/>
                <w:sz w:val="18"/>
                <w:szCs w:val="18"/>
                <w:lang w:val="en-US" w:eastAsia="zh-CN"/>
              </w:rPr>
            </w:pPr>
            <w:r>
              <w:rPr>
                <w:rFonts w:hint="eastAsia"/>
                <w:b w:val="0"/>
                <w:color w:val="000000"/>
                <w:sz w:val="18"/>
                <w:szCs w:val="18"/>
                <w:lang w:val="en-US" w:eastAsia="zh-CN"/>
              </w:rPr>
              <w:t>NAFLD</w:t>
            </w:r>
          </w:p>
        </w:tc>
        <w:tc>
          <w:tcPr>
            <w:tcW w:w="1315" w:type="dxa"/>
            <w:tcBorders>
              <w:top w:val="single" w:color="000000" w:sz="4" w:space="0"/>
              <w:left w:val="nil"/>
              <w:bottom w:val="single" w:color="000000" w:sz="4" w:space="0"/>
              <w:right w:val="nil"/>
            </w:tcBorders>
            <w:shd w:val="clear" w:color="auto" w:fill="FFFFFF"/>
            <w:noWrap/>
            <w:vAlign w:val="center"/>
          </w:tcPr>
          <w:p w14:paraId="569270F6">
            <w:pPr>
              <w:spacing w:line="240" w:lineRule="auto"/>
              <w:rPr>
                <w:rFonts w:hint="eastAsia"/>
                <w:b w:val="0"/>
                <w:color w:val="000000"/>
                <w:sz w:val="18"/>
                <w:szCs w:val="18"/>
                <w:lang w:val="en-US" w:eastAsia="zh-CN"/>
              </w:rPr>
            </w:pPr>
            <w:r>
              <w:rPr>
                <w:rFonts w:hint="eastAsia"/>
                <w:b w:val="0"/>
                <w:color w:val="000000"/>
                <w:sz w:val="18"/>
                <w:szCs w:val="18"/>
                <w:lang w:val="en-US" w:eastAsia="zh-CN"/>
              </w:rPr>
              <w:t>Zhou Y, et al., 2022</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PEVuZE5vdGU+PENpdGU+PEF1dGhvcj5aaG91PC9BdXRob3I+PFllYXI+MjAyMjwvWWVhcj48UmVj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PGN1c3RvbTI+UE1DOTI1OTk0NjwvY3VzdG9tMj48ZWxlY3Ryb25pYy1yZXNvdXJjZS1udW0+MTAu
MzM4OS9mcHViaC4yMDIyLjg5NTA0NTwvZWxlY3Ryb25pYy1yZXNvdXJjZS1udW0+PHJlbW90ZS1k
YXRhYmFzZS1wcm92aWRlcj5OTE08L3JlbW90ZS1kYXRhYmFzZS1wcm92aWRlcj48bGFuZ3VhZ2U+
ZW5nPC9sYW5ndWFnZT48L3JlY29yZD48L0NpdGU+PC9FbmROb3RlPg==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(40)</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47A0328C">
            <w:pPr>
              <w:spacing w:line="240" w:lineRule="auto"/>
              <w:rPr>
                <w:rFonts w:hint="eastAsia"/>
                <w:b w:val="0"/>
                <w:color w:val="000000"/>
                <w:sz w:val="18"/>
                <w:szCs w:val="18"/>
                <w:lang w:val="en-US" w:eastAsia="zh-CN"/>
              </w:rPr>
            </w:pPr>
            <w:r>
              <w:rPr>
                <w:rFonts w:hint="eastAsia"/>
                <w:b w:val="0"/>
                <w:color w:val="000000"/>
                <w:sz w:val="18"/>
                <w:szCs w:val="18"/>
                <w:lang w:val="en-US" w:eastAsia="zh-CN"/>
              </w:rPr>
              <w:t>13</w:t>
            </w:r>
          </w:p>
        </w:tc>
        <w:tc>
          <w:tcPr>
            <w:tcW w:w="1122" w:type="dxa"/>
            <w:tcBorders>
              <w:top w:val="single" w:color="000000" w:sz="4" w:space="0"/>
              <w:left w:val="nil"/>
              <w:bottom w:val="single" w:color="000000" w:sz="4" w:space="0"/>
              <w:right w:val="nil"/>
            </w:tcBorders>
            <w:shd w:val="clear" w:color="auto" w:fill="FFFFFF"/>
            <w:noWrap/>
            <w:vAlign w:val="center"/>
          </w:tcPr>
          <w:p w14:paraId="67285385">
            <w:pPr>
              <w:spacing w:line="240" w:lineRule="auto"/>
              <w:rPr>
                <w:rFonts w:hint="eastAsia"/>
                <w:b w:val="0"/>
                <w:color w:val="000000"/>
                <w:sz w:val="18"/>
                <w:szCs w:val="18"/>
                <w:lang w:val="en-US" w:eastAsia="zh-CN"/>
              </w:rPr>
            </w:pPr>
            <w:r>
              <w:rPr>
                <w:rFonts w:hint="eastAsia"/>
                <w:b w:val="0"/>
                <w:color w:val="000000"/>
                <w:sz w:val="18"/>
                <w:szCs w:val="18"/>
                <w:lang w:val="en-US" w:eastAsia="zh-CN"/>
              </w:rPr>
              <w:t>0.863 (0.841-0.885)</w:t>
            </w:r>
          </w:p>
        </w:tc>
        <w:tc>
          <w:tcPr>
            <w:tcW w:w="1122" w:type="dxa"/>
            <w:tcBorders>
              <w:top w:val="single" w:color="000000" w:sz="4" w:space="0"/>
              <w:left w:val="nil"/>
              <w:bottom w:val="single" w:color="000000" w:sz="4" w:space="0"/>
              <w:right w:val="nil"/>
            </w:tcBorders>
            <w:shd w:val="clear" w:color="auto" w:fill="FFFFFF"/>
            <w:noWrap/>
            <w:vAlign w:val="center"/>
          </w:tcPr>
          <w:p w14:paraId="7950DA7D">
            <w:pPr>
              <w:spacing w:line="240" w:lineRule="auto"/>
              <w:rPr>
                <w:rFonts w:hint="eastAsia"/>
                <w:b w:val="0"/>
                <w:color w:val="000000"/>
                <w:sz w:val="18"/>
                <w:szCs w:val="18"/>
                <w:lang w:val="en-US" w:eastAsia="zh-CN"/>
              </w:rPr>
            </w:pPr>
            <w:r>
              <w:rPr>
                <w:rFonts w:hint="eastAsia"/>
                <w:b w:val="0"/>
                <w:color w:val="000000"/>
                <w:sz w:val="18"/>
                <w:szCs w:val="18"/>
                <w:lang w:val="en-US" w:eastAsia="zh-CN"/>
              </w:rPr>
              <w:t>NA</w:t>
            </w:r>
          </w:p>
        </w:tc>
        <w:tc>
          <w:tcPr>
            <w:tcW w:w="1123" w:type="dxa"/>
            <w:tcBorders>
              <w:top w:val="single" w:color="000000" w:sz="4" w:space="0"/>
              <w:left w:val="nil"/>
              <w:bottom w:val="single" w:color="000000" w:sz="4" w:space="0"/>
              <w:right w:val="nil"/>
            </w:tcBorders>
            <w:shd w:val="clear" w:color="auto" w:fill="FFFFFF"/>
            <w:noWrap/>
            <w:vAlign w:val="center"/>
          </w:tcPr>
          <w:p w14:paraId="6085EBD7">
            <w:pPr>
              <w:spacing w:line="240" w:lineRule="auto"/>
              <w:rPr>
                <w:rFonts w:hint="eastAsia"/>
                <w:b w:val="0"/>
                <w:color w:val="000000"/>
                <w:sz w:val="18"/>
                <w:szCs w:val="18"/>
                <w:lang w:val="en-US" w:eastAsia="zh-CN"/>
              </w:rPr>
            </w:pPr>
            <w:r>
              <w:rPr>
                <w:rFonts w:hint="eastAsia"/>
                <w:b w:val="0"/>
                <w:color w:val="000000"/>
                <w:sz w:val="18"/>
                <w:szCs w:val="18"/>
                <w:lang w:val="en-US" w:eastAsia="zh-CN"/>
              </w:rPr>
              <w:t>NA</w:t>
            </w:r>
          </w:p>
        </w:tc>
        <w:tc>
          <w:tcPr>
            <w:tcW w:w="784" w:type="dxa"/>
            <w:tcBorders>
              <w:top w:val="single" w:color="000000" w:sz="4" w:space="0"/>
              <w:left w:val="nil"/>
              <w:bottom w:val="single" w:color="000000" w:sz="4" w:space="0"/>
              <w:right w:val="nil"/>
            </w:tcBorders>
            <w:shd w:val="clear" w:color="auto" w:fill="FFFFFF"/>
            <w:noWrap/>
            <w:vAlign w:val="center"/>
          </w:tcPr>
          <w:p w14:paraId="095F3859">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2FE9E49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04F3E06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EF63AF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A29E56D">
            <w:pPr>
              <w:spacing w:line="240" w:lineRule="auto"/>
              <w:rPr>
                <w:rFonts w:hint="eastAsia"/>
                <w:b w:val="0"/>
                <w:color w:val="000000"/>
                <w:sz w:val="18"/>
                <w:szCs w:val="18"/>
                <w:lang w:val="en-US" w:eastAsia="zh-CN"/>
              </w:rPr>
            </w:pPr>
            <w:r>
              <w:rPr>
                <w:rFonts w:hint="eastAsia"/>
                <w:b w:val="0"/>
                <w:color w:val="000000"/>
                <w:sz w:val="18"/>
                <w:szCs w:val="18"/>
                <w:lang w:val="en-US" w:eastAsia="zh-CN"/>
              </w:rPr>
              <w:t>0.887 (0.857-0.888)</w:t>
            </w:r>
          </w:p>
        </w:tc>
        <w:tc>
          <w:tcPr>
            <w:tcW w:w="1242" w:type="dxa"/>
            <w:tcBorders>
              <w:top w:val="single" w:color="000000" w:sz="4" w:space="0"/>
              <w:left w:val="nil"/>
              <w:bottom w:val="single" w:color="000000" w:sz="4" w:space="0"/>
              <w:right w:val="nil"/>
            </w:tcBorders>
            <w:shd w:val="clear" w:color="auto" w:fill="FFFFFF"/>
            <w:noWrap/>
            <w:vAlign w:val="center"/>
          </w:tcPr>
          <w:p w14:paraId="307686D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2780CDD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16281A7">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5CECA02">
            <w:pPr>
              <w:spacing w:line="240" w:lineRule="auto"/>
              <w:rPr>
                <w:rFonts w:hint="eastAsia"/>
                <w:b w:val="0"/>
                <w:color w:val="000000"/>
                <w:sz w:val="18"/>
                <w:szCs w:val="18"/>
                <w:lang w:val="en-US" w:eastAsia="zh-CN"/>
              </w:rPr>
            </w:pPr>
            <w:r>
              <w:rPr>
                <w:rFonts w:hint="eastAsia"/>
                <w:b w:val="0"/>
                <w:color w:val="000000"/>
                <w:sz w:val="18"/>
                <w:szCs w:val="18"/>
                <w:lang w:val="en-US" w:eastAsia="zh-CN"/>
              </w:rPr>
              <w:t>MAFLD</w:t>
            </w:r>
          </w:p>
        </w:tc>
        <w:tc>
          <w:tcPr>
            <w:tcW w:w="1315" w:type="dxa"/>
            <w:tcBorders>
              <w:top w:val="single" w:color="000000" w:sz="4" w:space="0"/>
              <w:left w:val="nil"/>
              <w:bottom w:val="single" w:color="000000" w:sz="4" w:space="0"/>
              <w:right w:val="nil"/>
            </w:tcBorders>
            <w:shd w:val="clear" w:color="auto" w:fill="FFFFFF"/>
            <w:noWrap/>
            <w:vAlign w:val="center"/>
          </w:tcPr>
          <w:p w14:paraId="6E2BEABA">
            <w:pPr>
              <w:spacing w:line="240" w:lineRule="auto"/>
              <w:rPr>
                <w:rFonts w:hint="eastAsia"/>
                <w:b w:val="0"/>
                <w:color w:val="000000"/>
                <w:sz w:val="18"/>
                <w:szCs w:val="18"/>
                <w:lang w:val="en-US" w:eastAsia="zh-CN"/>
              </w:rPr>
            </w:pPr>
            <w:r>
              <w:rPr>
                <w:rFonts w:hint="eastAsia"/>
                <w:b w:val="0"/>
                <w:color w:val="000000"/>
                <w:sz w:val="18"/>
                <w:szCs w:val="18"/>
                <w:lang w:val="en-US" w:eastAsia="zh-CN"/>
              </w:rPr>
              <w:t>Song D, et al., 2022</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PEVuZE5vdGU+PENpdGU+PEF1dGhvcj5Tb25nPC9BdXRob3I+PFllYXI+MjAyMjwvWWVhcj48UmVj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(41)</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A131B82">
            <w:pPr>
              <w:spacing w:line="240" w:lineRule="auto"/>
              <w:rPr>
                <w:rFonts w:hint="eastAsia"/>
                <w:b w:val="0"/>
                <w:color w:val="000000"/>
                <w:sz w:val="18"/>
                <w:szCs w:val="18"/>
                <w:lang w:val="en-US" w:eastAsia="zh-CN"/>
              </w:rPr>
            </w:pPr>
            <w:r>
              <w:rPr>
                <w:rFonts w:hint="eastAsia"/>
                <w:b w:val="0"/>
                <w:color w:val="000000"/>
                <w:sz w:val="18"/>
                <w:szCs w:val="18"/>
                <w:lang w:val="en-US" w:eastAsia="zh-CN"/>
              </w:rPr>
              <w:t>14</w:t>
            </w:r>
          </w:p>
        </w:tc>
        <w:tc>
          <w:tcPr>
            <w:tcW w:w="1122" w:type="dxa"/>
            <w:tcBorders>
              <w:top w:val="single" w:color="000000" w:sz="4" w:space="0"/>
              <w:left w:val="nil"/>
              <w:bottom w:val="single" w:color="000000" w:sz="4" w:space="0"/>
              <w:right w:val="nil"/>
            </w:tcBorders>
            <w:shd w:val="clear" w:color="auto" w:fill="FFFFFF"/>
            <w:noWrap/>
            <w:vAlign w:val="center"/>
          </w:tcPr>
          <w:p w14:paraId="7630D77D">
            <w:pPr>
              <w:spacing w:line="240" w:lineRule="auto"/>
              <w:rPr>
                <w:rFonts w:hint="eastAsia"/>
                <w:b w:val="0"/>
                <w:color w:val="000000"/>
                <w:sz w:val="18"/>
                <w:szCs w:val="18"/>
                <w:lang w:val="en-US" w:eastAsia="zh-CN"/>
              </w:rPr>
            </w:pPr>
            <w:r>
              <w:rPr>
                <w:rFonts w:hint="eastAsia"/>
                <w:b w:val="0"/>
                <w:color w:val="000000"/>
                <w:sz w:val="18"/>
                <w:szCs w:val="18"/>
                <w:lang w:val="en-US" w:eastAsia="zh-CN"/>
              </w:rPr>
              <w:t>0.793(0.745-0.840)</w:t>
            </w:r>
          </w:p>
        </w:tc>
        <w:tc>
          <w:tcPr>
            <w:tcW w:w="1122" w:type="dxa"/>
            <w:tcBorders>
              <w:top w:val="single" w:color="000000" w:sz="4" w:space="0"/>
              <w:left w:val="nil"/>
              <w:bottom w:val="single" w:color="000000" w:sz="4" w:space="0"/>
              <w:right w:val="nil"/>
            </w:tcBorders>
            <w:shd w:val="clear" w:color="auto" w:fill="FFFFFF"/>
            <w:noWrap/>
            <w:vAlign w:val="center"/>
          </w:tcPr>
          <w:p w14:paraId="15E6125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08E59F7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7D7F9B44">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1B129415">
            <w:pPr>
              <w:spacing w:line="240" w:lineRule="auto"/>
              <w:rPr>
                <w:rFonts w:hint="eastAsia"/>
                <w:b w:val="0"/>
                <w:color w:val="000000"/>
                <w:sz w:val="18"/>
                <w:szCs w:val="18"/>
                <w:lang w:val="en-US" w:eastAsia="zh-CN"/>
              </w:rPr>
            </w:pPr>
            <w:r>
              <w:rPr>
                <w:rFonts w:hint="eastAsia"/>
                <w:b w:val="0"/>
                <w:color w:val="000000"/>
                <w:sz w:val="18"/>
                <w:szCs w:val="18"/>
                <w:lang w:val="en-US" w:eastAsia="zh-CN"/>
              </w:rPr>
              <w:t>0.514</w:t>
            </w:r>
          </w:p>
        </w:tc>
        <w:tc>
          <w:tcPr>
            <w:tcW w:w="794" w:type="dxa"/>
            <w:tcBorders>
              <w:top w:val="single" w:color="000000" w:sz="4" w:space="0"/>
              <w:left w:val="nil"/>
              <w:bottom w:val="single" w:color="000000" w:sz="4" w:space="0"/>
              <w:right w:val="nil"/>
            </w:tcBorders>
            <w:shd w:val="clear" w:color="auto" w:fill="FFFFFF"/>
            <w:noWrap/>
            <w:vAlign w:val="center"/>
          </w:tcPr>
          <w:p w14:paraId="4D4B90D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06F935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F46C69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3CE8336">
            <w:pPr>
              <w:spacing w:line="240" w:lineRule="auto"/>
              <w:rPr>
                <w:rFonts w:hint="eastAsia"/>
                <w:b w:val="0"/>
                <w:color w:val="000000"/>
                <w:sz w:val="18"/>
                <w:szCs w:val="18"/>
                <w:lang w:val="en-US" w:eastAsia="zh-CN"/>
              </w:rPr>
            </w:pPr>
            <w:r>
              <w:rPr>
                <w:rFonts w:hint="eastAsia"/>
                <w:b w:val="0"/>
                <w:color w:val="000000"/>
                <w:sz w:val="18"/>
                <w:szCs w:val="18"/>
                <w:lang w:val="en-US" w:eastAsia="zh-CN"/>
              </w:rPr>
              <w:t>0.775(95%CI NM)</w:t>
            </w:r>
          </w:p>
        </w:tc>
        <w:tc>
          <w:tcPr>
            <w:tcW w:w="1204" w:type="dxa"/>
            <w:tcBorders>
              <w:top w:val="single" w:color="000000" w:sz="4" w:space="0"/>
              <w:left w:val="nil"/>
              <w:bottom w:val="single" w:color="000000" w:sz="4" w:space="0"/>
              <w:right w:val="nil"/>
            </w:tcBorders>
            <w:shd w:val="clear" w:color="auto" w:fill="FFFFFF"/>
            <w:noWrap/>
            <w:vAlign w:val="center"/>
          </w:tcPr>
          <w:p w14:paraId="0941AB5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1B1F7D2E">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5037F758">
            <w:pPr>
              <w:spacing w:line="240" w:lineRule="auto"/>
              <w:rPr>
                <w:rFonts w:hint="eastAsia"/>
                <w:b w:val="0"/>
                <w:color w:val="000000"/>
                <w:sz w:val="18"/>
                <w:szCs w:val="18"/>
                <w:lang w:val="en-US" w:eastAsia="zh-CN"/>
              </w:rPr>
            </w:pPr>
            <w:r>
              <w:rPr>
                <w:rFonts w:hint="eastAsia"/>
                <w:b w:val="0"/>
                <w:color w:val="000000"/>
                <w:sz w:val="18"/>
                <w:szCs w:val="18"/>
                <w:lang w:val="en-US" w:eastAsia="zh-CN"/>
              </w:rPr>
              <w:t>MAFLD</w:t>
            </w:r>
          </w:p>
        </w:tc>
        <w:tc>
          <w:tcPr>
            <w:tcW w:w="1315" w:type="dxa"/>
            <w:tcBorders>
              <w:top w:val="single" w:color="000000" w:sz="4" w:space="0"/>
              <w:left w:val="nil"/>
              <w:bottom w:val="single" w:color="000000" w:sz="4" w:space="0"/>
              <w:right w:val="nil"/>
            </w:tcBorders>
            <w:shd w:val="clear" w:color="auto" w:fill="FFFFFF"/>
            <w:noWrap/>
            <w:vAlign w:val="center"/>
          </w:tcPr>
          <w:p w14:paraId="01A76645">
            <w:pPr>
              <w:spacing w:line="240" w:lineRule="auto"/>
              <w:rPr>
                <w:rFonts w:hint="eastAsia"/>
                <w:b w:val="0"/>
                <w:color w:val="000000"/>
                <w:sz w:val="18"/>
                <w:szCs w:val="18"/>
                <w:lang w:val="en-US" w:eastAsia="zh-CN"/>
              </w:rPr>
            </w:pPr>
            <w:r>
              <w:rPr>
                <w:rFonts w:hint="eastAsia"/>
                <w:b w:val="0"/>
                <w:color w:val="000000"/>
                <w:sz w:val="18"/>
                <w:szCs w:val="18"/>
                <w:lang w:val="en-US" w:eastAsia="zh-CN"/>
              </w:rPr>
              <w:t>Hu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50992D7C">
            <w:pPr>
              <w:spacing w:line="240" w:lineRule="auto"/>
              <w:rPr>
                <w:rFonts w:hint="eastAsia"/>
                <w:b w:val="0"/>
                <w:color w:val="000000"/>
                <w:sz w:val="18"/>
                <w:szCs w:val="18"/>
                <w:lang w:val="en-US" w:eastAsia="zh-CN"/>
              </w:rPr>
            </w:pPr>
            <w:r>
              <w:rPr>
                <w:rFonts w:hint="eastAsia"/>
                <w:b w:val="0"/>
                <w:color w:val="000000"/>
                <w:sz w:val="18"/>
                <w:szCs w:val="18"/>
                <w:lang w:val="en-US" w:eastAsia="zh-CN"/>
              </w:rPr>
              <w:t>15A</w:t>
            </w:r>
          </w:p>
        </w:tc>
        <w:tc>
          <w:tcPr>
            <w:tcW w:w="1122" w:type="dxa"/>
            <w:tcBorders>
              <w:top w:val="single" w:color="000000" w:sz="4" w:space="0"/>
              <w:left w:val="nil"/>
              <w:bottom w:val="single" w:color="000000" w:sz="4" w:space="0"/>
              <w:right w:val="nil"/>
            </w:tcBorders>
            <w:shd w:val="clear" w:color="auto" w:fill="FFFFFF"/>
            <w:noWrap/>
            <w:vAlign w:val="center"/>
          </w:tcPr>
          <w:p w14:paraId="003EB632">
            <w:pPr>
              <w:spacing w:line="240" w:lineRule="auto"/>
              <w:rPr>
                <w:rFonts w:hint="eastAsia"/>
                <w:b w:val="0"/>
                <w:color w:val="000000"/>
                <w:sz w:val="18"/>
                <w:szCs w:val="18"/>
                <w:lang w:val="en-US" w:eastAsia="zh-CN"/>
              </w:rPr>
            </w:pPr>
            <w:r>
              <w:rPr>
                <w:rFonts w:hint="eastAsia"/>
                <w:b w:val="0"/>
                <w:color w:val="000000"/>
                <w:sz w:val="18"/>
                <w:szCs w:val="18"/>
                <w:lang w:val="en-US" w:eastAsia="zh-CN"/>
              </w:rPr>
              <w:t>0.874 (0.858-0.890)</w:t>
            </w:r>
          </w:p>
        </w:tc>
        <w:tc>
          <w:tcPr>
            <w:tcW w:w="1122" w:type="dxa"/>
            <w:tcBorders>
              <w:top w:val="single" w:color="000000" w:sz="4" w:space="0"/>
              <w:left w:val="nil"/>
              <w:bottom w:val="single" w:color="000000" w:sz="4" w:space="0"/>
              <w:right w:val="nil"/>
            </w:tcBorders>
            <w:shd w:val="clear" w:color="auto" w:fill="FFFFFF"/>
            <w:noWrap/>
            <w:vAlign w:val="center"/>
          </w:tcPr>
          <w:p w14:paraId="1F7D449E">
            <w:pPr>
              <w:spacing w:line="240" w:lineRule="auto"/>
              <w:rPr>
                <w:rFonts w:hint="eastAsia"/>
                <w:b w:val="0"/>
                <w:color w:val="000000"/>
                <w:sz w:val="18"/>
                <w:szCs w:val="18"/>
                <w:lang w:val="en-US" w:eastAsia="zh-CN"/>
              </w:rPr>
            </w:pPr>
            <w:r>
              <w:rPr>
                <w:rFonts w:hint="eastAsia"/>
                <w:b w:val="0"/>
                <w:color w:val="000000"/>
                <w:sz w:val="18"/>
                <w:szCs w:val="18"/>
                <w:lang w:val="en-US" w:eastAsia="zh-CN"/>
              </w:rPr>
              <w:t>84.50%</w:t>
            </w:r>
          </w:p>
        </w:tc>
        <w:tc>
          <w:tcPr>
            <w:tcW w:w="1123" w:type="dxa"/>
            <w:tcBorders>
              <w:top w:val="single" w:color="000000" w:sz="4" w:space="0"/>
              <w:left w:val="nil"/>
              <w:bottom w:val="single" w:color="000000" w:sz="4" w:space="0"/>
              <w:right w:val="nil"/>
            </w:tcBorders>
            <w:shd w:val="clear" w:color="auto" w:fill="FFFFFF"/>
            <w:noWrap/>
            <w:vAlign w:val="center"/>
          </w:tcPr>
          <w:p w14:paraId="609F4BAF">
            <w:pPr>
              <w:spacing w:line="240" w:lineRule="auto"/>
              <w:rPr>
                <w:rFonts w:hint="eastAsia"/>
                <w:b w:val="0"/>
                <w:color w:val="000000"/>
                <w:sz w:val="18"/>
                <w:szCs w:val="18"/>
                <w:lang w:val="en-US" w:eastAsia="zh-CN"/>
              </w:rPr>
            </w:pPr>
            <w:r>
              <w:rPr>
                <w:rFonts w:hint="eastAsia"/>
                <w:b w:val="0"/>
                <w:color w:val="000000"/>
                <w:sz w:val="18"/>
                <w:szCs w:val="18"/>
                <w:lang w:val="en-US" w:eastAsia="zh-CN"/>
              </w:rPr>
              <w:t>74.40%</w:t>
            </w:r>
          </w:p>
        </w:tc>
        <w:tc>
          <w:tcPr>
            <w:tcW w:w="784" w:type="dxa"/>
            <w:tcBorders>
              <w:top w:val="single" w:color="000000" w:sz="4" w:space="0"/>
              <w:left w:val="nil"/>
              <w:bottom w:val="single" w:color="000000" w:sz="4" w:space="0"/>
              <w:right w:val="nil"/>
            </w:tcBorders>
            <w:shd w:val="clear" w:color="auto" w:fill="FFFFFF"/>
            <w:noWrap/>
            <w:vAlign w:val="center"/>
          </w:tcPr>
          <w:p w14:paraId="78707849">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4DB8FBAD">
            <w:pPr>
              <w:spacing w:line="240" w:lineRule="auto"/>
              <w:rPr>
                <w:rFonts w:hint="eastAsia"/>
                <w:b w:val="0"/>
                <w:color w:val="000000"/>
                <w:sz w:val="18"/>
                <w:szCs w:val="18"/>
                <w:lang w:val="en-US" w:eastAsia="zh-CN"/>
              </w:rPr>
            </w:pPr>
            <w:r>
              <w:rPr>
                <w:rFonts w:hint="eastAsia"/>
                <w:b w:val="0"/>
                <w:color w:val="000000"/>
                <w:sz w:val="18"/>
                <w:szCs w:val="18"/>
                <w:lang w:val="en-US" w:eastAsia="zh-CN"/>
              </w:rPr>
              <w:t>0.905</w:t>
            </w:r>
          </w:p>
        </w:tc>
        <w:tc>
          <w:tcPr>
            <w:tcW w:w="794" w:type="dxa"/>
            <w:tcBorders>
              <w:top w:val="single" w:color="000000" w:sz="4" w:space="0"/>
              <w:left w:val="nil"/>
              <w:bottom w:val="single" w:color="000000" w:sz="4" w:space="0"/>
              <w:right w:val="nil"/>
            </w:tcBorders>
            <w:shd w:val="clear" w:color="auto" w:fill="FFFFFF"/>
            <w:noWrap/>
            <w:vAlign w:val="center"/>
          </w:tcPr>
          <w:p w14:paraId="227A794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7CDADB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4BC8B73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5132F46">
            <w:pPr>
              <w:spacing w:line="240" w:lineRule="auto"/>
              <w:rPr>
                <w:rFonts w:hint="eastAsia"/>
                <w:b w:val="0"/>
                <w:color w:val="000000"/>
                <w:sz w:val="18"/>
                <w:szCs w:val="18"/>
                <w:lang w:val="en-US" w:eastAsia="zh-CN"/>
              </w:rPr>
            </w:pPr>
            <w:r>
              <w:rPr>
                <w:rFonts w:hint="eastAsia"/>
                <w:b w:val="0"/>
                <w:color w:val="000000"/>
                <w:sz w:val="18"/>
                <w:szCs w:val="18"/>
                <w:lang w:val="en-US" w:eastAsia="zh-CN"/>
              </w:rPr>
              <w:t>0.87(95%CI NM)</w:t>
            </w:r>
          </w:p>
        </w:tc>
        <w:tc>
          <w:tcPr>
            <w:tcW w:w="1204" w:type="dxa"/>
            <w:tcBorders>
              <w:top w:val="single" w:color="000000" w:sz="4" w:space="0"/>
              <w:left w:val="nil"/>
              <w:bottom w:val="single" w:color="000000" w:sz="4" w:space="0"/>
              <w:right w:val="nil"/>
            </w:tcBorders>
            <w:shd w:val="clear" w:color="auto" w:fill="FFFFFF"/>
            <w:noWrap/>
            <w:vAlign w:val="center"/>
          </w:tcPr>
          <w:p w14:paraId="2152C57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47AFDAE0">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081BE25">
            <w:pPr>
              <w:spacing w:line="240" w:lineRule="auto"/>
              <w:rPr>
                <w:rFonts w:hint="eastAsia"/>
                <w:b w:val="0"/>
                <w:color w:val="000000"/>
                <w:sz w:val="18"/>
                <w:szCs w:val="18"/>
                <w:lang w:val="en-US" w:eastAsia="zh-CN"/>
              </w:rPr>
            </w:pPr>
            <w:r>
              <w:rPr>
                <w:rFonts w:hint="eastAsia"/>
                <w:b w:val="0"/>
                <w:color w:val="000000"/>
                <w:sz w:val="18"/>
                <w:szCs w:val="18"/>
                <w:lang w:val="en-US" w:eastAsia="zh-CN"/>
              </w:rPr>
              <w:t>MAFLD</w:t>
            </w:r>
          </w:p>
        </w:tc>
        <w:tc>
          <w:tcPr>
            <w:tcW w:w="1315" w:type="dxa"/>
            <w:tcBorders>
              <w:top w:val="single" w:color="000000" w:sz="4" w:space="0"/>
              <w:left w:val="nil"/>
              <w:bottom w:val="single" w:color="000000" w:sz="4" w:space="0"/>
              <w:right w:val="nil"/>
            </w:tcBorders>
            <w:shd w:val="clear" w:color="auto" w:fill="FFFFFF"/>
            <w:noWrap/>
            <w:vAlign w:val="center"/>
          </w:tcPr>
          <w:p w14:paraId="4BBB0594">
            <w:pPr>
              <w:spacing w:line="240" w:lineRule="auto"/>
              <w:rPr>
                <w:rFonts w:hint="eastAsia"/>
                <w:b w:val="0"/>
                <w:color w:val="000000"/>
                <w:sz w:val="18"/>
                <w:szCs w:val="18"/>
                <w:lang w:val="en-US" w:eastAsia="zh-CN"/>
              </w:rPr>
            </w:pPr>
            <w:r>
              <w:rPr>
                <w:rFonts w:hint="eastAsia"/>
                <w:b w:val="0"/>
                <w:color w:val="000000"/>
                <w:sz w:val="18"/>
                <w:szCs w:val="18"/>
                <w:lang w:val="en-US" w:eastAsia="zh-CN"/>
              </w:rPr>
              <w:t>Hu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A664081">
            <w:pPr>
              <w:spacing w:line="240" w:lineRule="auto"/>
              <w:rPr>
                <w:rFonts w:hint="eastAsia"/>
                <w:b w:val="0"/>
                <w:color w:val="000000"/>
                <w:sz w:val="18"/>
                <w:szCs w:val="18"/>
                <w:lang w:val="en-US" w:eastAsia="zh-CN"/>
              </w:rPr>
            </w:pPr>
            <w:r>
              <w:rPr>
                <w:rFonts w:hint="eastAsia"/>
                <w:b w:val="0"/>
                <w:color w:val="000000"/>
                <w:sz w:val="18"/>
                <w:szCs w:val="18"/>
                <w:lang w:val="en-US" w:eastAsia="zh-CN"/>
              </w:rPr>
              <w:t>15B</w:t>
            </w:r>
          </w:p>
        </w:tc>
        <w:tc>
          <w:tcPr>
            <w:tcW w:w="1122" w:type="dxa"/>
            <w:tcBorders>
              <w:top w:val="single" w:color="000000" w:sz="4" w:space="0"/>
              <w:left w:val="nil"/>
              <w:bottom w:val="single" w:color="000000" w:sz="4" w:space="0"/>
              <w:right w:val="nil"/>
            </w:tcBorders>
            <w:shd w:val="clear" w:color="auto" w:fill="FFFFFF"/>
            <w:noWrap/>
            <w:vAlign w:val="center"/>
          </w:tcPr>
          <w:p w14:paraId="004A6339">
            <w:pPr>
              <w:spacing w:line="240" w:lineRule="auto"/>
              <w:rPr>
                <w:rFonts w:hint="eastAsia"/>
                <w:b w:val="0"/>
                <w:color w:val="000000"/>
                <w:sz w:val="18"/>
                <w:szCs w:val="18"/>
                <w:lang w:val="en-US" w:eastAsia="zh-CN"/>
              </w:rPr>
            </w:pPr>
            <w:r>
              <w:rPr>
                <w:rFonts w:hint="eastAsia"/>
                <w:b w:val="0"/>
                <w:color w:val="000000"/>
                <w:sz w:val="18"/>
                <w:szCs w:val="18"/>
                <w:lang w:val="en-US" w:eastAsia="zh-CN"/>
              </w:rPr>
              <w:t>0.591 (0.565-0.618)</w:t>
            </w:r>
          </w:p>
        </w:tc>
        <w:tc>
          <w:tcPr>
            <w:tcW w:w="1122" w:type="dxa"/>
            <w:tcBorders>
              <w:top w:val="single" w:color="000000" w:sz="4" w:space="0"/>
              <w:left w:val="nil"/>
              <w:bottom w:val="single" w:color="000000" w:sz="4" w:space="0"/>
              <w:right w:val="nil"/>
            </w:tcBorders>
            <w:shd w:val="clear" w:color="auto" w:fill="FFFFFF"/>
            <w:noWrap/>
            <w:vAlign w:val="center"/>
          </w:tcPr>
          <w:p w14:paraId="5B58ECDA">
            <w:pPr>
              <w:spacing w:line="240" w:lineRule="auto"/>
              <w:rPr>
                <w:rFonts w:hint="eastAsia"/>
                <w:b w:val="0"/>
                <w:color w:val="000000"/>
                <w:sz w:val="18"/>
                <w:szCs w:val="18"/>
                <w:lang w:val="en-US" w:eastAsia="zh-CN"/>
              </w:rPr>
            </w:pPr>
            <w:r>
              <w:rPr>
                <w:rFonts w:hint="eastAsia"/>
                <w:b w:val="0"/>
                <w:color w:val="000000"/>
                <w:sz w:val="18"/>
                <w:szCs w:val="18"/>
                <w:lang w:val="en-US" w:eastAsia="zh-CN"/>
              </w:rPr>
              <w:t>49.60%</w:t>
            </w:r>
          </w:p>
        </w:tc>
        <w:tc>
          <w:tcPr>
            <w:tcW w:w="1123" w:type="dxa"/>
            <w:tcBorders>
              <w:top w:val="single" w:color="000000" w:sz="4" w:space="0"/>
              <w:left w:val="nil"/>
              <w:bottom w:val="single" w:color="000000" w:sz="4" w:space="0"/>
              <w:right w:val="nil"/>
            </w:tcBorders>
            <w:shd w:val="clear" w:color="auto" w:fill="FFFFFF"/>
            <w:noWrap/>
            <w:vAlign w:val="center"/>
          </w:tcPr>
          <w:p w14:paraId="3434409E">
            <w:pPr>
              <w:spacing w:line="240" w:lineRule="auto"/>
              <w:rPr>
                <w:rFonts w:hint="eastAsia"/>
                <w:b w:val="0"/>
                <w:color w:val="000000"/>
                <w:sz w:val="18"/>
                <w:szCs w:val="18"/>
                <w:lang w:val="en-US" w:eastAsia="zh-CN"/>
              </w:rPr>
            </w:pPr>
            <w:r>
              <w:rPr>
                <w:rFonts w:hint="eastAsia"/>
                <w:b w:val="0"/>
                <w:color w:val="000000"/>
                <w:sz w:val="18"/>
                <w:szCs w:val="18"/>
                <w:lang w:val="en-US" w:eastAsia="zh-CN"/>
              </w:rPr>
              <w:t>63.60%</w:t>
            </w:r>
          </w:p>
        </w:tc>
        <w:tc>
          <w:tcPr>
            <w:tcW w:w="784" w:type="dxa"/>
            <w:tcBorders>
              <w:top w:val="single" w:color="000000" w:sz="4" w:space="0"/>
              <w:left w:val="nil"/>
              <w:bottom w:val="single" w:color="000000" w:sz="4" w:space="0"/>
              <w:right w:val="nil"/>
            </w:tcBorders>
            <w:shd w:val="clear" w:color="auto" w:fill="FFFFFF"/>
            <w:noWrap/>
            <w:vAlign w:val="center"/>
          </w:tcPr>
          <w:p w14:paraId="27A71D0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4AF4617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6DCAF0C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218B876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240D29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09F1FC0C">
            <w:pPr>
              <w:spacing w:line="240" w:lineRule="auto"/>
              <w:rPr>
                <w:rFonts w:hint="eastAsia"/>
                <w:b w:val="0"/>
                <w:color w:val="000000"/>
                <w:sz w:val="18"/>
                <w:szCs w:val="18"/>
                <w:lang w:val="en-US" w:eastAsia="zh-CN"/>
              </w:rPr>
            </w:pPr>
            <w:r>
              <w:rPr>
                <w:rFonts w:hint="eastAsia"/>
                <w:b w:val="0"/>
                <w:color w:val="000000"/>
                <w:sz w:val="18"/>
                <w:szCs w:val="18"/>
                <w:lang w:val="en-US" w:eastAsia="zh-CN"/>
              </w:rPr>
              <w:t>0.582(95%CI NM)</w:t>
            </w:r>
          </w:p>
        </w:tc>
        <w:tc>
          <w:tcPr>
            <w:tcW w:w="1204" w:type="dxa"/>
            <w:tcBorders>
              <w:top w:val="single" w:color="000000" w:sz="4" w:space="0"/>
              <w:left w:val="nil"/>
              <w:bottom w:val="single" w:color="000000" w:sz="4" w:space="0"/>
              <w:right w:val="nil"/>
            </w:tcBorders>
            <w:shd w:val="clear" w:color="auto" w:fill="FFFFFF"/>
            <w:noWrap/>
            <w:vAlign w:val="center"/>
          </w:tcPr>
          <w:p w14:paraId="0E7C9C2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76800AB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7DA70E9">
            <w:pPr>
              <w:spacing w:line="240" w:lineRule="auto"/>
              <w:rPr>
                <w:rFonts w:hint="eastAsia"/>
                <w:b w:val="0"/>
                <w:color w:val="000000"/>
                <w:sz w:val="18"/>
                <w:szCs w:val="18"/>
                <w:lang w:val="en-US" w:eastAsia="zh-CN"/>
              </w:rPr>
            </w:pPr>
            <w:r>
              <w:rPr>
                <w:rFonts w:hint="eastAsia"/>
                <w:b w:val="0"/>
                <w:color w:val="000000"/>
                <w:sz w:val="18"/>
                <w:szCs w:val="18"/>
                <w:lang w:val="en-US" w:eastAsia="zh-CN"/>
              </w:rPr>
              <w:t>MAFLD</w:t>
            </w:r>
          </w:p>
        </w:tc>
        <w:tc>
          <w:tcPr>
            <w:tcW w:w="1315" w:type="dxa"/>
            <w:tcBorders>
              <w:top w:val="single" w:color="000000" w:sz="4" w:space="0"/>
              <w:left w:val="nil"/>
              <w:bottom w:val="single" w:color="000000" w:sz="4" w:space="0"/>
              <w:right w:val="nil"/>
            </w:tcBorders>
            <w:shd w:val="clear" w:color="auto" w:fill="FFFFFF"/>
            <w:noWrap/>
            <w:vAlign w:val="center"/>
          </w:tcPr>
          <w:p w14:paraId="4DB39824">
            <w:pPr>
              <w:spacing w:line="240" w:lineRule="auto"/>
              <w:rPr>
                <w:rFonts w:hint="eastAsia"/>
                <w:b w:val="0"/>
                <w:color w:val="000000"/>
                <w:sz w:val="18"/>
                <w:szCs w:val="18"/>
                <w:lang w:val="en-US" w:eastAsia="zh-CN"/>
              </w:rPr>
            </w:pPr>
            <w:r>
              <w:rPr>
                <w:rFonts w:hint="eastAsia"/>
                <w:b w:val="0"/>
                <w:color w:val="000000"/>
                <w:sz w:val="18"/>
                <w:szCs w:val="18"/>
                <w:lang w:val="en-US" w:eastAsia="zh-CN"/>
              </w:rPr>
              <w:t>Hu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0EBFF425">
            <w:pPr>
              <w:spacing w:line="240" w:lineRule="auto"/>
              <w:rPr>
                <w:rFonts w:hint="eastAsia"/>
                <w:b w:val="0"/>
                <w:color w:val="000000"/>
                <w:sz w:val="18"/>
                <w:szCs w:val="18"/>
                <w:lang w:val="en-US" w:eastAsia="zh-CN"/>
              </w:rPr>
            </w:pPr>
            <w:r>
              <w:rPr>
                <w:rFonts w:hint="eastAsia"/>
                <w:b w:val="0"/>
                <w:color w:val="000000"/>
                <w:sz w:val="18"/>
                <w:szCs w:val="18"/>
                <w:lang w:val="en-US" w:eastAsia="zh-CN"/>
              </w:rPr>
              <w:t>15C</w:t>
            </w:r>
          </w:p>
        </w:tc>
        <w:tc>
          <w:tcPr>
            <w:tcW w:w="1122" w:type="dxa"/>
            <w:tcBorders>
              <w:top w:val="single" w:color="000000" w:sz="4" w:space="0"/>
              <w:left w:val="nil"/>
              <w:bottom w:val="single" w:color="000000" w:sz="4" w:space="0"/>
              <w:right w:val="nil"/>
            </w:tcBorders>
            <w:shd w:val="clear" w:color="auto" w:fill="FFFFFF"/>
            <w:noWrap/>
            <w:vAlign w:val="center"/>
          </w:tcPr>
          <w:p w14:paraId="729EB584">
            <w:pPr>
              <w:spacing w:line="240" w:lineRule="auto"/>
              <w:rPr>
                <w:rFonts w:hint="eastAsia"/>
                <w:b w:val="0"/>
                <w:color w:val="000000"/>
                <w:sz w:val="18"/>
                <w:szCs w:val="18"/>
                <w:lang w:val="en-US" w:eastAsia="zh-CN"/>
              </w:rPr>
            </w:pPr>
            <w:r>
              <w:rPr>
                <w:rFonts w:hint="eastAsia"/>
                <w:b w:val="0"/>
                <w:color w:val="000000"/>
                <w:sz w:val="18"/>
                <w:szCs w:val="18"/>
                <w:lang w:val="en-US" w:eastAsia="zh-CN"/>
              </w:rPr>
              <w:t>0.778 (0.757-0.799)</w:t>
            </w:r>
          </w:p>
        </w:tc>
        <w:tc>
          <w:tcPr>
            <w:tcW w:w="1122" w:type="dxa"/>
            <w:tcBorders>
              <w:top w:val="single" w:color="000000" w:sz="4" w:space="0"/>
              <w:left w:val="nil"/>
              <w:bottom w:val="single" w:color="000000" w:sz="4" w:space="0"/>
              <w:right w:val="nil"/>
            </w:tcBorders>
            <w:shd w:val="clear" w:color="auto" w:fill="FFFFFF"/>
            <w:noWrap/>
            <w:vAlign w:val="center"/>
          </w:tcPr>
          <w:p w14:paraId="79F1720F">
            <w:pPr>
              <w:spacing w:line="240" w:lineRule="auto"/>
              <w:rPr>
                <w:rFonts w:hint="eastAsia"/>
                <w:b w:val="0"/>
                <w:color w:val="000000"/>
                <w:sz w:val="18"/>
                <w:szCs w:val="18"/>
                <w:lang w:val="en-US" w:eastAsia="zh-CN"/>
              </w:rPr>
            </w:pPr>
            <w:r>
              <w:rPr>
                <w:rFonts w:hint="eastAsia"/>
                <w:b w:val="0"/>
                <w:color w:val="000000"/>
                <w:sz w:val="18"/>
                <w:szCs w:val="18"/>
                <w:lang w:val="en-US" w:eastAsia="zh-CN"/>
              </w:rPr>
              <w:t>69.30%</w:t>
            </w:r>
          </w:p>
        </w:tc>
        <w:tc>
          <w:tcPr>
            <w:tcW w:w="1123" w:type="dxa"/>
            <w:tcBorders>
              <w:top w:val="single" w:color="000000" w:sz="4" w:space="0"/>
              <w:left w:val="nil"/>
              <w:bottom w:val="single" w:color="000000" w:sz="4" w:space="0"/>
              <w:right w:val="nil"/>
            </w:tcBorders>
            <w:shd w:val="clear" w:color="auto" w:fill="FFFFFF"/>
            <w:noWrap/>
            <w:vAlign w:val="center"/>
          </w:tcPr>
          <w:p w14:paraId="60913031">
            <w:pPr>
              <w:spacing w:line="240" w:lineRule="auto"/>
              <w:rPr>
                <w:rFonts w:hint="eastAsia"/>
                <w:b w:val="0"/>
                <w:color w:val="000000"/>
                <w:sz w:val="18"/>
                <w:szCs w:val="18"/>
                <w:lang w:val="en-US" w:eastAsia="zh-CN"/>
              </w:rPr>
            </w:pPr>
            <w:r>
              <w:rPr>
                <w:rFonts w:hint="eastAsia"/>
                <w:b w:val="0"/>
                <w:color w:val="000000"/>
                <w:sz w:val="18"/>
                <w:szCs w:val="18"/>
                <w:lang w:val="en-US" w:eastAsia="zh-CN"/>
              </w:rPr>
              <w:t>71.90%</w:t>
            </w:r>
          </w:p>
        </w:tc>
        <w:tc>
          <w:tcPr>
            <w:tcW w:w="784" w:type="dxa"/>
            <w:tcBorders>
              <w:top w:val="single" w:color="000000" w:sz="4" w:space="0"/>
              <w:left w:val="nil"/>
              <w:bottom w:val="single" w:color="000000" w:sz="4" w:space="0"/>
              <w:right w:val="nil"/>
            </w:tcBorders>
            <w:shd w:val="clear" w:color="auto" w:fill="FFFFFF"/>
            <w:noWrap/>
            <w:vAlign w:val="center"/>
          </w:tcPr>
          <w:p w14:paraId="730F75C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28F3F54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1C7B798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FE9D16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95ED84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498F1E1">
            <w:pPr>
              <w:spacing w:line="240" w:lineRule="auto"/>
              <w:rPr>
                <w:rFonts w:hint="eastAsia"/>
                <w:b w:val="0"/>
                <w:color w:val="000000"/>
                <w:sz w:val="18"/>
                <w:szCs w:val="18"/>
                <w:lang w:val="en-US" w:eastAsia="zh-CN"/>
              </w:rPr>
            </w:pPr>
            <w:r>
              <w:rPr>
                <w:rFonts w:hint="eastAsia"/>
                <w:b w:val="0"/>
                <w:color w:val="000000"/>
                <w:sz w:val="18"/>
                <w:szCs w:val="18"/>
                <w:lang w:val="en-US" w:eastAsia="zh-CN"/>
              </w:rPr>
              <w:t>0.796(95%CI NM)</w:t>
            </w:r>
          </w:p>
        </w:tc>
        <w:tc>
          <w:tcPr>
            <w:tcW w:w="1204" w:type="dxa"/>
            <w:tcBorders>
              <w:top w:val="single" w:color="000000" w:sz="4" w:space="0"/>
              <w:left w:val="nil"/>
              <w:bottom w:val="single" w:color="000000" w:sz="4" w:space="0"/>
              <w:right w:val="nil"/>
            </w:tcBorders>
            <w:shd w:val="clear" w:color="auto" w:fill="FFFFFF"/>
            <w:noWrap/>
            <w:vAlign w:val="center"/>
          </w:tcPr>
          <w:p w14:paraId="020CC10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65DC565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63AD3AE">
            <w:pPr>
              <w:spacing w:line="240" w:lineRule="auto"/>
              <w:rPr>
                <w:rFonts w:hint="eastAsia"/>
                <w:b w:val="0"/>
                <w:color w:val="000000"/>
                <w:sz w:val="18"/>
                <w:szCs w:val="18"/>
                <w:lang w:val="en-US" w:eastAsia="zh-CN"/>
              </w:rPr>
            </w:pPr>
            <w:r>
              <w:rPr>
                <w:rFonts w:hint="eastAsia"/>
                <w:b w:val="0"/>
                <w:color w:val="000000"/>
                <w:sz w:val="18"/>
                <w:szCs w:val="18"/>
                <w:lang w:val="en-US" w:eastAsia="zh-CN"/>
              </w:rPr>
              <w:t>MAFLD</w:t>
            </w:r>
          </w:p>
        </w:tc>
        <w:tc>
          <w:tcPr>
            <w:tcW w:w="1315" w:type="dxa"/>
            <w:tcBorders>
              <w:top w:val="single" w:color="000000" w:sz="4" w:space="0"/>
              <w:left w:val="nil"/>
              <w:bottom w:val="single" w:color="000000" w:sz="4" w:space="0"/>
              <w:right w:val="nil"/>
            </w:tcBorders>
            <w:shd w:val="clear" w:color="auto" w:fill="FFFFFF"/>
            <w:noWrap/>
            <w:vAlign w:val="center"/>
          </w:tcPr>
          <w:p w14:paraId="4379964F">
            <w:pPr>
              <w:spacing w:line="240" w:lineRule="auto"/>
              <w:rPr>
                <w:rFonts w:hint="eastAsia"/>
                <w:b w:val="0"/>
                <w:color w:val="000000"/>
                <w:sz w:val="18"/>
                <w:szCs w:val="18"/>
                <w:lang w:val="en-US" w:eastAsia="zh-CN"/>
              </w:rPr>
            </w:pPr>
            <w:r>
              <w:rPr>
                <w:rFonts w:hint="eastAsia"/>
                <w:b w:val="0"/>
                <w:color w:val="000000"/>
                <w:sz w:val="18"/>
                <w:szCs w:val="18"/>
                <w:lang w:val="en-US" w:eastAsia="zh-CN"/>
              </w:rPr>
              <w:t>Hu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(42)</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40AAEB6E">
            <w:pPr>
              <w:spacing w:line="240" w:lineRule="auto"/>
              <w:rPr>
                <w:rFonts w:hint="eastAsia"/>
                <w:b w:val="0"/>
                <w:color w:val="000000"/>
                <w:sz w:val="18"/>
                <w:szCs w:val="18"/>
                <w:lang w:val="en-US" w:eastAsia="zh-CN"/>
              </w:rPr>
            </w:pPr>
            <w:r>
              <w:rPr>
                <w:rFonts w:hint="eastAsia"/>
                <w:b w:val="0"/>
                <w:color w:val="000000"/>
                <w:sz w:val="18"/>
                <w:szCs w:val="18"/>
                <w:lang w:val="en-US" w:eastAsia="zh-CN"/>
              </w:rPr>
              <w:t>15D</w:t>
            </w:r>
          </w:p>
        </w:tc>
        <w:tc>
          <w:tcPr>
            <w:tcW w:w="1122" w:type="dxa"/>
            <w:tcBorders>
              <w:top w:val="single" w:color="000000" w:sz="4" w:space="0"/>
              <w:left w:val="nil"/>
              <w:bottom w:val="single" w:color="000000" w:sz="4" w:space="0"/>
              <w:right w:val="nil"/>
            </w:tcBorders>
            <w:shd w:val="clear" w:color="auto" w:fill="FFFFFF"/>
            <w:noWrap/>
            <w:vAlign w:val="center"/>
          </w:tcPr>
          <w:p w14:paraId="66534893">
            <w:pPr>
              <w:spacing w:line="240" w:lineRule="auto"/>
              <w:rPr>
                <w:rFonts w:hint="eastAsia"/>
                <w:b w:val="0"/>
                <w:color w:val="000000"/>
                <w:sz w:val="18"/>
                <w:szCs w:val="18"/>
                <w:lang w:val="en-US" w:eastAsia="zh-CN"/>
              </w:rPr>
            </w:pPr>
            <w:r>
              <w:rPr>
                <w:rFonts w:hint="eastAsia"/>
                <w:b w:val="0"/>
                <w:color w:val="000000"/>
                <w:sz w:val="18"/>
                <w:szCs w:val="18"/>
                <w:lang w:val="en-US" w:eastAsia="zh-CN"/>
              </w:rPr>
              <w:t>0.811 (0.792-0.831)</w:t>
            </w:r>
          </w:p>
        </w:tc>
        <w:tc>
          <w:tcPr>
            <w:tcW w:w="1122" w:type="dxa"/>
            <w:tcBorders>
              <w:top w:val="single" w:color="000000" w:sz="4" w:space="0"/>
              <w:left w:val="nil"/>
              <w:bottom w:val="single" w:color="000000" w:sz="4" w:space="0"/>
              <w:right w:val="nil"/>
            </w:tcBorders>
            <w:shd w:val="clear" w:color="auto" w:fill="FFFFFF"/>
            <w:noWrap/>
            <w:vAlign w:val="center"/>
          </w:tcPr>
          <w:p w14:paraId="4D506FEC">
            <w:pPr>
              <w:spacing w:line="240" w:lineRule="auto"/>
              <w:rPr>
                <w:rFonts w:hint="eastAsia"/>
                <w:b w:val="0"/>
                <w:color w:val="000000"/>
                <w:sz w:val="18"/>
                <w:szCs w:val="18"/>
                <w:lang w:val="en-US" w:eastAsia="zh-CN"/>
              </w:rPr>
            </w:pPr>
            <w:r>
              <w:rPr>
                <w:rFonts w:hint="eastAsia"/>
                <w:b w:val="0"/>
                <w:color w:val="000000"/>
                <w:sz w:val="18"/>
                <w:szCs w:val="18"/>
                <w:lang w:val="en-US" w:eastAsia="zh-CN"/>
              </w:rPr>
              <w:t>78.60%</w:t>
            </w:r>
          </w:p>
        </w:tc>
        <w:tc>
          <w:tcPr>
            <w:tcW w:w="1123" w:type="dxa"/>
            <w:tcBorders>
              <w:top w:val="single" w:color="000000" w:sz="4" w:space="0"/>
              <w:left w:val="nil"/>
              <w:bottom w:val="single" w:color="000000" w:sz="4" w:space="0"/>
              <w:right w:val="nil"/>
            </w:tcBorders>
            <w:shd w:val="clear" w:color="auto" w:fill="FFFFFF"/>
            <w:noWrap/>
            <w:vAlign w:val="center"/>
          </w:tcPr>
          <w:p w14:paraId="554056B7">
            <w:pPr>
              <w:spacing w:line="240" w:lineRule="auto"/>
              <w:rPr>
                <w:rFonts w:hint="eastAsia"/>
                <w:b w:val="0"/>
                <w:color w:val="000000"/>
                <w:sz w:val="18"/>
                <w:szCs w:val="18"/>
                <w:lang w:val="en-US" w:eastAsia="zh-CN"/>
              </w:rPr>
            </w:pPr>
            <w:r>
              <w:rPr>
                <w:rFonts w:hint="eastAsia"/>
                <w:b w:val="0"/>
                <w:color w:val="000000"/>
                <w:sz w:val="18"/>
                <w:szCs w:val="18"/>
                <w:lang w:val="en-US" w:eastAsia="zh-CN"/>
              </w:rPr>
              <w:t>69.20%</w:t>
            </w:r>
          </w:p>
        </w:tc>
        <w:tc>
          <w:tcPr>
            <w:tcW w:w="784" w:type="dxa"/>
            <w:tcBorders>
              <w:top w:val="single" w:color="000000" w:sz="4" w:space="0"/>
              <w:left w:val="nil"/>
              <w:bottom w:val="single" w:color="000000" w:sz="4" w:space="0"/>
              <w:right w:val="nil"/>
            </w:tcBorders>
            <w:shd w:val="clear" w:color="auto" w:fill="FFFFFF"/>
            <w:noWrap/>
            <w:vAlign w:val="center"/>
          </w:tcPr>
          <w:p w14:paraId="71DBB0B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0A7457F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3701C97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2AE966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73AD221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98F5905">
            <w:pPr>
              <w:spacing w:line="240" w:lineRule="auto"/>
              <w:rPr>
                <w:rFonts w:hint="eastAsia"/>
                <w:b w:val="0"/>
                <w:color w:val="000000"/>
                <w:sz w:val="18"/>
                <w:szCs w:val="18"/>
                <w:lang w:val="en-US" w:eastAsia="zh-CN"/>
              </w:rPr>
            </w:pPr>
            <w:r>
              <w:rPr>
                <w:rFonts w:hint="eastAsia"/>
                <w:b w:val="0"/>
                <w:color w:val="000000"/>
                <w:sz w:val="18"/>
                <w:szCs w:val="18"/>
                <w:lang w:val="en-US" w:eastAsia="zh-CN"/>
              </w:rPr>
              <w:t>0.829(95%CI NM)</w:t>
            </w:r>
          </w:p>
        </w:tc>
        <w:tc>
          <w:tcPr>
            <w:tcW w:w="1204" w:type="dxa"/>
            <w:tcBorders>
              <w:top w:val="single" w:color="000000" w:sz="4" w:space="0"/>
              <w:left w:val="nil"/>
              <w:bottom w:val="single" w:color="000000" w:sz="4" w:space="0"/>
              <w:right w:val="nil"/>
            </w:tcBorders>
            <w:shd w:val="clear" w:color="auto" w:fill="FFFFFF"/>
            <w:noWrap/>
            <w:vAlign w:val="center"/>
          </w:tcPr>
          <w:p w14:paraId="1A5976E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A8AEEC1">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F75177F">
            <w:pPr>
              <w:spacing w:line="240" w:lineRule="auto"/>
              <w:rPr>
                <w:rFonts w:hint="eastAsia"/>
                <w:b w:val="0"/>
                <w:color w:val="000000"/>
                <w:sz w:val="18"/>
                <w:szCs w:val="18"/>
                <w:lang w:val="en-US" w:eastAsia="zh-CN"/>
              </w:rPr>
            </w:pPr>
            <w:r>
              <w:rPr>
                <w:rFonts w:hint="eastAsia"/>
                <w:b w:val="0"/>
                <w:color w:val="000000"/>
                <w:sz w:val="18"/>
                <w:szCs w:val="18"/>
                <w:lang w:val="en-US" w:eastAsia="zh-CN"/>
              </w:rPr>
              <w:t>Severe OSA (AHI≥30)</w:t>
            </w:r>
          </w:p>
        </w:tc>
        <w:tc>
          <w:tcPr>
            <w:tcW w:w="1315" w:type="dxa"/>
            <w:tcBorders>
              <w:top w:val="single" w:color="000000" w:sz="4" w:space="0"/>
              <w:left w:val="nil"/>
              <w:bottom w:val="single" w:color="000000" w:sz="4" w:space="0"/>
              <w:right w:val="nil"/>
            </w:tcBorders>
            <w:shd w:val="clear" w:color="auto" w:fill="FFFFFF"/>
            <w:noWrap/>
            <w:vAlign w:val="center"/>
          </w:tcPr>
          <w:p w14:paraId="63BD7B36">
            <w:pPr>
              <w:spacing w:line="240" w:lineRule="auto"/>
              <w:rPr>
                <w:rFonts w:hint="eastAsia"/>
                <w:b w:val="0"/>
                <w:color w:val="000000"/>
                <w:sz w:val="18"/>
                <w:szCs w:val="18"/>
                <w:lang w:val="en-US" w:eastAsia="zh-CN"/>
              </w:rPr>
            </w:pPr>
            <w:r>
              <w:rPr>
                <w:rFonts w:hint="eastAsia"/>
                <w:b w:val="0"/>
                <w:color w:val="000000"/>
                <w:sz w:val="18"/>
                <w:szCs w:val="18"/>
                <w:lang w:val="en-US" w:eastAsia="zh-CN"/>
              </w:rPr>
              <w:t>Zhao A,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PEVuZE5vdGU+PENpdGU+PEF1dGhvcj5aaGFvPC9BdXRob3I+PFllYXI+MjAyNDwvWWVhcj48UmVj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(43)</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6706CB2">
            <w:pPr>
              <w:spacing w:line="240" w:lineRule="auto"/>
              <w:rPr>
                <w:rFonts w:hint="eastAsia"/>
                <w:b w:val="0"/>
                <w:color w:val="000000"/>
                <w:sz w:val="18"/>
                <w:szCs w:val="18"/>
                <w:lang w:val="en-US" w:eastAsia="zh-CN"/>
              </w:rPr>
            </w:pPr>
            <w:r>
              <w:rPr>
                <w:rFonts w:hint="eastAsia"/>
                <w:b w:val="0"/>
                <w:color w:val="000000"/>
                <w:sz w:val="18"/>
                <w:szCs w:val="18"/>
                <w:lang w:val="en-US" w:eastAsia="zh-CN"/>
              </w:rPr>
              <w:t>16</w:t>
            </w:r>
          </w:p>
        </w:tc>
        <w:tc>
          <w:tcPr>
            <w:tcW w:w="1122" w:type="dxa"/>
            <w:tcBorders>
              <w:top w:val="single" w:color="000000" w:sz="4" w:space="0"/>
              <w:left w:val="nil"/>
              <w:bottom w:val="single" w:color="000000" w:sz="4" w:space="0"/>
              <w:right w:val="nil"/>
            </w:tcBorders>
            <w:shd w:val="clear" w:color="auto" w:fill="FFFFFF"/>
            <w:noWrap/>
            <w:vAlign w:val="center"/>
          </w:tcPr>
          <w:p w14:paraId="091CFC56">
            <w:pPr>
              <w:spacing w:line="240" w:lineRule="auto"/>
              <w:rPr>
                <w:rFonts w:hint="eastAsia"/>
                <w:b w:val="0"/>
                <w:color w:val="000000"/>
                <w:sz w:val="18"/>
                <w:szCs w:val="18"/>
                <w:lang w:val="en-US" w:eastAsia="zh-CN"/>
              </w:rPr>
            </w:pPr>
            <w:r>
              <w:rPr>
                <w:rFonts w:hint="eastAsia"/>
                <w:b w:val="0"/>
                <w:color w:val="000000"/>
                <w:sz w:val="18"/>
                <w:szCs w:val="18"/>
                <w:lang w:val="en-US" w:eastAsia="zh-CN"/>
              </w:rPr>
              <w:t>0.845 (0.817-0.873)</w:t>
            </w:r>
          </w:p>
        </w:tc>
        <w:tc>
          <w:tcPr>
            <w:tcW w:w="1122" w:type="dxa"/>
            <w:tcBorders>
              <w:top w:val="single" w:color="000000" w:sz="4" w:space="0"/>
              <w:left w:val="nil"/>
              <w:bottom w:val="single" w:color="000000" w:sz="4" w:space="0"/>
              <w:right w:val="nil"/>
            </w:tcBorders>
            <w:shd w:val="clear" w:color="auto" w:fill="FFFFFF"/>
            <w:noWrap/>
            <w:vAlign w:val="center"/>
          </w:tcPr>
          <w:p w14:paraId="5E3808AD">
            <w:pPr>
              <w:spacing w:line="240" w:lineRule="auto"/>
              <w:rPr>
                <w:rFonts w:hint="eastAsia"/>
                <w:b w:val="0"/>
                <w:color w:val="000000"/>
                <w:sz w:val="18"/>
                <w:szCs w:val="18"/>
                <w:lang w:val="en-US" w:eastAsia="zh-CN"/>
              </w:rPr>
            </w:pPr>
            <w:r>
              <w:rPr>
                <w:rFonts w:hint="eastAsia"/>
                <w:b w:val="0"/>
                <w:color w:val="000000"/>
                <w:sz w:val="18"/>
                <w:szCs w:val="18"/>
                <w:lang w:val="en-US" w:eastAsia="zh-CN"/>
              </w:rPr>
              <w:t>72.40%</w:t>
            </w:r>
          </w:p>
        </w:tc>
        <w:tc>
          <w:tcPr>
            <w:tcW w:w="1123" w:type="dxa"/>
            <w:tcBorders>
              <w:top w:val="single" w:color="000000" w:sz="4" w:space="0"/>
              <w:left w:val="nil"/>
              <w:bottom w:val="single" w:color="000000" w:sz="4" w:space="0"/>
              <w:right w:val="nil"/>
            </w:tcBorders>
            <w:shd w:val="clear" w:color="auto" w:fill="FFFFFF"/>
            <w:noWrap/>
            <w:vAlign w:val="center"/>
          </w:tcPr>
          <w:p w14:paraId="2945B8D4">
            <w:pPr>
              <w:spacing w:line="240" w:lineRule="auto"/>
              <w:rPr>
                <w:rFonts w:hint="eastAsia"/>
                <w:b w:val="0"/>
                <w:color w:val="000000"/>
                <w:sz w:val="18"/>
                <w:szCs w:val="18"/>
                <w:lang w:val="en-US" w:eastAsia="zh-CN"/>
              </w:rPr>
            </w:pPr>
            <w:r>
              <w:rPr>
                <w:rFonts w:hint="eastAsia"/>
                <w:b w:val="0"/>
                <w:color w:val="000000"/>
                <w:sz w:val="18"/>
                <w:szCs w:val="18"/>
                <w:lang w:val="en-US" w:eastAsia="zh-CN"/>
              </w:rPr>
              <w:t>82.80%</w:t>
            </w:r>
          </w:p>
        </w:tc>
        <w:tc>
          <w:tcPr>
            <w:tcW w:w="784" w:type="dxa"/>
            <w:tcBorders>
              <w:top w:val="single" w:color="000000" w:sz="4" w:space="0"/>
              <w:left w:val="nil"/>
              <w:bottom w:val="single" w:color="000000" w:sz="4" w:space="0"/>
              <w:right w:val="nil"/>
            </w:tcBorders>
            <w:shd w:val="clear" w:color="auto" w:fill="FFFFFF"/>
            <w:noWrap/>
            <w:vAlign w:val="center"/>
          </w:tcPr>
          <w:p w14:paraId="469724DF">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11D03CEA">
            <w:pPr>
              <w:spacing w:line="240" w:lineRule="auto"/>
              <w:rPr>
                <w:rFonts w:hint="eastAsia"/>
                <w:b w:val="0"/>
                <w:color w:val="000000"/>
                <w:sz w:val="18"/>
                <w:szCs w:val="18"/>
                <w:lang w:val="en-US" w:eastAsia="zh-CN"/>
              </w:rPr>
            </w:pPr>
            <w:r>
              <w:rPr>
                <w:rFonts w:hint="eastAsia"/>
                <w:b w:val="0"/>
                <w:color w:val="000000"/>
                <w:sz w:val="18"/>
                <w:szCs w:val="18"/>
                <w:lang w:val="en-US" w:eastAsia="zh-CN"/>
              </w:rPr>
              <w:t>0.296</w:t>
            </w:r>
          </w:p>
        </w:tc>
        <w:tc>
          <w:tcPr>
            <w:tcW w:w="794" w:type="dxa"/>
            <w:tcBorders>
              <w:top w:val="single" w:color="000000" w:sz="4" w:space="0"/>
              <w:left w:val="nil"/>
              <w:bottom w:val="single" w:color="000000" w:sz="4" w:space="0"/>
              <w:right w:val="nil"/>
            </w:tcBorders>
            <w:shd w:val="clear" w:color="auto" w:fill="FFFFFF"/>
            <w:noWrap/>
            <w:vAlign w:val="center"/>
          </w:tcPr>
          <w:p w14:paraId="16E6A94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7E8941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9A11BA0">
            <w:pPr>
              <w:spacing w:line="240" w:lineRule="auto"/>
              <w:rPr>
                <w:rFonts w:hint="eastAsia"/>
                <w:b w:val="0"/>
                <w:color w:val="000000"/>
                <w:sz w:val="18"/>
                <w:szCs w:val="18"/>
                <w:lang w:val="en-US" w:eastAsia="zh-CN"/>
              </w:rPr>
            </w:pPr>
            <w:r>
              <w:rPr>
                <w:rFonts w:hint="eastAsia"/>
                <w:b w:val="0"/>
                <w:color w:val="000000"/>
                <w:sz w:val="18"/>
                <w:szCs w:val="18"/>
                <w:lang w:val="en-US" w:eastAsia="zh-CN"/>
              </w:rPr>
              <w:t>0.791(95%CI NM)</w:t>
            </w:r>
          </w:p>
        </w:tc>
        <w:tc>
          <w:tcPr>
            <w:tcW w:w="1242" w:type="dxa"/>
            <w:tcBorders>
              <w:top w:val="single" w:color="000000" w:sz="4" w:space="0"/>
              <w:left w:val="nil"/>
              <w:bottom w:val="single" w:color="000000" w:sz="4" w:space="0"/>
              <w:right w:val="nil"/>
            </w:tcBorders>
            <w:shd w:val="clear" w:color="auto" w:fill="FFFFFF"/>
            <w:noWrap/>
            <w:vAlign w:val="center"/>
          </w:tcPr>
          <w:p w14:paraId="269132E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4D9AAF8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65D540AA">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4CD898CC">
            <w:pPr>
              <w:spacing w:line="240" w:lineRule="auto"/>
              <w:rPr>
                <w:rFonts w:hint="eastAsia"/>
                <w:b w:val="0"/>
                <w:color w:val="000000"/>
                <w:sz w:val="18"/>
                <w:szCs w:val="18"/>
                <w:lang w:val="en-US" w:eastAsia="zh-CN"/>
              </w:rPr>
            </w:pPr>
            <w:r>
              <w:rPr>
                <w:rFonts w:hint="eastAsia"/>
                <w:b w:val="0"/>
                <w:color w:val="000000"/>
                <w:sz w:val="18"/>
                <w:szCs w:val="18"/>
                <w:lang w:val="en-US" w:eastAsia="zh-CN"/>
              </w:rPr>
              <w:t>OHS</w:t>
            </w:r>
          </w:p>
        </w:tc>
        <w:tc>
          <w:tcPr>
            <w:tcW w:w="1315" w:type="dxa"/>
            <w:tcBorders>
              <w:top w:val="single" w:color="000000" w:sz="4" w:space="0"/>
              <w:left w:val="nil"/>
              <w:bottom w:val="single" w:color="000000" w:sz="4" w:space="0"/>
              <w:right w:val="nil"/>
            </w:tcBorders>
            <w:shd w:val="clear" w:color="auto" w:fill="FFFFFF"/>
            <w:noWrap/>
            <w:vAlign w:val="center"/>
          </w:tcPr>
          <w:p w14:paraId="1CC92D6B">
            <w:pPr>
              <w:spacing w:line="240" w:lineRule="auto"/>
              <w:rPr>
                <w:rFonts w:hint="eastAsia"/>
                <w:b w:val="0"/>
                <w:color w:val="000000"/>
                <w:sz w:val="18"/>
                <w:szCs w:val="18"/>
                <w:lang w:val="en-US" w:eastAsia="zh-CN"/>
              </w:rPr>
            </w:pPr>
            <w:r>
              <w:rPr>
                <w:rFonts w:hint="eastAsia"/>
                <w:b w:val="0"/>
                <w:color w:val="000000"/>
                <w:sz w:val="18"/>
                <w:szCs w:val="18"/>
                <w:lang w:val="en-US" w:eastAsia="zh-CN"/>
              </w:rPr>
              <w:t>Chen W, et al., 2022</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&lt;EndNote&gt;&lt;Cite&gt;&lt;Author&gt;Chen&lt;/Author&gt;&lt;Year&gt;2022&lt;/Year&gt;&lt;RecNum&gt;780&lt;/RecNum&gt;&lt;DisplayText&gt;(44)&lt;/DisplayText&gt;&lt;record&gt;&lt;rec-number&gt;780&lt;/rec-number&gt;&lt;foreign-keys&gt;&lt;key app="EN" db-id="earspdaa1vazprerafqvx9tx5pvfaxf9awz0" timestamp="1783050295"&gt;780&lt;/key&gt;&lt;/foreign-keys&gt;&lt;ref-type name="期刊文献"&gt;17&lt;/ref-type&gt;&lt;contributors&gt;&lt;authors&gt;&lt;author&gt;Chen, Wenhui&lt;/author&gt;&lt;author&gt;Feng, Jia&lt;/author&gt;&lt;author&gt;Dong, Shiliang&lt;/author&gt;&lt;author&gt;Guo, Jie&lt;/author&gt;&lt;author&gt;Liang, Yalun&lt;/author&gt;&lt;author&gt;Hu, Ruixiang&lt;/author&gt;&lt;author&gt;Wang, Cun-chuan&lt;/author&gt;&lt;author&gt;Dong, Zhiyong&lt;/author&gt;&lt;/authors&gt;&lt;/contributors&gt;&lt;titles&gt;&lt;title&gt;A Novel Nomogram and Online Calculator for Predicting the Risk of Obesity Hypoventilation Syndrome in Bariatric Surgery Candidates&lt;/title&gt;&lt;secondary-title&gt;Obesity Surgery&lt;/secondary-title&gt;&lt;/titles&gt;&lt;periodical&gt;&lt;full-title&gt;Obesity Surgery&lt;/full-title&gt;&lt;/periodical&gt;&lt;volume&gt;33&lt;/volume&gt;&lt;dates&gt;&lt;year&gt;2022&lt;/year&gt;&lt;pub-dates&gt;&lt;date&gt;11/05&lt;/date&gt;&lt;/pub-dates&gt;&lt;/dates&gt;&lt;urls&gt;&lt;/urls&gt;&lt;electronic-resource-num&gt;10.1007/s11695-022-06324-1&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(44)</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F5DAE79">
            <w:pPr>
              <w:spacing w:line="240" w:lineRule="auto"/>
              <w:rPr>
                <w:rFonts w:hint="eastAsia"/>
                <w:b w:val="0"/>
                <w:color w:val="000000"/>
                <w:sz w:val="18"/>
                <w:szCs w:val="18"/>
                <w:lang w:val="en-US" w:eastAsia="zh-CN"/>
              </w:rPr>
            </w:pPr>
            <w:r>
              <w:rPr>
                <w:rFonts w:hint="eastAsia"/>
                <w:b w:val="0"/>
                <w:color w:val="000000"/>
                <w:sz w:val="18"/>
                <w:szCs w:val="18"/>
                <w:lang w:val="en-US" w:eastAsia="zh-CN"/>
              </w:rPr>
              <w:t>17</w:t>
            </w:r>
          </w:p>
        </w:tc>
        <w:tc>
          <w:tcPr>
            <w:tcW w:w="1122" w:type="dxa"/>
            <w:tcBorders>
              <w:top w:val="single" w:color="000000" w:sz="4" w:space="0"/>
              <w:left w:val="nil"/>
              <w:bottom w:val="single" w:color="000000" w:sz="4" w:space="0"/>
              <w:right w:val="nil"/>
            </w:tcBorders>
            <w:shd w:val="clear" w:color="auto" w:fill="FFFFFF"/>
            <w:noWrap/>
            <w:vAlign w:val="center"/>
          </w:tcPr>
          <w:p w14:paraId="12153FD7">
            <w:pPr>
              <w:spacing w:line="240" w:lineRule="auto"/>
              <w:rPr>
                <w:rFonts w:hint="eastAsia"/>
                <w:b w:val="0"/>
                <w:color w:val="000000"/>
                <w:sz w:val="18"/>
                <w:szCs w:val="18"/>
                <w:lang w:val="en-US" w:eastAsia="zh-CN"/>
              </w:rPr>
            </w:pPr>
            <w:r>
              <w:rPr>
                <w:rFonts w:hint="eastAsia"/>
                <w:b w:val="0"/>
                <w:color w:val="000000"/>
                <w:sz w:val="18"/>
                <w:szCs w:val="18"/>
                <w:lang w:val="en-US" w:eastAsia="zh-CN"/>
              </w:rPr>
              <w:t>0.830 (0.784-0.876)</w:t>
            </w:r>
          </w:p>
        </w:tc>
        <w:tc>
          <w:tcPr>
            <w:tcW w:w="1122" w:type="dxa"/>
            <w:tcBorders>
              <w:top w:val="single" w:color="000000" w:sz="4" w:space="0"/>
              <w:left w:val="nil"/>
              <w:bottom w:val="single" w:color="000000" w:sz="4" w:space="0"/>
              <w:right w:val="nil"/>
            </w:tcBorders>
            <w:shd w:val="clear" w:color="auto" w:fill="FFFFFF"/>
            <w:noWrap/>
            <w:vAlign w:val="center"/>
          </w:tcPr>
          <w:p w14:paraId="3AC34384">
            <w:pPr>
              <w:spacing w:line="240" w:lineRule="auto"/>
              <w:rPr>
                <w:rFonts w:hint="eastAsia"/>
                <w:b w:val="0"/>
                <w:color w:val="000000"/>
                <w:sz w:val="18"/>
                <w:szCs w:val="18"/>
                <w:lang w:val="en-US" w:eastAsia="zh-CN"/>
              </w:rPr>
            </w:pPr>
            <w:r>
              <w:rPr>
                <w:rFonts w:hint="eastAsia"/>
                <w:b w:val="0"/>
                <w:color w:val="000000"/>
                <w:sz w:val="18"/>
                <w:szCs w:val="18"/>
                <w:lang w:val="en-US" w:eastAsia="zh-CN"/>
              </w:rPr>
              <w:t>72.80%</w:t>
            </w:r>
          </w:p>
        </w:tc>
        <w:tc>
          <w:tcPr>
            <w:tcW w:w="1123" w:type="dxa"/>
            <w:tcBorders>
              <w:top w:val="single" w:color="000000" w:sz="4" w:space="0"/>
              <w:left w:val="nil"/>
              <w:bottom w:val="single" w:color="000000" w:sz="4" w:space="0"/>
              <w:right w:val="nil"/>
            </w:tcBorders>
            <w:shd w:val="clear" w:color="auto" w:fill="FFFFFF"/>
            <w:noWrap/>
            <w:vAlign w:val="center"/>
          </w:tcPr>
          <w:p w14:paraId="79C03FA3">
            <w:pPr>
              <w:spacing w:line="240" w:lineRule="auto"/>
              <w:rPr>
                <w:rFonts w:hint="eastAsia"/>
                <w:b w:val="0"/>
                <w:color w:val="000000"/>
                <w:sz w:val="18"/>
                <w:szCs w:val="18"/>
                <w:lang w:val="en-US" w:eastAsia="zh-CN"/>
              </w:rPr>
            </w:pPr>
            <w:r>
              <w:rPr>
                <w:rFonts w:hint="eastAsia"/>
                <w:b w:val="0"/>
                <w:color w:val="000000"/>
                <w:sz w:val="18"/>
                <w:szCs w:val="18"/>
                <w:lang w:val="en-US" w:eastAsia="zh-CN"/>
              </w:rPr>
              <w:t>81.60%</w:t>
            </w:r>
          </w:p>
        </w:tc>
        <w:tc>
          <w:tcPr>
            <w:tcW w:w="784" w:type="dxa"/>
            <w:tcBorders>
              <w:top w:val="single" w:color="000000" w:sz="4" w:space="0"/>
              <w:left w:val="nil"/>
              <w:bottom w:val="single" w:color="000000" w:sz="4" w:space="0"/>
              <w:right w:val="nil"/>
            </w:tcBorders>
            <w:shd w:val="clear" w:color="auto" w:fill="FFFFFF"/>
            <w:noWrap/>
            <w:vAlign w:val="center"/>
          </w:tcPr>
          <w:p w14:paraId="517B3E47">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6305735D">
            <w:pPr>
              <w:spacing w:line="240" w:lineRule="auto"/>
              <w:rPr>
                <w:rFonts w:hint="eastAsia"/>
                <w:b w:val="0"/>
                <w:color w:val="000000"/>
                <w:sz w:val="18"/>
                <w:szCs w:val="18"/>
                <w:lang w:val="en-US" w:eastAsia="zh-CN"/>
              </w:rPr>
            </w:pPr>
            <w:r>
              <w:rPr>
                <w:rFonts w:hint="eastAsia"/>
                <w:b w:val="0"/>
                <w:color w:val="000000"/>
                <w:sz w:val="18"/>
                <w:szCs w:val="18"/>
                <w:lang w:val="en-US" w:eastAsia="zh-CN"/>
              </w:rPr>
              <w:t>0.675</w:t>
            </w:r>
          </w:p>
        </w:tc>
        <w:tc>
          <w:tcPr>
            <w:tcW w:w="794" w:type="dxa"/>
            <w:tcBorders>
              <w:top w:val="single" w:color="000000" w:sz="4" w:space="0"/>
              <w:left w:val="nil"/>
              <w:bottom w:val="single" w:color="000000" w:sz="4" w:space="0"/>
              <w:right w:val="nil"/>
            </w:tcBorders>
            <w:shd w:val="clear" w:color="auto" w:fill="FFFFFF"/>
            <w:noWrap/>
            <w:vAlign w:val="center"/>
          </w:tcPr>
          <w:p w14:paraId="75EB64E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1C90024">
            <w:pPr>
              <w:spacing w:line="240" w:lineRule="auto"/>
              <w:rPr>
                <w:rFonts w:hint="eastAsia"/>
                <w:b w:val="0"/>
                <w:color w:val="000000"/>
                <w:sz w:val="18"/>
                <w:szCs w:val="18"/>
                <w:lang w:val="en-US" w:eastAsia="zh-CN"/>
              </w:rPr>
            </w:pPr>
            <w:r>
              <w:rPr>
                <w:rFonts w:hint="eastAsia"/>
                <w:b w:val="0"/>
                <w:color w:val="000000"/>
                <w:sz w:val="18"/>
                <w:szCs w:val="18"/>
                <w:lang w:val="en-US" w:eastAsia="zh-CN"/>
              </w:rPr>
              <w:t>0.823(95%CI NM)</w:t>
            </w:r>
          </w:p>
        </w:tc>
        <w:tc>
          <w:tcPr>
            <w:tcW w:w="1242" w:type="dxa"/>
            <w:tcBorders>
              <w:top w:val="single" w:color="000000" w:sz="4" w:space="0"/>
              <w:left w:val="nil"/>
              <w:bottom w:val="single" w:color="000000" w:sz="4" w:space="0"/>
              <w:right w:val="nil"/>
            </w:tcBorders>
            <w:shd w:val="clear" w:color="auto" w:fill="FFFFFF"/>
            <w:noWrap/>
            <w:vAlign w:val="center"/>
          </w:tcPr>
          <w:p w14:paraId="5CF016E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464279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4EDA973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10F06FE8">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A455257">
            <w:pPr>
              <w:spacing w:line="240" w:lineRule="auto"/>
              <w:rPr>
                <w:rFonts w:hint="eastAsia"/>
                <w:b w:val="0"/>
                <w:color w:val="000000"/>
                <w:sz w:val="18"/>
                <w:szCs w:val="18"/>
                <w:lang w:val="en-US" w:eastAsia="zh-CN"/>
              </w:rPr>
            </w:pPr>
            <w:r>
              <w:rPr>
                <w:rFonts w:hint="eastAsia"/>
                <w:b w:val="0"/>
                <w:color w:val="000000"/>
                <w:sz w:val="18"/>
                <w:szCs w:val="18"/>
                <w:lang w:val="en-US" w:eastAsia="zh-CN"/>
              </w:rPr>
              <w:t>Atherosclerosis Index</w:t>
            </w:r>
          </w:p>
        </w:tc>
        <w:tc>
          <w:tcPr>
            <w:tcW w:w="1315" w:type="dxa"/>
            <w:tcBorders>
              <w:top w:val="single" w:color="000000" w:sz="4" w:space="0"/>
              <w:left w:val="nil"/>
              <w:bottom w:val="single" w:color="000000" w:sz="4" w:space="0"/>
              <w:right w:val="nil"/>
            </w:tcBorders>
            <w:shd w:val="clear" w:color="auto" w:fill="FFFFFF"/>
            <w:noWrap/>
            <w:vAlign w:val="center"/>
          </w:tcPr>
          <w:p w14:paraId="492D286A">
            <w:pPr>
              <w:spacing w:line="240" w:lineRule="auto"/>
              <w:rPr>
                <w:rFonts w:hint="eastAsia"/>
                <w:b w:val="0"/>
                <w:color w:val="000000"/>
                <w:sz w:val="18"/>
                <w:szCs w:val="18"/>
                <w:lang w:val="en-US" w:eastAsia="zh-CN"/>
              </w:rPr>
            </w:pPr>
            <w:r>
              <w:rPr>
                <w:rFonts w:hint="eastAsia"/>
                <w:b w:val="0"/>
                <w:color w:val="000000"/>
                <w:sz w:val="18"/>
                <w:szCs w:val="18"/>
                <w:lang w:val="en-US" w:eastAsia="zh-CN"/>
              </w:rPr>
              <w:t>Yu H,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&lt;EndNote&gt;&lt;Cite&gt;&lt;Author&gt;YU Hui&lt;/Author&gt;&lt;Year&gt;2025&lt;/Year&gt;&lt;RecNum&gt;528&lt;/RecNum&gt;&lt;DisplayText&gt;(45)&lt;/DisplayText&gt;&lt;record&gt;&lt;rec-number&gt;528&lt;/rec-number&gt;&lt;foreign-keys&gt;&lt;key app="EN" db-id="earspdaa1vazprerafqvx9tx5pvfaxf9awz0" timestamp="1775309128"&gt;528&lt;/key&gt;&lt;/foreign-keys&gt;&lt;ref-type name="期刊文献"&gt;17&lt;/ref-type&gt;&lt;contributors&gt;&lt;authors&gt;&lt;author&gt;YU Hui, SUN Guanyuan, DING Yue&lt;/author&gt;&lt;/authors&gt;&lt;/contributors&gt;&lt;titles&gt;&lt;title&gt;Risk factors and early warning risk model for elevated atherogenic index of plasma in overweight/obese type 2 diabetes patients&lt;/title&gt;&lt;secondary-title&gt;Anhui Medical and Pharmaceutical Journal&lt;/secondary-title&gt;&lt;/titles&gt;&lt;periodical&gt;&lt;full-title&gt;Anhui Medical and Pharmaceutical Journal&lt;/full-title&gt;&lt;/periodical&gt;&lt;pages&gt;2066-2070&lt;/pages&gt;&lt;volume&gt;29&lt;/volume&gt;&lt;number&gt;10&lt;/number&gt;&lt;section&gt;2066&lt;/section&gt;&lt;dates&gt;&lt;year&gt;2025&lt;/year&gt;&lt;/dates&gt;&lt;urls&gt;&lt;/urls&gt;&lt;electronic-resource-num&gt;DOI: 10.3969/j.issn.1009-6469.2025.10.031&lt;/electronic-resource-num&gt;&lt;/record&gt;&lt;/Cite&gt;&lt;/EndNote&gt;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(45)</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0E66C5FA">
            <w:pPr>
              <w:spacing w:line="240" w:lineRule="auto"/>
              <w:rPr>
                <w:rFonts w:hint="eastAsia"/>
                <w:b w:val="0"/>
                <w:color w:val="000000"/>
                <w:sz w:val="18"/>
                <w:szCs w:val="18"/>
                <w:lang w:val="en-US" w:eastAsia="zh-CN"/>
              </w:rPr>
            </w:pPr>
            <w:r>
              <w:rPr>
                <w:rFonts w:hint="eastAsia"/>
                <w:b w:val="0"/>
                <w:color w:val="000000"/>
                <w:sz w:val="18"/>
                <w:szCs w:val="18"/>
                <w:lang w:val="en-US" w:eastAsia="zh-CN"/>
              </w:rPr>
              <w:t>18</w:t>
            </w:r>
          </w:p>
        </w:tc>
        <w:tc>
          <w:tcPr>
            <w:tcW w:w="1122" w:type="dxa"/>
            <w:tcBorders>
              <w:top w:val="single" w:color="000000" w:sz="4" w:space="0"/>
              <w:left w:val="nil"/>
              <w:bottom w:val="single" w:color="000000" w:sz="4" w:space="0"/>
              <w:right w:val="nil"/>
            </w:tcBorders>
            <w:shd w:val="clear" w:color="auto" w:fill="FFFFFF"/>
            <w:noWrap/>
            <w:vAlign w:val="center"/>
          </w:tcPr>
          <w:p w14:paraId="5AA68200">
            <w:pPr>
              <w:spacing w:line="240" w:lineRule="auto"/>
              <w:rPr>
                <w:rFonts w:hint="eastAsia"/>
                <w:b w:val="0"/>
                <w:color w:val="000000"/>
                <w:sz w:val="18"/>
                <w:szCs w:val="18"/>
                <w:lang w:val="en-US" w:eastAsia="zh-CN"/>
              </w:rPr>
            </w:pPr>
            <w:r>
              <w:rPr>
                <w:rFonts w:hint="eastAsia"/>
                <w:b w:val="0"/>
                <w:color w:val="000000"/>
                <w:sz w:val="18"/>
                <w:szCs w:val="18"/>
                <w:lang w:val="en-US" w:eastAsia="zh-CN"/>
              </w:rPr>
              <w:t>0.92(0.88-0.94)</w:t>
            </w:r>
          </w:p>
        </w:tc>
        <w:tc>
          <w:tcPr>
            <w:tcW w:w="1122" w:type="dxa"/>
            <w:tcBorders>
              <w:top w:val="single" w:color="000000" w:sz="4" w:space="0"/>
              <w:left w:val="nil"/>
              <w:bottom w:val="single" w:color="000000" w:sz="4" w:space="0"/>
              <w:right w:val="nil"/>
            </w:tcBorders>
            <w:shd w:val="clear" w:color="auto" w:fill="FFFFFF"/>
            <w:noWrap/>
            <w:vAlign w:val="center"/>
          </w:tcPr>
          <w:p w14:paraId="67469CAC">
            <w:pPr>
              <w:spacing w:line="240" w:lineRule="auto"/>
              <w:rPr>
                <w:rFonts w:hint="eastAsia"/>
                <w:b w:val="0"/>
                <w:color w:val="000000"/>
                <w:sz w:val="18"/>
                <w:szCs w:val="18"/>
                <w:lang w:val="en-US" w:eastAsia="zh-CN"/>
              </w:rPr>
            </w:pPr>
            <w:r>
              <w:rPr>
                <w:rFonts w:hint="eastAsia"/>
                <w:b w:val="0"/>
                <w:color w:val="000000"/>
                <w:sz w:val="18"/>
                <w:szCs w:val="18"/>
                <w:lang w:val="en-US" w:eastAsia="zh-CN"/>
              </w:rPr>
              <w:t>91.53%</w:t>
            </w:r>
          </w:p>
        </w:tc>
        <w:tc>
          <w:tcPr>
            <w:tcW w:w="1123" w:type="dxa"/>
            <w:tcBorders>
              <w:top w:val="single" w:color="000000" w:sz="4" w:space="0"/>
              <w:left w:val="nil"/>
              <w:bottom w:val="single" w:color="000000" w:sz="4" w:space="0"/>
              <w:right w:val="nil"/>
            </w:tcBorders>
            <w:shd w:val="clear" w:color="auto" w:fill="FFFFFF"/>
            <w:noWrap/>
            <w:vAlign w:val="center"/>
          </w:tcPr>
          <w:p w14:paraId="79EFB513">
            <w:pPr>
              <w:spacing w:line="240" w:lineRule="auto"/>
              <w:rPr>
                <w:rFonts w:hint="eastAsia"/>
                <w:b w:val="0"/>
                <w:color w:val="000000"/>
                <w:sz w:val="18"/>
                <w:szCs w:val="18"/>
                <w:lang w:val="en-US" w:eastAsia="zh-CN"/>
              </w:rPr>
            </w:pPr>
            <w:r>
              <w:rPr>
                <w:rFonts w:hint="eastAsia"/>
                <w:b w:val="0"/>
                <w:color w:val="000000"/>
                <w:sz w:val="18"/>
                <w:szCs w:val="18"/>
                <w:lang w:val="en-US" w:eastAsia="zh-CN"/>
              </w:rPr>
              <w:t>81.90%</w:t>
            </w:r>
          </w:p>
        </w:tc>
        <w:tc>
          <w:tcPr>
            <w:tcW w:w="784" w:type="dxa"/>
            <w:tcBorders>
              <w:top w:val="single" w:color="000000" w:sz="4" w:space="0"/>
              <w:left w:val="nil"/>
              <w:bottom w:val="single" w:color="000000" w:sz="4" w:space="0"/>
              <w:right w:val="nil"/>
            </w:tcBorders>
            <w:shd w:val="clear" w:color="auto" w:fill="FFFFFF"/>
            <w:noWrap/>
            <w:vAlign w:val="center"/>
          </w:tcPr>
          <w:p w14:paraId="527E611B">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18B1A2E0">
            <w:pPr>
              <w:spacing w:line="240" w:lineRule="auto"/>
              <w:rPr>
                <w:rFonts w:hint="eastAsia"/>
                <w:b w:val="0"/>
                <w:color w:val="000000"/>
                <w:sz w:val="18"/>
                <w:szCs w:val="18"/>
                <w:lang w:val="en-US" w:eastAsia="zh-CN"/>
              </w:rPr>
            </w:pPr>
            <w:r>
              <w:rPr>
                <w:rFonts w:hint="eastAsia"/>
                <w:b w:val="0"/>
                <w:color w:val="000000"/>
                <w:sz w:val="18"/>
                <w:szCs w:val="18"/>
                <w:lang w:val="en-US" w:eastAsia="zh-CN"/>
              </w:rPr>
              <w:t>0.539</w:t>
            </w:r>
          </w:p>
        </w:tc>
        <w:tc>
          <w:tcPr>
            <w:tcW w:w="794" w:type="dxa"/>
            <w:tcBorders>
              <w:top w:val="single" w:color="000000" w:sz="4" w:space="0"/>
              <w:left w:val="nil"/>
              <w:bottom w:val="single" w:color="000000" w:sz="4" w:space="0"/>
              <w:right w:val="nil"/>
            </w:tcBorders>
            <w:shd w:val="clear" w:color="auto" w:fill="FFFFFF"/>
            <w:noWrap/>
            <w:vAlign w:val="center"/>
          </w:tcPr>
          <w:p w14:paraId="0108C1D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EC5A838">
            <w:pPr>
              <w:spacing w:line="240" w:lineRule="auto"/>
              <w:rPr>
                <w:rFonts w:hint="eastAsia"/>
                <w:b w:val="0"/>
                <w:color w:val="000000"/>
                <w:sz w:val="18"/>
                <w:szCs w:val="18"/>
                <w:lang w:val="en-US" w:eastAsia="zh-CN"/>
              </w:rPr>
            </w:pPr>
            <w:r>
              <w:rPr>
                <w:rFonts w:hint="eastAsia"/>
                <w:b w:val="0"/>
                <w:color w:val="000000"/>
                <w:sz w:val="18"/>
                <w:szCs w:val="18"/>
                <w:lang w:val="en-US" w:eastAsia="zh-CN"/>
              </w:rPr>
              <w:t>0.87(0.80-0.94)</w:t>
            </w:r>
          </w:p>
        </w:tc>
        <w:tc>
          <w:tcPr>
            <w:tcW w:w="1242" w:type="dxa"/>
            <w:tcBorders>
              <w:top w:val="single" w:color="000000" w:sz="4" w:space="0"/>
              <w:left w:val="nil"/>
              <w:bottom w:val="single" w:color="000000" w:sz="4" w:space="0"/>
              <w:right w:val="nil"/>
            </w:tcBorders>
            <w:shd w:val="clear" w:color="auto" w:fill="FFFFFF"/>
            <w:noWrap/>
            <w:vAlign w:val="center"/>
          </w:tcPr>
          <w:p w14:paraId="3E9888D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D5CEE51">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52524D7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A3E5AB7">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3BA8CE2F">
            <w:pPr>
              <w:spacing w:line="240" w:lineRule="auto"/>
              <w:rPr>
                <w:rFonts w:hint="eastAsia"/>
                <w:b w:val="0"/>
                <w:color w:val="000000"/>
                <w:sz w:val="18"/>
                <w:szCs w:val="18"/>
                <w:lang w:val="en-US" w:eastAsia="zh-CN"/>
              </w:rPr>
            </w:pPr>
            <w:r>
              <w:rPr>
                <w:rFonts w:hint="eastAsia"/>
                <w:b w:val="0"/>
                <w:color w:val="000000"/>
                <w:sz w:val="18"/>
                <w:szCs w:val="18"/>
                <w:lang w:val="en-US" w:eastAsia="zh-CN"/>
              </w:rPr>
              <w:t>Subclinical Carotid Atherosclerosis</w:t>
            </w:r>
          </w:p>
        </w:tc>
        <w:tc>
          <w:tcPr>
            <w:tcW w:w="1315" w:type="dxa"/>
            <w:tcBorders>
              <w:top w:val="single" w:color="000000" w:sz="4" w:space="0"/>
              <w:left w:val="nil"/>
              <w:bottom w:val="single" w:color="000000" w:sz="4" w:space="0"/>
              <w:right w:val="nil"/>
            </w:tcBorders>
            <w:shd w:val="clear" w:color="auto" w:fill="FFFFFF"/>
            <w:noWrap/>
            <w:vAlign w:val="center"/>
          </w:tcPr>
          <w:p w14:paraId="310CCC0D">
            <w:pPr>
              <w:spacing w:line="240" w:lineRule="auto"/>
              <w:rPr>
                <w:rFonts w:hint="eastAsia"/>
                <w:b w:val="0"/>
                <w:color w:val="000000"/>
                <w:sz w:val="18"/>
                <w:szCs w:val="18"/>
                <w:lang w:val="en-US" w:eastAsia="zh-CN"/>
              </w:rPr>
            </w:pPr>
            <w:r>
              <w:rPr>
                <w:rFonts w:hint="eastAsia"/>
                <w:b w:val="0"/>
                <w:color w:val="000000"/>
                <w:sz w:val="18"/>
                <w:szCs w:val="18"/>
                <w:lang w:val="en-US" w:eastAsia="zh-CN"/>
              </w:rPr>
              <w:t>Geng D,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&lt;EndNote&gt;&lt;Cite&gt;&lt;Author&gt;Dandan&lt;/Author&gt;&lt;Year&gt;2024&lt;/Year&gt;&lt;RecNum&gt;538&lt;/RecNum&gt;&lt;DisplayText&gt;(46)&lt;/DisplayText&gt;&lt;record&gt;&lt;rec-number&gt;538&lt;/rec-number&gt;&lt;foreign-keys&gt;&lt;key app="EN" db-id="earspdaa1vazprerafqvx9tx5pvfaxf9awz0" timestamp="1775312234"&gt;538&lt;/key&gt;&lt;/foreign-keys&gt;&lt;ref-type name="学位论文"&gt;32&lt;/ref-type&gt;&lt;contributors&gt;&lt;authors&gt;&lt;author&gt;GENG Dandan&lt;/author&gt;&lt;/authors&gt;&lt;/contributors&gt;&lt;titles&gt;&lt;title&gt;Risk Prediction Model for Subclinical Carotid Atherosclerosis in Centrally Obese Population: Establishment and Evaluation&lt;/title&gt;&lt;secondary-title&gt;Hebei General Hospital, School of Neurology&lt;/secondary-title&gt;&lt;/titles&gt;&lt;number&gt;DOI: 10.27111/d.cnki.ghyku.2024.001212&lt;/number&gt;&lt;dates&gt;&lt;year&gt;2024&lt;/year&gt;&lt;/dates&gt;&lt;publisher&gt;Hebei Medical University&amp;#x9;&lt;/publisher&gt;&lt;urls&gt;&lt;/urls&gt;&lt;electronic-resource-num&gt;10.27111/d.cnki.ghyku.2024.001212&lt;/electronic-resource-num&gt;&lt;/record&gt;&lt;/Cite&gt;&lt;/EndNote&gt;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(46)</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0A6B4EA0">
            <w:pPr>
              <w:spacing w:line="240" w:lineRule="auto"/>
              <w:rPr>
                <w:rFonts w:hint="eastAsia"/>
                <w:b w:val="0"/>
                <w:color w:val="000000"/>
                <w:sz w:val="18"/>
                <w:szCs w:val="18"/>
                <w:lang w:val="en-US" w:eastAsia="zh-CN"/>
              </w:rPr>
            </w:pPr>
            <w:r>
              <w:rPr>
                <w:rFonts w:hint="eastAsia"/>
                <w:b w:val="0"/>
                <w:color w:val="000000"/>
                <w:sz w:val="18"/>
                <w:szCs w:val="18"/>
                <w:lang w:val="en-US" w:eastAsia="zh-CN"/>
              </w:rPr>
              <w:t>19</w:t>
            </w:r>
          </w:p>
        </w:tc>
        <w:tc>
          <w:tcPr>
            <w:tcW w:w="1122" w:type="dxa"/>
            <w:tcBorders>
              <w:top w:val="single" w:color="000000" w:sz="4" w:space="0"/>
              <w:left w:val="nil"/>
              <w:bottom w:val="single" w:color="000000" w:sz="4" w:space="0"/>
              <w:right w:val="nil"/>
            </w:tcBorders>
            <w:shd w:val="clear" w:color="auto" w:fill="FFFFFF"/>
            <w:noWrap/>
            <w:vAlign w:val="center"/>
          </w:tcPr>
          <w:p w14:paraId="7DC1F3E5">
            <w:pPr>
              <w:spacing w:line="240" w:lineRule="auto"/>
              <w:rPr>
                <w:rFonts w:hint="eastAsia"/>
                <w:b w:val="0"/>
                <w:color w:val="000000"/>
                <w:sz w:val="18"/>
                <w:szCs w:val="18"/>
                <w:lang w:val="en-US" w:eastAsia="zh-CN"/>
              </w:rPr>
            </w:pPr>
            <w:r>
              <w:rPr>
                <w:rFonts w:hint="eastAsia"/>
                <w:b w:val="0"/>
                <w:color w:val="000000"/>
                <w:sz w:val="18"/>
                <w:szCs w:val="18"/>
                <w:lang w:val="en-US" w:eastAsia="zh-CN"/>
              </w:rPr>
              <w:t>0.805(0.794-0.816)</w:t>
            </w:r>
          </w:p>
        </w:tc>
        <w:tc>
          <w:tcPr>
            <w:tcW w:w="1122" w:type="dxa"/>
            <w:tcBorders>
              <w:top w:val="single" w:color="000000" w:sz="4" w:space="0"/>
              <w:left w:val="nil"/>
              <w:bottom w:val="single" w:color="000000" w:sz="4" w:space="0"/>
              <w:right w:val="nil"/>
            </w:tcBorders>
            <w:shd w:val="clear" w:color="auto" w:fill="FFFFFF"/>
            <w:noWrap/>
            <w:vAlign w:val="center"/>
          </w:tcPr>
          <w:p w14:paraId="5E1CFD3E">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23F3F36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416D6460">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0A72B26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685FE5D6">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09FE16B2">
            <w:pPr>
              <w:spacing w:line="240" w:lineRule="auto"/>
              <w:rPr>
                <w:rFonts w:hint="eastAsia"/>
                <w:b w:val="0"/>
                <w:color w:val="000000"/>
                <w:sz w:val="18"/>
                <w:szCs w:val="18"/>
                <w:lang w:val="en-US" w:eastAsia="zh-CN"/>
              </w:rPr>
            </w:pPr>
            <w:r>
              <w:rPr>
                <w:rFonts w:hint="eastAsia"/>
                <w:b w:val="0"/>
                <w:color w:val="000000"/>
                <w:sz w:val="18"/>
                <w:szCs w:val="18"/>
                <w:lang w:val="en-US" w:eastAsia="zh-CN"/>
              </w:rPr>
              <w:t>0.805 (0.794-0.816)</w:t>
            </w:r>
          </w:p>
        </w:tc>
        <w:tc>
          <w:tcPr>
            <w:tcW w:w="1242" w:type="dxa"/>
            <w:tcBorders>
              <w:top w:val="single" w:color="000000" w:sz="4" w:space="0"/>
              <w:left w:val="nil"/>
              <w:bottom w:val="single" w:color="000000" w:sz="4" w:space="0"/>
              <w:right w:val="nil"/>
            </w:tcBorders>
            <w:shd w:val="clear" w:color="auto" w:fill="FFFFFF"/>
            <w:noWrap/>
            <w:vAlign w:val="center"/>
          </w:tcPr>
          <w:p w14:paraId="289708BF">
            <w:pPr>
              <w:spacing w:line="240" w:lineRule="auto"/>
              <w:rPr>
                <w:rFonts w:hint="eastAsia"/>
                <w:b w:val="0"/>
                <w:color w:val="000000"/>
                <w:sz w:val="18"/>
                <w:szCs w:val="18"/>
                <w:lang w:val="en-US" w:eastAsia="zh-CN"/>
              </w:rPr>
            </w:pPr>
            <w:r>
              <w:rPr>
                <w:rFonts w:hint="eastAsia"/>
                <w:b w:val="0"/>
                <w:color w:val="000000"/>
                <w:sz w:val="18"/>
                <w:szCs w:val="18"/>
                <w:lang w:val="en-US" w:eastAsia="zh-CN"/>
              </w:rPr>
              <w:t>0.807(0.791, 0.823)</w:t>
            </w:r>
          </w:p>
        </w:tc>
        <w:tc>
          <w:tcPr>
            <w:tcW w:w="1242" w:type="dxa"/>
            <w:tcBorders>
              <w:top w:val="single" w:color="000000" w:sz="4" w:space="0"/>
              <w:left w:val="nil"/>
              <w:bottom w:val="single" w:color="000000" w:sz="4" w:space="0"/>
              <w:right w:val="nil"/>
            </w:tcBorders>
            <w:shd w:val="clear" w:color="auto" w:fill="FFFFFF"/>
            <w:noWrap/>
            <w:vAlign w:val="center"/>
          </w:tcPr>
          <w:p w14:paraId="4D245E2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5E255FB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06AC4ED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43954E2D">
            <w:pPr>
              <w:spacing w:line="240" w:lineRule="auto"/>
              <w:rPr>
                <w:rFonts w:hint="eastAsia"/>
                <w:b w:val="0"/>
                <w:color w:val="000000"/>
                <w:sz w:val="18"/>
                <w:szCs w:val="18"/>
                <w:lang w:val="en-US" w:eastAsia="zh-CN"/>
              </w:rPr>
            </w:pPr>
            <w:r>
              <w:rPr>
                <w:rFonts w:hint="eastAsia"/>
                <w:b w:val="0"/>
                <w:color w:val="000000"/>
                <w:sz w:val="18"/>
                <w:szCs w:val="18"/>
                <w:lang w:val="en-US" w:eastAsia="zh-CN"/>
              </w:rPr>
              <w:t>Diabetic Nephropathy</w:t>
            </w:r>
          </w:p>
        </w:tc>
        <w:tc>
          <w:tcPr>
            <w:tcW w:w="1315" w:type="dxa"/>
            <w:tcBorders>
              <w:top w:val="single" w:color="000000" w:sz="4" w:space="0"/>
              <w:left w:val="nil"/>
              <w:bottom w:val="single" w:color="000000" w:sz="4" w:space="0"/>
              <w:right w:val="nil"/>
            </w:tcBorders>
            <w:shd w:val="clear" w:color="auto" w:fill="FFFFFF"/>
            <w:noWrap/>
            <w:vAlign w:val="center"/>
          </w:tcPr>
          <w:p w14:paraId="59F708EF">
            <w:pPr>
              <w:spacing w:line="240" w:lineRule="auto"/>
              <w:rPr>
                <w:rFonts w:hint="eastAsia"/>
                <w:b w:val="0"/>
                <w:color w:val="000000"/>
                <w:sz w:val="18"/>
                <w:szCs w:val="18"/>
                <w:lang w:val="en-US" w:eastAsia="zh-CN"/>
              </w:rPr>
            </w:pPr>
            <w:r>
              <w:rPr>
                <w:rFonts w:hint="eastAsia"/>
                <w:b w:val="0"/>
                <w:color w:val="000000"/>
                <w:sz w:val="18"/>
                <w:szCs w:val="18"/>
                <w:lang w:val="en-US" w:eastAsia="zh-CN"/>
              </w:rPr>
              <w:t>Shi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&lt;EndNote&gt;&lt;Cite&gt;&lt;Author&gt;SHI Jie&lt;/Author&gt;&lt;Year&gt;2025&lt;/Year&gt;&lt;RecNum&gt;526&lt;/RecNum&gt;&lt;DisplayText&gt;(47)&lt;/DisplayText&gt;&lt;record&gt;&lt;rec-number&gt;526&lt;/rec-number&gt;&lt;foreign-keys&gt;&lt;key app="EN" db-id="earspdaa1vazprerafqvx9tx5pvfaxf9awz0" timestamp="1775308694"&gt;526&lt;/key&gt;&lt;/foreign-keys&gt;&lt;ref-type name="期刊文献"&gt;17&lt;/ref-type&gt;&lt;contributors&gt;&lt;authors&gt;&lt;author&gt;SHI Jie, ZHANG Yao, LIN Jiarui, GUO Xiaodi, LIU Shuhong, HU Xiling&lt;/author&gt;&lt;/authors&gt;&lt;/contributors&gt;&lt;titles&gt;&lt;title&gt;Development and validation of a nomogram-based assessment model for the risk of diabetic nephropathy in obese type 2 diabetes mellitus patients&lt;/title&gt;&lt;secondary-title&gt;Journal of New Medicine&lt;/secondary-title&gt;&lt;/titles&gt;&lt;periodical&gt;&lt;full-title&gt;Journal of New Medicine&lt;/full-title&gt;&lt;/periodical&gt;&lt;pages&gt;986-994&lt;/pages&gt;&lt;volume&gt;56&lt;/volume&gt;&lt;number&gt;10&lt;/number&gt;&lt;section&gt;986&lt;/section&gt;&lt;dates&gt;&lt;year&gt;2025&lt;/year&gt;&lt;/dates&gt;&lt;urls&gt;&lt;/urls&gt;&lt;electronic-resource-num&gt;DOI: 10.12464/j.issn.0253-9802.2025-0213&lt;/electronic-resource-num&gt;&lt;/record&gt;&lt;/Cite&gt;&lt;/EndNote&gt;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(47)</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7F109AFA">
            <w:pPr>
              <w:spacing w:line="240" w:lineRule="auto"/>
              <w:rPr>
                <w:rFonts w:hint="eastAsia"/>
                <w:b w:val="0"/>
                <w:color w:val="000000"/>
                <w:sz w:val="18"/>
                <w:szCs w:val="18"/>
                <w:lang w:val="en-US" w:eastAsia="zh-CN"/>
              </w:rPr>
            </w:pPr>
            <w:r>
              <w:rPr>
                <w:rFonts w:hint="eastAsia"/>
                <w:b w:val="0"/>
                <w:color w:val="000000"/>
                <w:sz w:val="18"/>
                <w:szCs w:val="18"/>
                <w:lang w:val="en-US" w:eastAsia="zh-CN"/>
              </w:rPr>
              <w:t>20</w:t>
            </w:r>
          </w:p>
        </w:tc>
        <w:tc>
          <w:tcPr>
            <w:tcW w:w="1122" w:type="dxa"/>
            <w:tcBorders>
              <w:top w:val="single" w:color="000000" w:sz="4" w:space="0"/>
              <w:left w:val="nil"/>
              <w:bottom w:val="single" w:color="000000" w:sz="4" w:space="0"/>
              <w:right w:val="nil"/>
            </w:tcBorders>
            <w:shd w:val="clear" w:color="auto" w:fill="FFFFFF"/>
            <w:noWrap/>
            <w:vAlign w:val="center"/>
          </w:tcPr>
          <w:p w14:paraId="0536DD2E">
            <w:pPr>
              <w:spacing w:line="240" w:lineRule="auto"/>
              <w:rPr>
                <w:rFonts w:hint="eastAsia"/>
                <w:b w:val="0"/>
                <w:color w:val="000000"/>
                <w:sz w:val="18"/>
                <w:szCs w:val="18"/>
                <w:lang w:val="en-US" w:eastAsia="zh-CN"/>
              </w:rPr>
            </w:pPr>
            <w:r>
              <w:rPr>
                <w:rFonts w:hint="eastAsia"/>
                <w:b w:val="0"/>
                <w:color w:val="000000"/>
                <w:sz w:val="18"/>
                <w:szCs w:val="18"/>
                <w:lang w:val="en-US" w:eastAsia="zh-CN"/>
              </w:rPr>
              <w:t>0.913 (0.871-0.955)</w:t>
            </w:r>
          </w:p>
        </w:tc>
        <w:tc>
          <w:tcPr>
            <w:tcW w:w="1122" w:type="dxa"/>
            <w:tcBorders>
              <w:top w:val="single" w:color="000000" w:sz="4" w:space="0"/>
              <w:left w:val="nil"/>
              <w:bottom w:val="single" w:color="000000" w:sz="4" w:space="0"/>
              <w:right w:val="nil"/>
            </w:tcBorders>
            <w:shd w:val="clear" w:color="auto" w:fill="FFFFFF"/>
            <w:noWrap/>
            <w:vAlign w:val="center"/>
          </w:tcPr>
          <w:p w14:paraId="3C8DA1D2">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47CE1F8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48819A9E">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22129E67">
            <w:pPr>
              <w:spacing w:line="240" w:lineRule="auto"/>
              <w:rPr>
                <w:rFonts w:hint="eastAsia"/>
                <w:b w:val="0"/>
                <w:color w:val="000000"/>
                <w:sz w:val="18"/>
                <w:szCs w:val="18"/>
                <w:lang w:val="en-US" w:eastAsia="zh-CN"/>
              </w:rPr>
            </w:pPr>
            <w:r>
              <w:rPr>
                <w:rFonts w:hint="eastAsia"/>
                <w:b w:val="0"/>
                <w:color w:val="000000"/>
                <w:sz w:val="18"/>
                <w:szCs w:val="18"/>
                <w:lang w:val="en-US" w:eastAsia="zh-CN"/>
              </w:rPr>
              <w:t>P &gt; 0.05</w:t>
            </w:r>
          </w:p>
        </w:tc>
        <w:tc>
          <w:tcPr>
            <w:tcW w:w="794" w:type="dxa"/>
            <w:tcBorders>
              <w:top w:val="single" w:color="000000" w:sz="4" w:space="0"/>
              <w:left w:val="nil"/>
              <w:bottom w:val="single" w:color="000000" w:sz="4" w:space="0"/>
              <w:right w:val="nil"/>
            </w:tcBorders>
            <w:shd w:val="clear" w:color="auto" w:fill="FFFFFF"/>
            <w:noWrap/>
            <w:vAlign w:val="center"/>
          </w:tcPr>
          <w:p w14:paraId="526253ED">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4F93A7C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35EB6FD">
            <w:pPr>
              <w:spacing w:line="240" w:lineRule="auto"/>
              <w:rPr>
                <w:rFonts w:hint="eastAsia"/>
                <w:b w:val="0"/>
                <w:color w:val="000000"/>
                <w:sz w:val="18"/>
                <w:szCs w:val="18"/>
                <w:lang w:val="en-US" w:eastAsia="zh-CN"/>
              </w:rPr>
            </w:pPr>
            <w:r>
              <w:rPr>
                <w:rFonts w:hint="eastAsia"/>
                <w:b w:val="0"/>
                <w:color w:val="000000"/>
                <w:sz w:val="18"/>
                <w:szCs w:val="18"/>
                <w:lang w:val="en-US" w:eastAsia="zh-CN"/>
              </w:rPr>
              <w:t>0.919(0.856-0.982)</w:t>
            </w:r>
          </w:p>
        </w:tc>
        <w:tc>
          <w:tcPr>
            <w:tcW w:w="1242" w:type="dxa"/>
            <w:tcBorders>
              <w:top w:val="single" w:color="000000" w:sz="4" w:space="0"/>
              <w:left w:val="nil"/>
              <w:bottom w:val="single" w:color="000000" w:sz="4" w:space="0"/>
              <w:right w:val="nil"/>
            </w:tcBorders>
            <w:shd w:val="clear" w:color="auto" w:fill="FFFFFF"/>
            <w:noWrap/>
            <w:vAlign w:val="center"/>
          </w:tcPr>
          <w:p w14:paraId="1D8C141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775A1C45">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0C785E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54F5D030">
            <w:pPr>
              <w:spacing w:line="240" w:lineRule="auto"/>
              <w:rPr>
                <w:rFonts w:hint="eastAsia"/>
                <w:b w:val="0"/>
                <w:color w:val="000000"/>
                <w:sz w:val="18"/>
                <w:szCs w:val="18"/>
                <w:lang w:val="en-US" w:eastAsia="zh-CN"/>
              </w:rPr>
            </w:pPr>
            <w:r>
              <w:rPr>
                <w:rFonts w:hint="eastAsia"/>
                <w:b w:val="0"/>
                <w:color w:val="000000"/>
                <w:sz w:val="18"/>
                <w:szCs w:val="18"/>
                <w:lang w:val="en-US" w:eastAsia="zh-CN"/>
              </w:rPr>
              <w:t>Hyperuricemia</w:t>
            </w:r>
          </w:p>
        </w:tc>
        <w:tc>
          <w:tcPr>
            <w:tcW w:w="1315" w:type="dxa"/>
            <w:tcBorders>
              <w:top w:val="single" w:color="000000" w:sz="4" w:space="0"/>
              <w:left w:val="nil"/>
              <w:bottom w:val="single" w:color="000000" w:sz="4" w:space="0"/>
              <w:right w:val="nil"/>
            </w:tcBorders>
            <w:shd w:val="clear" w:color="auto" w:fill="FFFFFF"/>
            <w:noWrap/>
            <w:vAlign w:val="center"/>
          </w:tcPr>
          <w:p w14:paraId="6B0C413E">
            <w:pPr>
              <w:spacing w:line="240" w:lineRule="auto"/>
              <w:rPr>
                <w:rFonts w:hint="eastAsia"/>
                <w:b w:val="0"/>
                <w:color w:val="000000"/>
                <w:sz w:val="18"/>
                <w:szCs w:val="18"/>
                <w:lang w:val="en-US" w:eastAsia="zh-CN"/>
              </w:rPr>
            </w:pPr>
            <w:r>
              <w:rPr>
                <w:rFonts w:hint="eastAsia"/>
                <w:b w:val="0"/>
                <w:color w:val="000000"/>
                <w:sz w:val="18"/>
                <w:szCs w:val="18"/>
                <w:lang w:val="en-US" w:eastAsia="zh-CN"/>
              </w:rPr>
              <w:t>Li L, et al., 2021</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 Luwei&lt;/Author&gt;&lt;Year&gt;2021&lt;/Year&gt;&lt;RecNum&gt;536&lt;/RecNum&gt;&lt;DisplayText&gt;(48)&lt;/DisplayText&gt;&lt;record&gt;&lt;rec-number&gt;536&lt;/rec-number&gt;&lt;foreign-keys&gt;&lt;key app="EN" db-id="earspdaa1vazprerafqvx9tx5pvfaxf9awz0" timestamp="1775310702"&gt;536&lt;/key&gt;&lt;/foreign-keys&gt;&lt;ref-type name="期刊文献"&gt;17&lt;/ref-type&gt;&lt;contributors&gt;&lt;authors&gt;&lt;author&gt;LI Luwei, HUANG Qian, SHI Jiacheng, LIU Xiaoling, WANG Caimei, YU Ping, WU Lan, QIN Yang, JIANG Renmei, YU Jian&lt;/author&gt;&lt;/authors&gt;&lt;/contributors&gt;&lt;titles&gt;&lt;title&gt;Construction and evaluation of hyperuricemia prediction model for overweight and obese population&lt;/title&gt;&lt;secondary-title&gt;The Journal of Practical Medicine&lt;/secondary-title&gt;&lt;/titles&gt;&lt;periodical&gt;&lt;full-title&gt;The Journal of Practical Medicine&lt;/full-title&gt;&lt;/periodical&gt;&lt;pages&gt;2401-2406&lt;/pages&gt;&lt;volume&gt;37&lt;/volume&gt;&lt;number&gt;18&lt;/number&gt;&lt;section&gt;2401&lt;/section&gt;&lt;dates&gt;&lt;year&gt;2021&lt;/year&gt;&lt;/dates&gt;&lt;urls&gt;&lt;/urls&gt;&lt;electronic-resource-num&gt;DOI: 10.3969/j.issn.1006-5725.2021.18.019&lt;/electronic-resource-num&gt;&lt;/record&gt;&lt;/Cite&gt;&lt;/EndNote&gt;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(48)</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3FAFDFA6">
            <w:pPr>
              <w:spacing w:line="240" w:lineRule="auto"/>
              <w:rPr>
                <w:rFonts w:hint="eastAsia"/>
                <w:b w:val="0"/>
                <w:color w:val="000000"/>
                <w:sz w:val="18"/>
                <w:szCs w:val="18"/>
                <w:lang w:val="en-US" w:eastAsia="zh-CN"/>
              </w:rPr>
            </w:pPr>
            <w:r>
              <w:rPr>
                <w:rFonts w:hint="eastAsia"/>
                <w:b w:val="0"/>
                <w:color w:val="000000"/>
                <w:sz w:val="18"/>
                <w:szCs w:val="18"/>
                <w:lang w:val="en-US" w:eastAsia="zh-CN"/>
              </w:rPr>
              <w:t>21A</w:t>
            </w:r>
          </w:p>
        </w:tc>
        <w:tc>
          <w:tcPr>
            <w:tcW w:w="1122" w:type="dxa"/>
            <w:tcBorders>
              <w:top w:val="single" w:color="000000" w:sz="4" w:space="0"/>
              <w:left w:val="nil"/>
              <w:bottom w:val="single" w:color="000000" w:sz="4" w:space="0"/>
              <w:right w:val="nil"/>
            </w:tcBorders>
            <w:shd w:val="clear" w:color="auto" w:fill="FFFFFF"/>
            <w:noWrap/>
            <w:vAlign w:val="center"/>
          </w:tcPr>
          <w:p w14:paraId="5E092D38">
            <w:pPr>
              <w:spacing w:line="240" w:lineRule="auto"/>
              <w:rPr>
                <w:rFonts w:hint="eastAsia"/>
                <w:b w:val="0"/>
                <w:color w:val="000000"/>
                <w:sz w:val="18"/>
                <w:szCs w:val="18"/>
                <w:lang w:val="en-US" w:eastAsia="zh-CN"/>
              </w:rPr>
            </w:pPr>
            <w:r>
              <w:rPr>
                <w:rFonts w:hint="eastAsia"/>
                <w:b w:val="0"/>
                <w:color w:val="000000"/>
                <w:sz w:val="18"/>
                <w:szCs w:val="18"/>
                <w:lang w:val="en-US" w:eastAsia="zh-CN"/>
              </w:rPr>
              <w:t>0.791(0.777-0.804)</w:t>
            </w:r>
          </w:p>
        </w:tc>
        <w:tc>
          <w:tcPr>
            <w:tcW w:w="1122" w:type="dxa"/>
            <w:tcBorders>
              <w:top w:val="single" w:color="000000" w:sz="4" w:space="0"/>
              <w:left w:val="nil"/>
              <w:bottom w:val="single" w:color="000000" w:sz="4" w:space="0"/>
              <w:right w:val="nil"/>
            </w:tcBorders>
            <w:shd w:val="clear" w:color="auto" w:fill="FFFFFF"/>
            <w:noWrap/>
            <w:vAlign w:val="center"/>
          </w:tcPr>
          <w:p w14:paraId="1F0CFE5F">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2306432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1201BF8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3EE1A850">
            <w:pPr>
              <w:spacing w:line="240" w:lineRule="auto"/>
              <w:rPr>
                <w:rFonts w:hint="eastAsia"/>
                <w:b w:val="0"/>
                <w:color w:val="000000"/>
                <w:sz w:val="18"/>
                <w:szCs w:val="18"/>
                <w:lang w:val="en-US" w:eastAsia="zh-CN"/>
              </w:rPr>
            </w:pPr>
            <w:r>
              <w:rPr>
                <w:rFonts w:hint="eastAsia"/>
                <w:b w:val="0"/>
                <w:color w:val="000000"/>
                <w:sz w:val="18"/>
                <w:szCs w:val="18"/>
                <w:lang w:val="en-US" w:eastAsia="zh-CN"/>
              </w:rPr>
              <w:t>P &gt; 0.05</w:t>
            </w:r>
          </w:p>
        </w:tc>
        <w:tc>
          <w:tcPr>
            <w:tcW w:w="794" w:type="dxa"/>
            <w:tcBorders>
              <w:top w:val="single" w:color="000000" w:sz="4" w:space="0"/>
              <w:left w:val="nil"/>
              <w:bottom w:val="single" w:color="000000" w:sz="4" w:space="0"/>
              <w:right w:val="nil"/>
            </w:tcBorders>
            <w:shd w:val="clear" w:color="auto" w:fill="FFFFFF"/>
            <w:noWrap/>
            <w:vAlign w:val="center"/>
          </w:tcPr>
          <w:p w14:paraId="4ADBFC8F">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417CE3CC">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C3FCBCE">
            <w:pPr>
              <w:spacing w:line="240" w:lineRule="auto"/>
              <w:rPr>
                <w:rFonts w:hint="eastAsia"/>
                <w:b w:val="0"/>
                <w:color w:val="000000"/>
                <w:sz w:val="18"/>
                <w:szCs w:val="18"/>
                <w:lang w:val="en-US" w:eastAsia="zh-CN"/>
              </w:rPr>
            </w:pPr>
            <w:r>
              <w:rPr>
                <w:rFonts w:hint="eastAsia"/>
                <w:b w:val="0"/>
                <w:color w:val="000000"/>
                <w:sz w:val="18"/>
                <w:szCs w:val="18"/>
                <w:lang w:val="en-US" w:eastAsia="zh-CN"/>
              </w:rPr>
              <w:t>0.787(0.765-0.807)</w:t>
            </w:r>
          </w:p>
        </w:tc>
        <w:tc>
          <w:tcPr>
            <w:tcW w:w="1242" w:type="dxa"/>
            <w:tcBorders>
              <w:top w:val="single" w:color="000000" w:sz="4" w:space="0"/>
              <w:left w:val="nil"/>
              <w:bottom w:val="single" w:color="000000" w:sz="4" w:space="0"/>
              <w:right w:val="nil"/>
            </w:tcBorders>
            <w:shd w:val="clear" w:color="auto" w:fill="FFFFFF"/>
            <w:noWrap/>
            <w:vAlign w:val="center"/>
          </w:tcPr>
          <w:p w14:paraId="45D4710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370C287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282B491D">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75E35351">
            <w:pPr>
              <w:spacing w:line="240" w:lineRule="auto"/>
              <w:rPr>
                <w:rFonts w:hint="eastAsia"/>
                <w:b w:val="0"/>
                <w:color w:val="000000"/>
                <w:sz w:val="18"/>
                <w:szCs w:val="18"/>
                <w:lang w:val="en-US" w:eastAsia="zh-CN"/>
              </w:rPr>
            </w:pPr>
            <w:r>
              <w:rPr>
                <w:rFonts w:hint="eastAsia"/>
                <w:b w:val="0"/>
                <w:color w:val="000000"/>
                <w:sz w:val="18"/>
                <w:szCs w:val="18"/>
                <w:lang w:val="en-US" w:eastAsia="zh-CN"/>
              </w:rPr>
              <w:t>Hyperuricemia</w:t>
            </w:r>
          </w:p>
        </w:tc>
        <w:tc>
          <w:tcPr>
            <w:tcW w:w="1315" w:type="dxa"/>
            <w:tcBorders>
              <w:top w:val="single" w:color="000000" w:sz="4" w:space="0"/>
              <w:left w:val="nil"/>
              <w:bottom w:val="single" w:color="000000" w:sz="4" w:space="0"/>
              <w:right w:val="nil"/>
            </w:tcBorders>
            <w:shd w:val="clear" w:color="auto" w:fill="FFFFFF"/>
            <w:noWrap/>
            <w:vAlign w:val="center"/>
          </w:tcPr>
          <w:p w14:paraId="69E49D5D">
            <w:pPr>
              <w:spacing w:line="240" w:lineRule="auto"/>
              <w:rPr>
                <w:rFonts w:hint="eastAsia"/>
                <w:b w:val="0"/>
                <w:color w:val="000000"/>
                <w:sz w:val="18"/>
                <w:szCs w:val="18"/>
                <w:lang w:val="en-US" w:eastAsia="zh-CN"/>
              </w:rPr>
            </w:pPr>
            <w:r>
              <w:rPr>
                <w:rFonts w:hint="eastAsia"/>
                <w:b w:val="0"/>
                <w:color w:val="000000"/>
                <w:sz w:val="18"/>
                <w:szCs w:val="18"/>
                <w:lang w:val="en-US" w:eastAsia="zh-CN"/>
              </w:rPr>
              <w:t>Li L, et al., 2021</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&lt;EndNote&gt;&lt;Cite&gt;&lt;Author&gt;LI Luwei&lt;/Author&gt;&lt;Year&gt;2021&lt;/Year&gt;&lt;RecNum&gt;536&lt;/RecNum&gt;&lt;DisplayText&gt;(48)&lt;/DisplayText&gt;&lt;record&gt;&lt;rec-number&gt;536&lt;/rec-number&gt;&lt;foreign-keys&gt;&lt;key app="EN" db-id="earspdaa1vazprerafqvx9tx5pvfaxf9awz0" timestamp="1775310702"&gt;536&lt;/key&gt;&lt;/foreign-keys&gt;&lt;ref-type name="期刊文献"&gt;17&lt;/ref-type&gt;&lt;contributors&gt;&lt;authors&gt;&lt;author&gt;LI Luwei, HUANG Qian, SHI Jiacheng, LIU Xiaoling, WANG Caimei, YU Ping, WU Lan, QIN Yang, JIANG Renmei, YU Jian&lt;/author&gt;&lt;/authors&gt;&lt;/contributors&gt;&lt;titles&gt;&lt;title&gt;Construction and evaluation of hyperuricemia prediction model for overweight and obese population&lt;/title&gt;&lt;secondary-title&gt;The Journal of Practical Medicine&lt;/secondary-title&gt;&lt;/titles&gt;&lt;periodical&gt;&lt;full-title&gt;The Journal of Practical Medicine&lt;/full-title&gt;&lt;/periodical&gt;&lt;pages&gt;2401-2406&lt;/pages&gt;&lt;volume&gt;37&lt;/volume&gt;&lt;number&gt;18&lt;/number&gt;&lt;section&gt;2401&lt;/section&gt;&lt;dates&gt;&lt;year&gt;2021&lt;/year&gt;&lt;/dates&gt;&lt;urls&gt;&lt;/urls&gt;&lt;electronic-resource-num&gt;DOI: 10.3969/j.issn.1006-5725.2021.18.019&lt;/electronic-resource-num&gt;&lt;/record&gt;&lt;/Cite&gt;&lt;/EndNote&gt;</w:instrText>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(48)</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8C0A227">
            <w:pPr>
              <w:spacing w:line="240" w:lineRule="auto"/>
              <w:rPr>
                <w:rFonts w:hint="eastAsia"/>
                <w:b w:val="0"/>
                <w:color w:val="000000"/>
                <w:sz w:val="18"/>
                <w:szCs w:val="18"/>
                <w:lang w:val="en-US" w:eastAsia="zh-CN"/>
              </w:rPr>
            </w:pPr>
            <w:r>
              <w:rPr>
                <w:rFonts w:hint="eastAsia"/>
                <w:b w:val="0"/>
                <w:color w:val="000000"/>
                <w:sz w:val="18"/>
                <w:szCs w:val="18"/>
                <w:lang w:val="en-US" w:eastAsia="zh-CN"/>
              </w:rPr>
              <w:t>21B</w:t>
            </w:r>
          </w:p>
        </w:tc>
        <w:tc>
          <w:tcPr>
            <w:tcW w:w="1122" w:type="dxa"/>
            <w:tcBorders>
              <w:top w:val="single" w:color="000000" w:sz="4" w:space="0"/>
              <w:left w:val="nil"/>
              <w:bottom w:val="single" w:color="000000" w:sz="4" w:space="0"/>
              <w:right w:val="nil"/>
            </w:tcBorders>
            <w:shd w:val="clear" w:color="auto" w:fill="FFFFFF"/>
            <w:noWrap/>
            <w:vAlign w:val="center"/>
          </w:tcPr>
          <w:p w14:paraId="4EA76078">
            <w:pPr>
              <w:spacing w:line="240" w:lineRule="auto"/>
              <w:rPr>
                <w:rFonts w:hint="eastAsia"/>
                <w:b w:val="0"/>
                <w:color w:val="000000"/>
                <w:sz w:val="18"/>
                <w:szCs w:val="18"/>
                <w:lang w:val="en-US" w:eastAsia="zh-CN"/>
              </w:rPr>
            </w:pPr>
            <w:r>
              <w:rPr>
                <w:rFonts w:hint="eastAsia"/>
                <w:b w:val="0"/>
                <w:color w:val="000000"/>
                <w:sz w:val="18"/>
                <w:szCs w:val="18"/>
                <w:lang w:val="en-US" w:eastAsia="zh-CN"/>
              </w:rPr>
              <w:t>0.787 (0.773-0.800)</w:t>
            </w:r>
          </w:p>
        </w:tc>
        <w:tc>
          <w:tcPr>
            <w:tcW w:w="1122" w:type="dxa"/>
            <w:tcBorders>
              <w:top w:val="single" w:color="000000" w:sz="4" w:space="0"/>
              <w:left w:val="nil"/>
              <w:bottom w:val="single" w:color="000000" w:sz="4" w:space="0"/>
              <w:right w:val="nil"/>
            </w:tcBorders>
            <w:shd w:val="clear" w:color="auto" w:fill="FFFFFF"/>
            <w:noWrap/>
            <w:vAlign w:val="center"/>
          </w:tcPr>
          <w:p w14:paraId="37A25800">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123" w:type="dxa"/>
            <w:tcBorders>
              <w:top w:val="single" w:color="000000" w:sz="4" w:space="0"/>
              <w:left w:val="nil"/>
              <w:bottom w:val="single" w:color="000000" w:sz="4" w:space="0"/>
              <w:right w:val="nil"/>
            </w:tcBorders>
            <w:shd w:val="clear" w:color="auto" w:fill="FFFFFF"/>
            <w:noWrap/>
            <w:vAlign w:val="center"/>
          </w:tcPr>
          <w:p w14:paraId="339784D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84" w:type="dxa"/>
            <w:tcBorders>
              <w:top w:val="single" w:color="000000" w:sz="4" w:space="0"/>
              <w:left w:val="nil"/>
              <w:bottom w:val="single" w:color="000000" w:sz="4" w:space="0"/>
              <w:right w:val="nil"/>
            </w:tcBorders>
            <w:shd w:val="clear" w:color="auto" w:fill="FFFFFF"/>
            <w:noWrap/>
            <w:vAlign w:val="center"/>
          </w:tcPr>
          <w:p w14:paraId="7B67DF8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993" w:type="dxa"/>
            <w:tcBorders>
              <w:top w:val="single" w:color="000000" w:sz="4" w:space="0"/>
              <w:left w:val="nil"/>
              <w:bottom w:val="single" w:color="000000" w:sz="4" w:space="0"/>
              <w:right w:val="nil"/>
            </w:tcBorders>
            <w:shd w:val="clear" w:color="auto" w:fill="FFFFFF"/>
            <w:noWrap/>
            <w:vAlign w:val="center"/>
          </w:tcPr>
          <w:p w14:paraId="5058C7D7">
            <w:pPr>
              <w:spacing w:line="240" w:lineRule="auto"/>
              <w:rPr>
                <w:rFonts w:hint="eastAsia"/>
                <w:b w:val="0"/>
                <w:color w:val="000000"/>
                <w:sz w:val="18"/>
                <w:szCs w:val="18"/>
                <w:lang w:val="en-US" w:eastAsia="zh-CN"/>
              </w:rPr>
            </w:pPr>
            <w:r>
              <w:rPr>
                <w:rFonts w:hint="eastAsia"/>
                <w:b w:val="0"/>
                <w:color w:val="000000"/>
                <w:sz w:val="18"/>
                <w:szCs w:val="18"/>
                <w:lang w:val="en-US" w:eastAsia="zh-CN"/>
              </w:rPr>
              <w:t>P &gt; 0.05</w:t>
            </w:r>
          </w:p>
        </w:tc>
        <w:tc>
          <w:tcPr>
            <w:tcW w:w="794" w:type="dxa"/>
            <w:tcBorders>
              <w:top w:val="single" w:color="000000" w:sz="4" w:space="0"/>
              <w:left w:val="nil"/>
              <w:bottom w:val="single" w:color="000000" w:sz="4" w:space="0"/>
              <w:right w:val="nil"/>
            </w:tcBorders>
            <w:shd w:val="clear" w:color="auto" w:fill="FFFFFF"/>
            <w:noWrap/>
            <w:vAlign w:val="center"/>
          </w:tcPr>
          <w:p w14:paraId="51BC041C">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7657C7C7">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66BFD920">
            <w:pPr>
              <w:spacing w:line="240" w:lineRule="auto"/>
              <w:rPr>
                <w:rFonts w:hint="eastAsia"/>
                <w:b w:val="0"/>
                <w:color w:val="000000"/>
                <w:sz w:val="18"/>
                <w:szCs w:val="18"/>
                <w:lang w:val="en-US" w:eastAsia="zh-CN"/>
              </w:rPr>
            </w:pPr>
            <w:r>
              <w:rPr>
                <w:rFonts w:hint="eastAsia"/>
                <w:b w:val="0"/>
                <w:color w:val="000000"/>
                <w:sz w:val="18"/>
                <w:szCs w:val="18"/>
                <w:lang w:val="en-US" w:eastAsia="zh-CN"/>
              </w:rPr>
              <w:t>0.776(0.754-0.797)</w:t>
            </w:r>
          </w:p>
        </w:tc>
        <w:tc>
          <w:tcPr>
            <w:tcW w:w="1242" w:type="dxa"/>
            <w:tcBorders>
              <w:top w:val="single" w:color="000000" w:sz="4" w:space="0"/>
              <w:left w:val="nil"/>
              <w:bottom w:val="single" w:color="000000" w:sz="4" w:space="0"/>
              <w:right w:val="nil"/>
            </w:tcBorders>
            <w:shd w:val="clear" w:color="auto" w:fill="FFFFFF"/>
            <w:noWrap/>
            <w:vAlign w:val="center"/>
          </w:tcPr>
          <w:p w14:paraId="4AA10644">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27B0D78B">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D66277F">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38A8379">
            <w:pPr>
              <w:spacing w:line="240" w:lineRule="auto"/>
              <w:rPr>
                <w:rFonts w:hint="eastAsia"/>
                <w:b w:val="0"/>
                <w:color w:val="000000"/>
                <w:sz w:val="18"/>
                <w:szCs w:val="18"/>
                <w:lang w:val="en-US" w:eastAsia="zh-CN"/>
              </w:rPr>
            </w:pPr>
            <w:r>
              <w:rPr>
                <w:rFonts w:hint="eastAsia"/>
                <w:b w:val="0"/>
                <w:color w:val="000000"/>
                <w:sz w:val="18"/>
                <w:szCs w:val="18"/>
                <w:lang w:val="en-US" w:eastAsia="zh-CN"/>
              </w:rPr>
              <w:t>Major Depressive Disorder</w:t>
            </w:r>
          </w:p>
        </w:tc>
        <w:tc>
          <w:tcPr>
            <w:tcW w:w="1315" w:type="dxa"/>
            <w:tcBorders>
              <w:top w:val="single" w:color="000000" w:sz="4" w:space="0"/>
              <w:left w:val="nil"/>
              <w:bottom w:val="single" w:color="000000" w:sz="4" w:space="0"/>
              <w:right w:val="nil"/>
            </w:tcBorders>
            <w:shd w:val="clear" w:color="auto" w:fill="FFFFFF"/>
            <w:noWrap/>
            <w:vAlign w:val="center"/>
          </w:tcPr>
          <w:p w14:paraId="61DC0EA6">
            <w:pPr>
              <w:spacing w:line="240" w:lineRule="auto"/>
              <w:rPr>
                <w:rFonts w:hint="eastAsia"/>
                <w:b w:val="0"/>
                <w:color w:val="000000"/>
                <w:sz w:val="18"/>
                <w:szCs w:val="18"/>
                <w:lang w:val="en-US" w:eastAsia="zh-CN"/>
              </w:rPr>
            </w:pPr>
            <w:r>
              <w:rPr>
                <w:rFonts w:hint="eastAsia"/>
                <w:b w:val="0"/>
                <w:color w:val="000000"/>
                <w:sz w:val="18"/>
                <w:szCs w:val="18"/>
                <w:lang w:val="en-US" w:eastAsia="zh-CN"/>
              </w:rPr>
              <w:t>Yu X,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PEVuZE5vdGU+PENpdGU+PEF1dGhvcj5ZdTwvQXV0aG9yPjxZZWFyPjIwMjQ8L1llYXI+PFJlY051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(49)</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19413A11">
            <w:pPr>
              <w:spacing w:line="240" w:lineRule="auto"/>
              <w:rPr>
                <w:rFonts w:hint="eastAsia"/>
                <w:b w:val="0"/>
                <w:color w:val="000000"/>
                <w:sz w:val="18"/>
                <w:szCs w:val="18"/>
                <w:lang w:val="en-US" w:eastAsia="zh-CN"/>
              </w:rPr>
            </w:pPr>
            <w:r>
              <w:rPr>
                <w:rFonts w:hint="eastAsia"/>
                <w:b w:val="0"/>
                <w:color w:val="000000"/>
                <w:sz w:val="18"/>
                <w:szCs w:val="18"/>
                <w:lang w:val="en-US" w:eastAsia="zh-CN"/>
              </w:rPr>
              <w:t>22</w:t>
            </w:r>
          </w:p>
        </w:tc>
        <w:tc>
          <w:tcPr>
            <w:tcW w:w="1122" w:type="dxa"/>
            <w:tcBorders>
              <w:top w:val="single" w:color="000000" w:sz="4" w:space="0"/>
              <w:left w:val="nil"/>
              <w:bottom w:val="single" w:color="000000" w:sz="4" w:space="0"/>
              <w:right w:val="nil"/>
            </w:tcBorders>
            <w:shd w:val="clear" w:color="auto" w:fill="FFFFFF"/>
            <w:noWrap/>
            <w:vAlign w:val="center"/>
          </w:tcPr>
          <w:p w14:paraId="39500987">
            <w:pPr>
              <w:spacing w:line="240" w:lineRule="auto"/>
              <w:rPr>
                <w:rFonts w:hint="eastAsia"/>
                <w:b w:val="0"/>
                <w:color w:val="000000"/>
                <w:sz w:val="18"/>
                <w:szCs w:val="18"/>
                <w:lang w:val="en-US" w:eastAsia="zh-CN"/>
              </w:rPr>
            </w:pPr>
            <w:r>
              <w:rPr>
                <w:rFonts w:hint="eastAsia"/>
                <w:b w:val="0"/>
                <w:color w:val="000000"/>
                <w:sz w:val="18"/>
                <w:szCs w:val="18"/>
                <w:lang w:val="en-US" w:eastAsia="zh-CN"/>
              </w:rPr>
              <w:t>0.817 (0.786-0.848)</w:t>
            </w:r>
          </w:p>
        </w:tc>
        <w:tc>
          <w:tcPr>
            <w:tcW w:w="1122" w:type="dxa"/>
            <w:tcBorders>
              <w:top w:val="single" w:color="000000" w:sz="4" w:space="0"/>
              <w:left w:val="nil"/>
              <w:bottom w:val="single" w:color="000000" w:sz="4" w:space="0"/>
              <w:right w:val="nil"/>
            </w:tcBorders>
            <w:shd w:val="clear" w:color="auto" w:fill="FFFFFF"/>
            <w:noWrap/>
            <w:vAlign w:val="center"/>
          </w:tcPr>
          <w:p w14:paraId="43E015B4">
            <w:pPr>
              <w:spacing w:line="240" w:lineRule="auto"/>
              <w:rPr>
                <w:rFonts w:hint="eastAsia"/>
                <w:b w:val="0"/>
                <w:color w:val="000000"/>
                <w:sz w:val="18"/>
                <w:szCs w:val="18"/>
                <w:lang w:val="en-US" w:eastAsia="zh-CN"/>
              </w:rPr>
            </w:pPr>
            <w:r>
              <w:rPr>
                <w:rFonts w:hint="eastAsia"/>
                <w:b w:val="0"/>
                <w:color w:val="000000"/>
                <w:sz w:val="18"/>
                <w:szCs w:val="18"/>
                <w:lang w:val="en-US" w:eastAsia="zh-CN"/>
              </w:rPr>
              <w:t>77.80%</w:t>
            </w:r>
          </w:p>
        </w:tc>
        <w:tc>
          <w:tcPr>
            <w:tcW w:w="1123" w:type="dxa"/>
            <w:tcBorders>
              <w:top w:val="single" w:color="000000" w:sz="4" w:space="0"/>
              <w:left w:val="nil"/>
              <w:bottom w:val="single" w:color="000000" w:sz="4" w:space="0"/>
              <w:right w:val="nil"/>
            </w:tcBorders>
            <w:shd w:val="clear" w:color="auto" w:fill="FFFFFF"/>
            <w:noWrap/>
            <w:vAlign w:val="center"/>
          </w:tcPr>
          <w:p w14:paraId="7C3B29A4">
            <w:pPr>
              <w:spacing w:line="240" w:lineRule="auto"/>
              <w:rPr>
                <w:rFonts w:hint="eastAsia"/>
                <w:b w:val="0"/>
                <w:color w:val="000000"/>
                <w:sz w:val="18"/>
                <w:szCs w:val="18"/>
                <w:lang w:val="en-US" w:eastAsia="zh-CN"/>
              </w:rPr>
            </w:pPr>
            <w:r>
              <w:rPr>
                <w:rFonts w:hint="eastAsia"/>
                <w:b w:val="0"/>
                <w:color w:val="000000"/>
                <w:sz w:val="18"/>
                <w:szCs w:val="18"/>
                <w:lang w:val="en-US" w:eastAsia="zh-CN"/>
              </w:rPr>
              <w:t>70.80%</w:t>
            </w:r>
          </w:p>
        </w:tc>
        <w:tc>
          <w:tcPr>
            <w:tcW w:w="784" w:type="dxa"/>
            <w:tcBorders>
              <w:top w:val="single" w:color="000000" w:sz="4" w:space="0"/>
              <w:left w:val="nil"/>
              <w:bottom w:val="single" w:color="000000" w:sz="4" w:space="0"/>
              <w:right w:val="nil"/>
            </w:tcBorders>
            <w:shd w:val="clear" w:color="auto" w:fill="FFFFFF"/>
            <w:noWrap/>
            <w:vAlign w:val="center"/>
          </w:tcPr>
          <w:p w14:paraId="5FBCE15F">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3D3646C7">
            <w:pPr>
              <w:spacing w:line="240" w:lineRule="auto"/>
              <w:rPr>
                <w:rFonts w:hint="eastAsia"/>
                <w:b w:val="0"/>
                <w:color w:val="000000"/>
                <w:sz w:val="18"/>
                <w:szCs w:val="18"/>
                <w:lang w:val="en-US" w:eastAsia="zh-CN"/>
              </w:rPr>
            </w:pPr>
            <w:r>
              <w:rPr>
                <w:rFonts w:hint="eastAsia"/>
                <w:b w:val="0"/>
                <w:color w:val="000000"/>
                <w:sz w:val="18"/>
                <w:szCs w:val="18"/>
                <w:lang w:val="en-US" w:eastAsia="zh-CN"/>
              </w:rPr>
              <w:t>0.536</w:t>
            </w:r>
          </w:p>
        </w:tc>
        <w:tc>
          <w:tcPr>
            <w:tcW w:w="794" w:type="dxa"/>
            <w:tcBorders>
              <w:top w:val="single" w:color="000000" w:sz="4" w:space="0"/>
              <w:left w:val="nil"/>
              <w:bottom w:val="single" w:color="000000" w:sz="4" w:space="0"/>
              <w:right w:val="nil"/>
            </w:tcBorders>
            <w:shd w:val="clear" w:color="auto" w:fill="FFFFFF"/>
            <w:noWrap/>
            <w:vAlign w:val="center"/>
          </w:tcPr>
          <w:p w14:paraId="1DCB8F89">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7E332B73">
            <w:pPr>
              <w:spacing w:line="240" w:lineRule="auto"/>
              <w:rPr>
                <w:rFonts w:hint="eastAsia"/>
                <w:b w:val="0"/>
                <w:color w:val="000000"/>
                <w:sz w:val="18"/>
                <w:szCs w:val="18"/>
                <w:lang w:val="en-US" w:eastAsia="zh-CN"/>
              </w:rPr>
            </w:pPr>
            <w:r>
              <w:rPr>
                <w:rFonts w:hint="eastAsia"/>
                <w:b w:val="0"/>
                <w:color w:val="000000"/>
                <w:sz w:val="18"/>
                <w:szCs w:val="18"/>
                <w:lang w:val="en-US" w:eastAsia="zh-CN"/>
              </w:rPr>
              <w:t>0.806(95%CI NM)</w:t>
            </w:r>
          </w:p>
        </w:tc>
        <w:tc>
          <w:tcPr>
            <w:tcW w:w="1242" w:type="dxa"/>
            <w:tcBorders>
              <w:top w:val="single" w:color="000000" w:sz="4" w:space="0"/>
              <w:left w:val="nil"/>
              <w:bottom w:val="single" w:color="000000" w:sz="4" w:space="0"/>
              <w:right w:val="nil"/>
            </w:tcBorders>
            <w:shd w:val="clear" w:color="auto" w:fill="FFFFFF"/>
            <w:noWrap/>
            <w:vAlign w:val="center"/>
          </w:tcPr>
          <w:p w14:paraId="71A9BE74">
            <w:pPr>
              <w:spacing w:line="240" w:lineRule="auto"/>
              <w:rPr>
                <w:rFonts w:hint="eastAsia"/>
                <w:b w:val="0"/>
                <w:color w:val="000000"/>
                <w:sz w:val="18"/>
                <w:szCs w:val="18"/>
                <w:lang w:val="en-US" w:eastAsia="zh-CN"/>
              </w:rPr>
            </w:pPr>
            <w:r>
              <w:rPr>
                <w:rFonts w:hint="eastAsia"/>
                <w:b w:val="0"/>
                <w:color w:val="000000"/>
                <w:sz w:val="18"/>
                <w:szCs w:val="18"/>
                <w:lang w:val="en-US" w:eastAsia="zh-CN"/>
              </w:rPr>
              <w:t>0.772 (0.718-0.824)</w:t>
            </w:r>
          </w:p>
        </w:tc>
        <w:tc>
          <w:tcPr>
            <w:tcW w:w="1242" w:type="dxa"/>
            <w:tcBorders>
              <w:top w:val="single" w:color="000000" w:sz="4" w:space="0"/>
              <w:left w:val="nil"/>
              <w:bottom w:val="single" w:color="000000" w:sz="4" w:space="0"/>
              <w:right w:val="nil"/>
            </w:tcBorders>
            <w:shd w:val="clear" w:color="auto" w:fill="FFFFFF"/>
            <w:noWrap/>
            <w:vAlign w:val="center"/>
          </w:tcPr>
          <w:p w14:paraId="426DE519">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74423A9A">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5B66B006">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0085DF51">
            <w:pPr>
              <w:spacing w:line="240" w:lineRule="auto"/>
              <w:rPr>
                <w:rFonts w:hint="eastAsia"/>
                <w:b w:val="0"/>
                <w:color w:val="000000"/>
                <w:sz w:val="18"/>
                <w:szCs w:val="18"/>
                <w:lang w:val="en-US" w:eastAsia="zh-CN"/>
              </w:rPr>
            </w:pPr>
            <w:r>
              <w:rPr>
                <w:rFonts w:hint="eastAsia"/>
                <w:b w:val="0"/>
                <w:color w:val="000000"/>
                <w:sz w:val="18"/>
                <w:szCs w:val="18"/>
                <w:lang w:val="en-US" w:eastAsia="zh-CN"/>
              </w:rPr>
              <w:t>Major Depressive Disorder</w:t>
            </w:r>
          </w:p>
        </w:tc>
        <w:tc>
          <w:tcPr>
            <w:tcW w:w="1315" w:type="dxa"/>
            <w:tcBorders>
              <w:top w:val="single" w:color="000000" w:sz="4" w:space="0"/>
              <w:left w:val="nil"/>
              <w:bottom w:val="single" w:color="000000" w:sz="4" w:space="0"/>
              <w:right w:val="nil"/>
            </w:tcBorders>
            <w:shd w:val="clear" w:color="auto" w:fill="FFFFFF"/>
            <w:noWrap/>
            <w:vAlign w:val="center"/>
          </w:tcPr>
          <w:p w14:paraId="0D26CF7E">
            <w:pPr>
              <w:spacing w:line="240" w:lineRule="auto"/>
              <w:rPr>
                <w:rFonts w:hint="eastAsia"/>
                <w:b w:val="0"/>
                <w:color w:val="000000"/>
                <w:sz w:val="18"/>
                <w:szCs w:val="18"/>
                <w:lang w:val="en-US" w:eastAsia="zh-CN"/>
              </w:rPr>
            </w:pPr>
            <w:r>
              <w:rPr>
                <w:rFonts w:hint="eastAsia"/>
                <w:b w:val="0"/>
                <w:color w:val="000000"/>
                <w:sz w:val="18"/>
                <w:szCs w:val="18"/>
                <w:lang w:val="en-US" w:eastAsia="zh-CN"/>
              </w:rPr>
              <w:t>Yu C,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PEVuZE5vdGU+PENpdGU+PEF1dGhvcj5ZdTwvQXV0aG9yPjxZZWFyPjIwMjU8L1llYXI+PFJlY051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Y3VzdG9tMT48Y3VzdG9tMj5QTUMxMjExNjMxMzwvY3VzdG9tMj48ZWxlY3Ryb25pYy1yZXNvdXJj
ZS1udW0+MTAuMzM4OS9mcHViaC4yMDI1LjE1NzQzODY8L2VsZWN0cm9uaWMtcmVzb3VyY2UtbnVt
PjxyZW1vdGUtZGF0YWJhc2UtcHJvdmlkZXI+TkxNPC9yZW1vdGUtZGF0YWJhc2UtcHJvdmlkZXI+
PGxhbmd1YWdlPmVuZzwvbGFuZ3VhZ2U+PC9yZWNvcmQ+PC9DaXRlPjwvRW5kTm90ZT4=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(50)</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154DE43D">
            <w:pPr>
              <w:spacing w:line="240" w:lineRule="auto"/>
              <w:rPr>
                <w:rFonts w:hint="eastAsia"/>
                <w:b w:val="0"/>
                <w:color w:val="000000"/>
                <w:sz w:val="18"/>
                <w:szCs w:val="18"/>
                <w:lang w:val="en-US" w:eastAsia="zh-CN"/>
              </w:rPr>
            </w:pPr>
            <w:r>
              <w:rPr>
                <w:rFonts w:hint="eastAsia"/>
                <w:b w:val="0"/>
                <w:color w:val="000000"/>
                <w:sz w:val="18"/>
                <w:szCs w:val="18"/>
                <w:lang w:val="en-US" w:eastAsia="zh-CN"/>
              </w:rPr>
              <w:t>23</w:t>
            </w:r>
          </w:p>
        </w:tc>
        <w:tc>
          <w:tcPr>
            <w:tcW w:w="1122" w:type="dxa"/>
            <w:tcBorders>
              <w:top w:val="single" w:color="000000" w:sz="4" w:space="0"/>
              <w:left w:val="nil"/>
              <w:bottom w:val="single" w:color="000000" w:sz="4" w:space="0"/>
              <w:right w:val="nil"/>
            </w:tcBorders>
            <w:shd w:val="clear" w:color="auto" w:fill="FFFFFF"/>
            <w:noWrap/>
            <w:vAlign w:val="center"/>
          </w:tcPr>
          <w:p w14:paraId="61E39FBB">
            <w:pPr>
              <w:spacing w:line="240" w:lineRule="auto"/>
              <w:rPr>
                <w:rFonts w:hint="eastAsia"/>
                <w:b w:val="0"/>
                <w:color w:val="000000"/>
                <w:sz w:val="18"/>
                <w:szCs w:val="18"/>
                <w:lang w:val="en-US" w:eastAsia="zh-CN"/>
              </w:rPr>
            </w:pPr>
            <w:r>
              <w:rPr>
                <w:rFonts w:hint="eastAsia"/>
                <w:b w:val="0"/>
                <w:color w:val="000000"/>
                <w:sz w:val="18"/>
                <w:szCs w:val="18"/>
                <w:lang w:val="en-US" w:eastAsia="zh-CN"/>
              </w:rPr>
              <w:t>0.715 (0.681-0.749)</w:t>
            </w:r>
          </w:p>
        </w:tc>
        <w:tc>
          <w:tcPr>
            <w:tcW w:w="1122" w:type="dxa"/>
            <w:tcBorders>
              <w:top w:val="single" w:color="000000" w:sz="4" w:space="0"/>
              <w:left w:val="nil"/>
              <w:bottom w:val="single" w:color="000000" w:sz="4" w:space="0"/>
              <w:right w:val="nil"/>
            </w:tcBorders>
            <w:shd w:val="clear" w:color="auto" w:fill="FFFFFF"/>
            <w:noWrap/>
            <w:vAlign w:val="center"/>
          </w:tcPr>
          <w:p w14:paraId="37570765">
            <w:pPr>
              <w:spacing w:line="240" w:lineRule="auto"/>
              <w:rPr>
                <w:rFonts w:hint="eastAsia"/>
                <w:b w:val="0"/>
                <w:color w:val="000000"/>
                <w:sz w:val="18"/>
                <w:szCs w:val="18"/>
                <w:lang w:val="en-US" w:eastAsia="zh-CN"/>
              </w:rPr>
            </w:pPr>
            <w:r>
              <w:rPr>
                <w:rFonts w:hint="eastAsia"/>
                <w:b w:val="0"/>
                <w:color w:val="000000"/>
                <w:sz w:val="18"/>
                <w:szCs w:val="18"/>
                <w:lang w:val="en-US" w:eastAsia="zh-CN"/>
              </w:rPr>
              <w:t>68.00%</w:t>
            </w:r>
          </w:p>
        </w:tc>
        <w:tc>
          <w:tcPr>
            <w:tcW w:w="1123" w:type="dxa"/>
            <w:tcBorders>
              <w:top w:val="single" w:color="000000" w:sz="4" w:space="0"/>
              <w:left w:val="nil"/>
              <w:bottom w:val="single" w:color="000000" w:sz="4" w:space="0"/>
              <w:right w:val="nil"/>
            </w:tcBorders>
            <w:shd w:val="clear" w:color="auto" w:fill="FFFFFF"/>
            <w:noWrap/>
            <w:vAlign w:val="center"/>
          </w:tcPr>
          <w:p w14:paraId="6DD2C1E5">
            <w:pPr>
              <w:spacing w:line="240" w:lineRule="auto"/>
              <w:rPr>
                <w:rFonts w:hint="eastAsia"/>
                <w:b w:val="0"/>
                <w:color w:val="000000"/>
                <w:sz w:val="18"/>
                <w:szCs w:val="18"/>
                <w:lang w:val="en-US" w:eastAsia="zh-CN"/>
              </w:rPr>
            </w:pPr>
            <w:r>
              <w:rPr>
                <w:rFonts w:hint="eastAsia"/>
                <w:b w:val="0"/>
                <w:color w:val="000000"/>
                <w:sz w:val="18"/>
                <w:szCs w:val="18"/>
                <w:lang w:val="en-US" w:eastAsia="zh-CN"/>
              </w:rPr>
              <w:t>67.20%</w:t>
            </w:r>
          </w:p>
        </w:tc>
        <w:tc>
          <w:tcPr>
            <w:tcW w:w="784" w:type="dxa"/>
            <w:tcBorders>
              <w:top w:val="single" w:color="000000" w:sz="4" w:space="0"/>
              <w:left w:val="nil"/>
              <w:bottom w:val="single" w:color="000000" w:sz="4" w:space="0"/>
              <w:right w:val="nil"/>
            </w:tcBorders>
            <w:shd w:val="clear" w:color="auto" w:fill="FFFFFF"/>
            <w:noWrap/>
            <w:vAlign w:val="center"/>
          </w:tcPr>
          <w:p w14:paraId="166F25EA">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5C057E68">
            <w:pPr>
              <w:spacing w:line="240" w:lineRule="auto"/>
              <w:rPr>
                <w:rFonts w:hint="eastAsia"/>
                <w:b w:val="0"/>
                <w:color w:val="000000"/>
                <w:sz w:val="18"/>
                <w:szCs w:val="18"/>
                <w:lang w:val="en-US" w:eastAsia="zh-CN"/>
              </w:rPr>
            </w:pPr>
            <w:r>
              <w:rPr>
                <w:rFonts w:hint="eastAsia"/>
                <w:b w:val="0"/>
                <w:color w:val="000000"/>
                <w:sz w:val="18"/>
                <w:szCs w:val="18"/>
                <w:lang w:val="en-US" w:eastAsia="zh-CN"/>
              </w:rPr>
              <w:t>0.931</w:t>
            </w:r>
          </w:p>
        </w:tc>
        <w:tc>
          <w:tcPr>
            <w:tcW w:w="794" w:type="dxa"/>
            <w:tcBorders>
              <w:top w:val="single" w:color="000000" w:sz="4" w:space="0"/>
              <w:left w:val="nil"/>
              <w:bottom w:val="single" w:color="000000" w:sz="4" w:space="0"/>
              <w:right w:val="nil"/>
            </w:tcBorders>
            <w:shd w:val="clear" w:color="auto" w:fill="FFFFFF"/>
            <w:noWrap/>
            <w:vAlign w:val="center"/>
          </w:tcPr>
          <w:p w14:paraId="14C8DA5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5BE1F8E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39B9BDA6">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2E17F16">
            <w:pPr>
              <w:spacing w:line="240" w:lineRule="auto"/>
              <w:rPr>
                <w:rFonts w:hint="eastAsia"/>
                <w:b w:val="0"/>
                <w:color w:val="000000"/>
                <w:sz w:val="18"/>
                <w:szCs w:val="18"/>
                <w:lang w:val="en-US" w:eastAsia="zh-CN"/>
              </w:rPr>
            </w:pPr>
            <w:r>
              <w:rPr>
                <w:rFonts w:hint="eastAsia"/>
                <w:b w:val="0"/>
                <w:color w:val="000000"/>
                <w:sz w:val="18"/>
                <w:szCs w:val="18"/>
                <w:lang w:val="en-US" w:eastAsia="zh-CN"/>
              </w:rPr>
              <w:t>0.716(95%CI NM)</w:t>
            </w:r>
          </w:p>
        </w:tc>
        <w:tc>
          <w:tcPr>
            <w:tcW w:w="1204" w:type="dxa"/>
            <w:tcBorders>
              <w:top w:val="single" w:color="000000" w:sz="4" w:space="0"/>
              <w:left w:val="nil"/>
              <w:bottom w:val="single" w:color="000000" w:sz="4" w:space="0"/>
              <w:right w:val="nil"/>
            </w:tcBorders>
            <w:shd w:val="clear" w:color="auto" w:fill="FFFFFF"/>
            <w:noWrap/>
            <w:vAlign w:val="center"/>
          </w:tcPr>
          <w:p w14:paraId="4BD18D08">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r w14:paraId="192ACF53">
        <w:trPr>
          <w:trHeight w:val="351" w:hRule="atLeast"/>
        </w:trPr>
        <w:tc>
          <w:tcPr>
            <w:tcW w:w="1295" w:type="dxa"/>
            <w:tcBorders>
              <w:top w:val="single" w:color="000000" w:sz="4" w:space="0"/>
              <w:left w:val="nil"/>
              <w:bottom w:val="single" w:color="000000" w:sz="4" w:space="0"/>
              <w:right w:val="nil"/>
            </w:tcBorders>
            <w:shd w:val="clear" w:color="auto" w:fill="FFFFFF"/>
            <w:noWrap/>
            <w:vAlign w:val="center"/>
          </w:tcPr>
          <w:p w14:paraId="120DAD58">
            <w:pPr>
              <w:spacing w:line="240" w:lineRule="auto"/>
              <w:rPr>
                <w:rFonts w:hint="eastAsia"/>
                <w:b w:val="0"/>
                <w:color w:val="000000"/>
                <w:sz w:val="18"/>
                <w:szCs w:val="18"/>
                <w:lang w:val="en-US" w:eastAsia="zh-CN"/>
              </w:rPr>
            </w:pPr>
            <w:r>
              <w:rPr>
                <w:rFonts w:hint="eastAsia"/>
                <w:b w:val="0"/>
                <w:color w:val="000000"/>
                <w:sz w:val="18"/>
                <w:szCs w:val="18"/>
                <w:lang w:val="en-US" w:eastAsia="zh-CN"/>
              </w:rPr>
              <w:t>Cognitive Impairment</w:t>
            </w:r>
          </w:p>
        </w:tc>
        <w:tc>
          <w:tcPr>
            <w:tcW w:w="1315" w:type="dxa"/>
            <w:tcBorders>
              <w:top w:val="single" w:color="000000" w:sz="4" w:space="0"/>
              <w:left w:val="nil"/>
              <w:bottom w:val="single" w:color="000000" w:sz="4" w:space="0"/>
              <w:right w:val="nil"/>
            </w:tcBorders>
            <w:shd w:val="clear" w:color="auto" w:fill="FFFFFF"/>
            <w:noWrap/>
            <w:vAlign w:val="center"/>
          </w:tcPr>
          <w:p w14:paraId="59E45E18">
            <w:pPr>
              <w:spacing w:line="240" w:lineRule="auto"/>
              <w:rPr>
                <w:rFonts w:hint="eastAsia"/>
                <w:b w:val="0"/>
                <w:color w:val="000000"/>
                <w:sz w:val="18"/>
                <w:szCs w:val="18"/>
                <w:lang w:val="en-US" w:eastAsia="zh-CN"/>
              </w:rPr>
            </w:pPr>
            <w:r>
              <w:rPr>
                <w:rFonts w:hint="eastAsia"/>
                <w:b w:val="0"/>
                <w:color w:val="000000"/>
                <w:sz w:val="18"/>
                <w:szCs w:val="18"/>
                <w:lang w:val="en-US" w:eastAsia="zh-CN"/>
              </w:rPr>
              <w:t>Lei C, et al., 2024</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PEVuZE5vdGU+PENpdGU+PEF1dGhvcj5MZWk8L0F1dGhvcj48WWVhcj4yMDI0PC9ZZWFyPjxSZWNO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cyBhIHBvdGVudGlhbCBjb25mbGljdCBvZiBpbnRlcmVzdC4gVGhlIGF1dGhvcihzKSBkZWNsYXJl
ZCB0aGF0IHRoZXkgd2VyZSBhbiBlZGl0b3JpYWwgYm9hcmQgbWVtYmVyIG9mIEZyb250aWVycywg
YXQgdGhlIHRpbWUgb2Ygc3VibWlzc2lvbi4gVGhpcyBoYWQgbm8gaW1wYWN0IG9uIHRoZSBwZWVy
IHJldmlldyBwcm9jZXNzIGFuZCB0aGUgZmluYWwgZGVjaXNpb24uPC9jdXN0b20xPjxjdXN0b20y
PlBNQzEwOTMyOTU2PC9jdXN0b20yPjxlbGVjdHJvbmljLXJlc291cmNlLW51bT4xMC4zMzg5L2Zl
bmRvLjIwMjQuMTI5MDI4NjwvZWxlY3Ryb25pYy1yZXNvdXJjZS1udW0+PHJlbW90ZS1kYXRhYmFz
ZS1wcm92aWRlcj5OTE08L3JlbW90ZS1kYXRhYmFzZS1wcm92aWRlcj48bGFuZ3VhZ2U+ZW5nPC9s
YW5ndWFnZT48L3JlY29yZD48L0NpdGU+PC9FbmROb3RlPg==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(51)</w:t>
            </w:r>
            <w:r>
              <w:rPr>
                <w:rFonts w:hint="eastAsia"/>
                <w:b w:val="0"/>
                <w:color w:val="000000"/>
                <w:sz w:val="18"/>
                <w:szCs w:val="18"/>
                <w:lang w:val="en-US" w:eastAsia="zh-CN"/>
              </w:rPr>
              <w:fldChar w:fldCharType="end"/>
            </w:r>
          </w:p>
        </w:tc>
        <w:tc>
          <w:tcPr>
            <w:tcW w:w="822" w:type="dxa"/>
            <w:tcBorders>
              <w:top w:val="single" w:color="000000" w:sz="4" w:space="0"/>
              <w:left w:val="nil"/>
              <w:bottom w:val="single" w:color="000000" w:sz="4" w:space="0"/>
              <w:right w:val="nil"/>
            </w:tcBorders>
            <w:shd w:val="clear" w:color="auto" w:fill="FFFFFF"/>
            <w:noWrap/>
            <w:vAlign w:val="center"/>
          </w:tcPr>
          <w:p w14:paraId="604CC67E">
            <w:pPr>
              <w:spacing w:line="240" w:lineRule="auto"/>
              <w:rPr>
                <w:rFonts w:hint="eastAsia"/>
                <w:b w:val="0"/>
                <w:color w:val="000000"/>
                <w:sz w:val="18"/>
                <w:szCs w:val="18"/>
                <w:lang w:val="en-US" w:eastAsia="zh-CN"/>
              </w:rPr>
            </w:pPr>
            <w:r>
              <w:rPr>
                <w:rFonts w:hint="eastAsia"/>
                <w:b w:val="0"/>
                <w:color w:val="000000"/>
                <w:sz w:val="18"/>
                <w:szCs w:val="18"/>
                <w:lang w:val="en-US" w:eastAsia="zh-CN"/>
              </w:rPr>
              <w:t>24</w:t>
            </w:r>
          </w:p>
        </w:tc>
        <w:tc>
          <w:tcPr>
            <w:tcW w:w="1122" w:type="dxa"/>
            <w:tcBorders>
              <w:top w:val="single" w:color="000000" w:sz="4" w:space="0"/>
              <w:left w:val="nil"/>
              <w:bottom w:val="single" w:color="000000" w:sz="4" w:space="0"/>
              <w:right w:val="nil"/>
            </w:tcBorders>
            <w:shd w:val="clear" w:color="auto" w:fill="FFFFFF"/>
            <w:noWrap/>
            <w:vAlign w:val="center"/>
          </w:tcPr>
          <w:p w14:paraId="0C92E2FE">
            <w:pPr>
              <w:spacing w:line="240" w:lineRule="auto"/>
              <w:rPr>
                <w:rFonts w:hint="eastAsia"/>
                <w:b w:val="0"/>
                <w:color w:val="000000"/>
                <w:sz w:val="18"/>
                <w:szCs w:val="18"/>
                <w:lang w:val="en-US" w:eastAsia="zh-CN"/>
              </w:rPr>
            </w:pPr>
            <w:r>
              <w:rPr>
                <w:rFonts w:hint="eastAsia"/>
                <w:b w:val="0"/>
                <w:color w:val="000000"/>
                <w:sz w:val="18"/>
                <w:szCs w:val="18"/>
                <w:lang w:val="en-US" w:eastAsia="zh-CN"/>
              </w:rPr>
              <w:t>0.842 (0.814-0.875)</w:t>
            </w:r>
          </w:p>
        </w:tc>
        <w:tc>
          <w:tcPr>
            <w:tcW w:w="1122" w:type="dxa"/>
            <w:tcBorders>
              <w:top w:val="single" w:color="000000" w:sz="4" w:space="0"/>
              <w:left w:val="nil"/>
              <w:bottom w:val="single" w:color="000000" w:sz="4" w:space="0"/>
              <w:right w:val="nil"/>
            </w:tcBorders>
            <w:shd w:val="clear" w:color="auto" w:fill="FFFFFF"/>
            <w:noWrap/>
            <w:vAlign w:val="center"/>
          </w:tcPr>
          <w:p w14:paraId="67E2D264">
            <w:pPr>
              <w:spacing w:line="240" w:lineRule="auto"/>
              <w:rPr>
                <w:rFonts w:hint="eastAsia"/>
                <w:b w:val="0"/>
                <w:color w:val="000000"/>
                <w:sz w:val="18"/>
                <w:szCs w:val="18"/>
                <w:lang w:val="en-US" w:eastAsia="zh-CN"/>
              </w:rPr>
            </w:pPr>
            <w:r>
              <w:rPr>
                <w:rFonts w:hint="eastAsia"/>
                <w:b w:val="0"/>
                <w:color w:val="000000"/>
                <w:sz w:val="18"/>
                <w:szCs w:val="18"/>
                <w:lang w:val="en-US" w:eastAsia="zh-CN"/>
              </w:rPr>
              <w:t>82.20%</w:t>
            </w:r>
          </w:p>
        </w:tc>
        <w:tc>
          <w:tcPr>
            <w:tcW w:w="1123" w:type="dxa"/>
            <w:tcBorders>
              <w:top w:val="single" w:color="000000" w:sz="4" w:space="0"/>
              <w:left w:val="nil"/>
              <w:bottom w:val="single" w:color="000000" w:sz="4" w:space="0"/>
              <w:right w:val="nil"/>
            </w:tcBorders>
            <w:shd w:val="clear" w:color="auto" w:fill="FFFFFF"/>
            <w:noWrap/>
            <w:vAlign w:val="center"/>
          </w:tcPr>
          <w:p w14:paraId="25F03C60">
            <w:pPr>
              <w:spacing w:line="240" w:lineRule="auto"/>
              <w:rPr>
                <w:rFonts w:hint="eastAsia"/>
                <w:b w:val="0"/>
                <w:color w:val="000000"/>
                <w:sz w:val="18"/>
                <w:szCs w:val="18"/>
                <w:lang w:val="en-US" w:eastAsia="zh-CN"/>
              </w:rPr>
            </w:pPr>
            <w:r>
              <w:rPr>
                <w:rFonts w:hint="eastAsia"/>
                <w:b w:val="0"/>
                <w:color w:val="000000"/>
                <w:sz w:val="18"/>
                <w:szCs w:val="18"/>
                <w:lang w:val="en-US" w:eastAsia="zh-CN"/>
              </w:rPr>
              <w:t>65.90%</w:t>
            </w:r>
          </w:p>
        </w:tc>
        <w:tc>
          <w:tcPr>
            <w:tcW w:w="784" w:type="dxa"/>
            <w:tcBorders>
              <w:top w:val="single" w:color="000000" w:sz="4" w:space="0"/>
              <w:left w:val="nil"/>
              <w:bottom w:val="single" w:color="000000" w:sz="4" w:space="0"/>
              <w:right w:val="nil"/>
            </w:tcBorders>
            <w:shd w:val="clear" w:color="auto" w:fill="FFFFFF"/>
            <w:noWrap/>
            <w:vAlign w:val="center"/>
          </w:tcPr>
          <w:p w14:paraId="6EEB83F1">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993" w:type="dxa"/>
            <w:tcBorders>
              <w:top w:val="single" w:color="000000" w:sz="4" w:space="0"/>
              <w:left w:val="nil"/>
              <w:bottom w:val="single" w:color="000000" w:sz="4" w:space="0"/>
              <w:right w:val="nil"/>
            </w:tcBorders>
            <w:shd w:val="clear" w:color="auto" w:fill="FFFFFF"/>
            <w:noWrap/>
            <w:vAlign w:val="center"/>
          </w:tcPr>
          <w:p w14:paraId="00E02B3D">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794" w:type="dxa"/>
            <w:tcBorders>
              <w:top w:val="single" w:color="000000" w:sz="4" w:space="0"/>
              <w:left w:val="nil"/>
              <w:bottom w:val="single" w:color="000000" w:sz="4" w:space="0"/>
              <w:right w:val="nil"/>
            </w:tcBorders>
            <w:shd w:val="clear" w:color="auto" w:fill="FFFFFF"/>
            <w:noWrap/>
            <w:vAlign w:val="center"/>
          </w:tcPr>
          <w:p w14:paraId="457994AF">
            <w:pPr>
              <w:spacing w:line="240" w:lineRule="auto"/>
              <w:rPr>
                <w:rFonts w:hint="eastAsia"/>
                <w:b w:val="0"/>
                <w:color w:val="000000"/>
                <w:sz w:val="18"/>
                <w:szCs w:val="18"/>
                <w:lang w:val="en-US" w:eastAsia="zh-CN"/>
              </w:rPr>
            </w:pPr>
            <w:r>
              <w:rPr>
                <w:rFonts w:hint="eastAsia"/>
                <w:b w:val="0"/>
                <w:color w:val="000000"/>
                <w:sz w:val="18"/>
                <w:szCs w:val="18"/>
                <w:lang w:val="en-US" w:eastAsia="zh-CN"/>
              </w:rPr>
              <w:t>Yes</w:t>
            </w:r>
          </w:p>
        </w:tc>
        <w:tc>
          <w:tcPr>
            <w:tcW w:w="1242" w:type="dxa"/>
            <w:tcBorders>
              <w:top w:val="single" w:color="000000" w:sz="4" w:space="0"/>
              <w:left w:val="nil"/>
              <w:bottom w:val="single" w:color="000000" w:sz="4" w:space="0"/>
              <w:right w:val="nil"/>
            </w:tcBorders>
            <w:shd w:val="clear" w:color="auto" w:fill="FFFFFF"/>
            <w:noWrap/>
            <w:vAlign w:val="center"/>
          </w:tcPr>
          <w:p w14:paraId="2E386FF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42" w:type="dxa"/>
            <w:tcBorders>
              <w:top w:val="single" w:color="000000" w:sz="4" w:space="0"/>
              <w:left w:val="nil"/>
              <w:bottom w:val="single" w:color="000000" w:sz="4" w:space="0"/>
              <w:right w:val="nil"/>
            </w:tcBorders>
            <w:shd w:val="clear" w:color="auto" w:fill="FFFFFF"/>
            <w:noWrap/>
            <w:vAlign w:val="center"/>
          </w:tcPr>
          <w:p w14:paraId="16714A11">
            <w:pPr>
              <w:spacing w:line="240" w:lineRule="auto"/>
              <w:rPr>
                <w:rFonts w:hint="eastAsia"/>
                <w:b w:val="0"/>
                <w:color w:val="000000"/>
                <w:sz w:val="18"/>
                <w:szCs w:val="18"/>
                <w:lang w:val="en-US" w:eastAsia="zh-CN"/>
              </w:rPr>
            </w:pPr>
            <w:r>
              <w:rPr>
                <w:rFonts w:hint="eastAsia"/>
                <w:b w:val="0"/>
                <w:color w:val="000000"/>
                <w:sz w:val="18"/>
                <w:szCs w:val="18"/>
                <w:lang w:val="en-US" w:eastAsia="zh-CN"/>
              </w:rPr>
              <w:t>AUC：0.795 (0.753-0.847) C-index：0.805 (0.758-0.851)</w:t>
            </w:r>
          </w:p>
        </w:tc>
        <w:tc>
          <w:tcPr>
            <w:tcW w:w="1242" w:type="dxa"/>
            <w:tcBorders>
              <w:top w:val="single" w:color="000000" w:sz="4" w:space="0"/>
              <w:left w:val="nil"/>
              <w:bottom w:val="single" w:color="000000" w:sz="4" w:space="0"/>
              <w:right w:val="nil"/>
            </w:tcBorders>
            <w:shd w:val="clear" w:color="auto" w:fill="FFFFFF"/>
            <w:noWrap/>
            <w:vAlign w:val="center"/>
          </w:tcPr>
          <w:p w14:paraId="0ABCC45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c>
          <w:tcPr>
            <w:tcW w:w="1204" w:type="dxa"/>
            <w:tcBorders>
              <w:top w:val="single" w:color="000000" w:sz="4" w:space="0"/>
              <w:left w:val="nil"/>
              <w:bottom w:val="single" w:color="000000" w:sz="4" w:space="0"/>
              <w:right w:val="nil"/>
            </w:tcBorders>
            <w:shd w:val="clear" w:color="auto" w:fill="FFFFFF"/>
            <w:noWrap/>
            <w:vAlign w:val="center"/>
          </w:tcPr>
          <w:p w14:paraId="13CCEE93">
            <w:pPr>
              <w:spacing w:line="240" w:lineRule="auto"/>
              <w:rPr>
                <w:rFonts w:hint="eastAsia"/>
                <w:b w:val="0"/>
                <w:color w:val="000000"/>
                <w:sz w:val="18"/>
                <w:szCs w:val="18"/>
                <w:lang w:val="en-US" w:eastAsia="zh-CN"/>
              </w:rPr>
            </w:pPr>
            <w:r>
              <w:rPr>
                <w:rFonts w:hint="eastAsia"/>
                <w:b w:val="0"/>
                <w:color w:val="000000"/>
                <w:sz w:val="18"/>
                <w:szCs w:val="18"/>
                <w:lang w:val="en-US" w:eastAsia="zh-CN"/>
              </w:rPr>
              <w:t>NM</w:t>
            </w:r>
          </w:p>
        </w:tc>
      </w:tr>
    </w:tbl>
    <w:p w14:paraId="7B455D94">
      <w:pPr>
        <w:bidi w:val="0"/>
        <w:spacing w:line="360" w:lineRule="auto"/>
        <w:rPr>
          <w:rFonts w:hint="default"/>
          <w:lang w:val="en-US" w:eastAsia="zh-CN"/>
        </w:rPr>
        <w:sectPr>
          <w:endnotePr>
            <w:numFmt w:val="decimal"/>
          </w:endnotePr>
          <w:pgSz w:w="16838" w:h="11906" w:orient="landscape"/>
          <w:pgMar w:top="1800" w:right="1440" w:bottom="1800" w:left="1440" w:header="851" w:footer="992" w:gutter="0"/>
          <w:pgNumType w:fmt="decimal"/>
          <w:cols w:space="425" w:num="1"/>
          <w:docGrid w:type="lines" w:linePitch="312" w:charSpace="0"/>
        </w:sectPr>
      </w:pPr>
      <w:r>
        <w:rPr>
          <w:rFonts w:hint="default" w:ascii="Times New Roman Bold" w:hAnsi="Times New Roman Bold" w:cs="Times New Roman Bold"/>
          <w:b/>
          <w:bCs/>
          <w:lang w:val="en-US" w:eastAsia="zh-CN"/>
        </w:rPr>
        <w:t xml:space="preserve">Abbreviation: </w:t>
      </w:r>
      <w:r>
        <w:rPr>
          <w:lang w:val="en-US" w:eastAsia="zh-CN"/>
        </w:rPr>
        <w:t>N</w:t>
      </w:r>
      <w:r>
        <w:rPr>
          <w:rFonts w:hint="default"/>
          <w:lang w:val="en-US" w:eastAsia="zh-CN"/>
        </w:rPr>
        <w:t>M</w:t>
      </w:r>
      <w:r>
        <w:rPr>
          <w:lang w:val="en-US" w:eastAsia="zh-CN"/>
        </w:rPr>
        <w:t xml:space="preserve">, not </w:t>
      </w:r>
      <w:r>
        <w:rPr>
          <w:rFonts w:hint="default"/>
          <w:lang w:val="en-US" w:eastAsia="zh-CN"/>
        </w:rPr>
        <w:t>mention</w:t>
      </w:r>
      <w:r>
        <w:rPr>
          <w:rFonts w:hint="eastAsia"/>
          <w:lang w:val="en-US" w:eastAsia="zh-CN"/>
        </w:rPr>
        <w:t>ed</w:t>
      </w:r>
    </w:p>
    <w:p w14:paraId="522D194E">
      <w:pPr>
        <w:pStyle w:val="4"/>
        <w:bidi w:val="0"/>
        <w:spacing w:line="360" w:lineRule="auto"/>
        <w:rPr>
          <w:rFonts w:hint="eastAsia"/>
          <w:lang w:val="en-US" w:eastAsia="zh-CN"/>
        </w:rPr>
      </w:pPr>
      <w:bookmarkStart w:id="41" w:name="_Toc736372248"/>
      <w:r>
        <w:t>Table S</w:t>
      </w:r>
      <w:r>
        <w:fldChar w:fldCharType="begin"/>
      </w:r>
      <w:r>
        <w:instrText xml:space="preserve"> SEQ Table_S \* ARABIC </w:instrText>
      </w:r>
      <w:r>
        <w:fldChar w:fldCharType="separate"/>
      </w:r>
      <w:r>
        <w:t>9</w:t>
      </w:r>
      <w:r>
        <w:fldChar w:fldCharType="end"/>
      </w:r>
      <w:r>
        <w:rPr>
          <w:rFonts w:hint="eastAsia"/>
          <w:lang w:val="en-US" w:eastAsia="zh-CN"/>
        </w:rPr>
        <w:t xml:space="preserve"> Distribution of Predictors According to Included Studies</w:t>
      </w:r>
      <w:bookmarkEnd w:id="38"/>
      <w:bookmarkEnd w:id="39"/>
      <w:bookmarkEnd w:id="41"/>
    </w:p>
    <w:tbl>
      <w:tblPr>
        <w:tblStyle w:val="21"/>
        <w:tblW w:w="138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9"/>
        <w:gridCol w:w="1216"/>
        <w:gridCol w:w="2835"/>
        <w:gridCol w:w="2835"/>
        <w:gridCol w:w="2835"/>
        <w:gridCol w:w="2835"/>
      </w:tblGrid>
      <w:tr w14:paraId="2CC4E5F2">
        <w:trPr>
          <w:trHeight w:val="366" w:hRule="atLeast"/>
        </w:trPr>
        <w:tc>
          <w:tcPr>
            <w:tcW w:w="1259" w:type="dxa"/>
            <w:vMerge w:val="restart"/>
            <w:tcBorders>
              <w:top w:val="single" w:color="000000" w:sz="4" w:space="0"/>
              <w:left w:val="nil"/>
              <w:right w:val="nil"/>
            </w:tcBorders>
            <w:shd w:val="clear" w:color="auto" w:fill="FFFFFF"/>
            <w:noWrap/>
            <w:vAlign w:val="center"/>
          </w:tcPr>
          <w:p w14:paraId="1E6A1785">
            <w:pPr>
              <w:spacing w:line="240" w:lineRule="auto"/>
              <w:rPr>
                <w:rFonts w:hint="eastAsia" w:ascii="Times New Roman Bold" w:hAnsi="Times New Roman Bold" w:cs="Times New Roman Bold"/>
                <w:b/>
                <w:bCs/>
                <w:color w:val="000000"/>
                <w:lang w:val="en-US" w:eastAsia="zh-CN"/>
              </w:rPr>
            </w:pPr>
            <w:r>
              <w:rPr>
                <w:rFonts w:hint="eastAsia" w:ascii="Times New Roman Bold" w:hAnsi="Times New Roman Bold" w:cs="Times New Roman Bold"/>
                <w:b/>
                <w:bCs/>
                <w:color w:val="000000"/>
                <w:lang w:val="en-US" w:eastAsia="zh-CN"/>
              </w:rPr>
              <w:t>First author, publication year</w:t>
            </w:r>
          </w:p>
        </w:tc>
        <w:tc>
          <w:tcPr>
            <w:tcW w:w="1216" w:type="dxa"/>
            <w:vMerge w:val="restart"/>
            <w:tcBorders>
              <w:top w:val="single" w:color="000000" w:sz="4" w:space="0"/>
              <w:left w:val="nil"/>
              <w:right w:val="nil"/>
            </w:tcBorders>
            <w:shd w:val="clear" w:color="auto" w:fill="FFFFFF"/>
            <w:noWrap/>
            <w:vAlign w:val="center"/>
          </w:tcPr>
          <w:p w14:paraId="6FAD2EB9">
            <w:pPr>
              <w:spacing w:line="240" w:lineRule="auto"/>
              <w:rPr>
                <w:rFonts w:hint="eastAsia" w:ascii="Times New Roman Bold" w:hAnsi="Times New Roman Bold" w:cs="Times New Roman Bold"/>
                <w:b/>
                <w:bCs/>
                <w:color w:val="000000"/>
                <w:lang w:val="en-US" w:eastAsia="zh-CN"/>
              </w:rPr>
            </w:pPr>
            <w:r>
              <w:rPr>
                <w:rFonts w:hint="eastAsia" w:ascii="Times New Roman Bold" w:hAnsi="Times New Roman Bold" w:cs="Times New Roman Bold"/>
                <w:b/>
                <w:bCs/>
                <w:color w:val="000000"/>
                <w:lang w:val="en-US" w:eastAsia="zh-CN"/>
              </w:rPr>
              <w:t>Model Code</w:t>
            </w:r>
          </w:p>
        </w:tc>
        <w:tc>
          <w:tcPr>
            <w:tcW w:w="11340" w:type="dxa"/>
            <w:gridSpan w:val="4"/>
            <w:tcBorders>
              <w:top w:val="single" w:color="000000" w:sz="4" w:space="0"/>
              <w:left w:val="nil"/>
              <w:bottom w:val="single" w:color="000000" w:sz="4" w:space="0"/>
              <w:right w:val="nil"/>
            </w:tcBorders>
            <w:shd w:val="clear" w:color="auto" w:fill="FFFFFF"/>
            <w:noWrap/>
            <w:vAlign w:val="center"/>
          </w:tcPr>
          <w:p w14:paraId="67EFF9F4">
            <w:pPr>
              <w:spacing w:line="240" w:lineRule="auto"/>
              <w:jc w:val="center"/>
              <w:rPr>
                <w:rFonts w:hint="eastAsia"/>
                <w:b w:val="0"/>
                <w:color w:val="000000"/>
                <w:lang w:val="en-US" w:eastAsia="zh-CN"/>
              </w:rPr>
            </w:pPr>
            <w:r>
              <w:rPr>
                <w:rFonts w:hint="eastAsia"/>
                <w:b/>
                <w:bCs/>
                <w:color w:val="000000"/>
                <w:lang w:val="en-US" w:eastAsia="zh-CN"/>
              </w:rPr>
              <w:t>Predictors</w:t>
            </w:r>
          </w:p>
        </w:tc>
      </w:tr>
      <w:tr w14:paraId="66875375">
        <w:trPr>
          <w:trHeight w:val="366" w:hRule="atLeast"/>
        </w:trPr>
        <w:tc>
          <w:tcPr>
            <w:tcW w:w="1259" w:type="dxa"/>
            <w:vMerge w:val="continue"/>
            <w:tcBorders>
              <w:top w:val="single" w:color="000000" w:sz="4" w:space="0"/>
              <w:left w:val="nil"/>
              <w:bottom w:val="single" w:color="000000" w:sz="4" w:space="0"/>
              <w:right w:val="nil"/>
            </w:tcBorders>
            <w:shd w:val="clear" w:color="auto" w:fill="FFFFFF"/>
            <w:noWrap/>
            <w:vAlign w:val="center"/>
          </w:tcPr>
          <w:p w14:paraId="24C9E8A0">
            <w:pPr>
              <w:spacing w:line="240" w:lineRule="auto"/>
              <w:rPr>
                <w:rFonts w:hint="eastAsia"/>
                <w:b w:val="0"/>
                <w:color w:val="000000"/>
                <w:lang w:val="en-US" w:eastAsia="zh-CN"/>
              </w:rPr>
            </w:pPr>
          </w:p>
        </w:tc>
        <w:tc>
          <w:tcPr>
            <w:tcW w:w="1216" w:type="dxa"/>
            <w:vMerge w:val="continue"/>
            <w:tcBorders>
              <w:top w:val="single" w:color="000000" w:sz="4" w:space="0"/>
              <w:left w:val="nil"/>
              <w:bottom w:val="single" w:color="000000" w:sz="4" w:space="0"/>
              <w:right w:val="nil"/>
            </w:tcBorders>
            <w:shd w:val="clear" w:color="auto" w:fill="FFFFFF"/>
            <w:noWrap/>
            <w:vAlign w:val="center"/>
          </w:tcPr>
          <w:p w14:paraId="377765D7">
            <w:pPr>
              <w:spacing w:line="240" w:lineRule="auto"/>
              <w:rPr>
                <w:rFonts w:hint="eastAsia"/>
                <w:b w:val="0"/>
                <w:color w:val="000000"/>
                <w:lang w:val="en-US" w:eastAsia="zh-CN"/>
              </w:rPr>
            </w:pPr>
          </w:p>
        </w:tc>
        <w:tc>
          <w:tcPr>
            <w:tcW w:w="2835" w:type="dxa"/>
            <w:tcBorders>
              <w:top w:val="single" w:color="000000" w:sz="4" w:space="0"/>
              <w:left w:val="nil"/>
              <w:bottom w:val="single" w:color="000000" w:sz="4" w:space="0"/>
              <w:right w:val="nil"/>
            </w:tcBorders>
            <w:shd w:val="clear" w:color="auto" w:fill="FFFFFF"/>
            <w:noWrap/>
            <w:vAlign w:val="center"/>
          </w:tcPr>
          <w:p w14:paraId="7AB960EF">
            <w:pPr>
              <w:spacing w:line="240" w:lineRule="auto"/>
              <w:rPr>
                <w:rFonts w:hint="default" w:ascii="Times New Roman Bold" w:hAnsi="Times New Roman Bold" w:cs="Times New Roman Bold"/>
                <w:b/>
                <w:bCs/>
                <w:color w:val="000000"/>
                <w:lang w:val="en-US" w:eastAsia="zh-CN"/>
              </w:rPr>
            </w:pPr>
            <w:r>
              <w:rPr>
                <w:rFonts w:hint="default" w:ascii="Times New Roman Bold" w:hAnsi="Times New Roman Bold" w:cs="Times New Roman Bold"/>
                <w:b/>
                <w:bCs/>
                <w:color w:val="000000"/>
                <w:lang w:val="en-US" w:eastAsia="zh-CN"/>
              </w:rPr>
              <w:t>Sociodemographic and lifestyle characteristics</w:t>
            </w:r>
          </w:p>
        </w:tc>
        <w:tc>
          <w:tcPr>
            <w:tcW w:w="2835" w:type="dxa"/>
            <w:tcBorders>
              <w:top w:val="single" w:color="000000" w:sz="4" w:space="0"/>
              <w:left w:val="nil"/>
              <w:bottom w:val="single" w:color="000000" w:sz="4" w:space="0"/>
              <w:right w:val="nil"/>
            </w:tcBorders>
            <w:shd w:val="clear" w:color="auto" w:fill="FFFFFF"/>
            <w:noWrap/>
            <w:vAlign w:val="center"/>
          </w:tcPr>
          <w:p w14:paraId="71B2A56A">
            <w:pPr>
              <w:spacing w:line="240" w:lineRule="auto"/>
              <w:rPr>
                <w:rFonts w:hint="default" w:ascii="Times New Roman Bold" w:hAnsi="Times New Roman Bold" w:cs="Times New Roman Bold"/>
                <w:b/>
                <w:bCs/>
                <w:color w:val="000000"/>
                <w:lang w:val="en-US" w:eastAsia="zh-CN"/>
              </w:rPr>
            </w:pPr>
            <w:r>
              <w:rPr>
                <w:rFonts w:hint="default" w:ascii="Times New Roman Bold" w:hAnsi="Times New Roman Bold" w:cs="Times New Roman Bold"/>
                <w:b/>
                <w:bCs/>
                <w:color w:val="000000"/>
                <w:lang w:val="en-US" w:eastAsia="zh-CN"/>
              </w:rPr>
              <w:t>Weight-related characteristics</w:t>
            </w:r>
          </w:p>
        </w:tc>
        <w:tc>
          <w:tcPr>
            <w:tcW w:w="2835" w:type="dxa"/>
            <w:tcBorders>
              <w:top w:val="single" w:color="000000" w:sz="4" w:space="0"/>
              <w:left w:val="nil"/>
              <w:bottom w:val="single" w:color="000000" w:sz="4" w:space="0"/>
              <w:right w:val="nil"/>
            </w:tcBorders>
            <w:shd w:val="clear" w:color="auto" w:fill="FFFFFF"/>
            <w:noWrap/>
            <w:vAlign w:val="center"/>
          </w:tcPr>
          <w:p w14:paraId="3E8171D3">
            <w:pPr>
              <w:spacing w:line="240" w:lineRule="auto"/>
              <w:rPr>
                <w:rFonts w:hint="default" w:ascii="Times New Roman Bold" w:hAnsi="Times New Roman Bold" w:cs="Times New Roman Bold"/>
                <w:b/>
                <w:bCs/>
                <w:color w:val="000000"/>
                <w:lang w:val="en-US" w:eastAsia="zh-CN"/>
              </w:rPr>
            </w:pPr>
            <w:r>
              <w:rPr>
                <w:rFonts w:hint="default" w:ascii="Times New Roman Bold" w:hAnsi="Times New Roman Bold" w:cs="Times New Roman Bold"/>
                <w:b/>
                <w:bCs/>
                <w:color w:val="000000"/>
                <w:lang w:val="en-US" w:eastAsia="zh-CN"/>
              </w:rPr>
              <w:t>Chronic disease prevalence characteristics</w:t>
            </w:r>
          </w:p>
        </w:tc>
        <w:tc>
          <w:tcPr>
            <w:tcW w:w="2835" w:type="dxa"/>
            <w:tcBorders>
              <w:top w:val="single" w:color="000000" w:sz="4" w:space="0"/>
              <w:left w:val="nil"/>
              <w:bottom w:val="single" w:color="000000" w:sz="4" w:space="0"/>
              <w:right w:val="nil"/>
            </w:tcBorders>
            <w:shd w:val="clear" w:color="auto" w:fill="FFFFFF"/>
            <w:noWrap/>
            <w:vAlign w:val="center"/>
          </w:tcPr>
          <w:p w14:paraId="1FB65B1E">
            <w:pPr>
              <w:spacing w:line="240" w:lineRule="auto"/>
              <w:rPr>
                <w:rFonts w:hint="default" w:ascii="Times New Roman Bold" w:hAnsi="Times New Roman Bold" w:cs="Times New Roman Bold"/>
                <w:b/>
                <w:bCs/>
                <w:color w:val="000000"/>
                <w:lang w:val="en-US" w:eastAsia="zh-CN"/>
              </w:rPr>
            </w:pPr>
            <w:r>
              <w:rPr>
                <w:rFonts w:hint="default" w:ascii="Times New Roman Bold" w:hAnsi="Times New Roman Bold" w:cs="Times New Roman Bold"/>
                <w:b/>
                <w:bCs/>
                <w:color w:val="000000"/>
                <w:lang w:val="en-US" w:eastAsia="zh-CN"/>
              </w:rPr>
              <w:t>Biochemical indicators</w:t>
            </w:r>
          </w:p>
        </w:tc>
      </w:tr>
      <w:tr w14:paraId="51C0FAAE">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733E7015">
            <w:pPr>
              <w:spacing w:line="240" w:lineRule="auto"/>
              <w:rPr>
                <w:rFonts w:hint="eastAsia"/>
                <w:b w:val="0"/>
                <w:color w:val="000000"/>
                <w:lang w:val="en-US" w:eastAsia="zh-CN"/>
              </w:rPr>
            </w:pPr>
            <w:r>
              <w:rPr>
                <w:rFonts w:hint="eastAsia"/>
                <w:b w:val="0"/>
                <w:color w:val="000000"/>
                <w:lang w:val="en-US" w:eastAsia="zh-CN"/>
              </w:rPr>
              <w:t>Tan C, et al., 2022</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&lt;EndNote&gt;&lt;Cite&gt;&lt;Author&gt;Tan&lt;/Author&gt;&lt;Year&gt;2022&lt;/Year&gt;&lt;RecNum&gt;545&lt;/RecNum&gt;&lt;DisplayText&gt;(28)&lt;/DisplayText&gt;&lt;record&gt;&lt;rec-number&gt;545&lt;/rec-number&gt;&lt;foreign-keys&gt;&lt;key app="EN" db-id="earspdaa1vazprerafqvx9tx5pvfaxf9awz0" timestamp="1775313034"&gt;545&lt;/key&gt;&lt;/foreign-keys&gt;&lt;ref-type name="期刊文献"&gt;17&lt;/ref-type&gt;&lt;contributors&gt;&lt;authors&gt;&lt;author&gt;Tan, C.&lt;/author&gt;&lt;author&gt;Li, B.&lt;/author&gt;&lt;author&gt;Xiao, L.&lt;/author&gt;&lt;author&gt;Zhang, Y.&lt;/author&gt;&lt;author&gt;Su, Y.&lt;/author&gt;&lt;author&gt;Ding, N.&lt;/author&gt;&lt;/authors&gt;&lt;/contributors&gt;&lt;auth-address&gt;The Second Affiliated Hospital, Department of Emergency Medicine, Hengyang Medical School, University of South China, Hengyang, Hunan, 421001, People&amp;apos;s Republic of China.&amp;#xD;The Second Affiliated Hospital, Department of Critical Care Medicine, Hengyang Medical School, University of South China, Hengyang, People&amp;apos;s Republic of China.&amp;#xD;Department of Emergency Medicine, The Affiliated Changsha Central Hospital, Hengyang Medical School, University of South China, Changsha, People&amp;apos;s Republic of China.&lt;/auth-address&gt;&lt;titles&gt;&lt;title&gt;A Prediction Model of the Incidence of Type 2 Diabetes in Individuals with Abdominal Obesity: Insights from the General Population&lt;/title&gt;&lt;secondary-title&gt;Diabetes Metab Syndr Obes&lt;/secondary-title&gt;&lt;/titles&gt;&lt;periodical&gt;&lt;full-title&gt;Diabetes Metab Syndr Obes&lt;/full-title&gt;&lt;/periodical&gt;&lt;pages&gt;3555-3564&lt;/pages&gt;&lt;volume&gt;15&lt;/volume&gt;&lt;edition&gt;20221115&lt;/edition&gt;&lt;keywords&gt;&lt;keyword&gt;T2dm&lt;/keyword&gt;&lt;keyword&gt;abdominal obesity&lt;/keyword&gt;&lt;keyword&gt;nomogram&lt;/keyword&gt;&lt;keyword&gt;prediction model&lt;/keyword&gt;&lt;keyword&gt;type 2 diabetes&lt;/keyword&gt;&lt;/keywords&gt;&lt;dates&gt;&lt;year&gt;2022&lt;/year&gt;&lt;/dates&gt;&lt;isbn&gt;1178-7007 (Print)&amp;#xD;1178-7007&lt;/isbn&gt;&lt;accession-num&gt;36411787&lt;/accession-num&gt;&lt;urls&gt;&lt;/urls&gt;&lt;custom1&gt;The authors report no conflicts of interest in this work.&lt;/custom1&gt;&lt;custom2&gt;PMC9675349&lt;/custom2&gt;&lt;electronic-resource-num&gt;10.2147/dmso.S386687&lt;/electronic-resource-num&gt;&lt;remote-database-provider&gt;NLM&lt;/remote-database-provider&gt;&lt;language&gt;eng&lt;/language&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(28)</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23BA59DF">
            <w:pPr>
              <w:spacing w:line="240" w:lineRule="auto"/>
              <w:rPr>
                <w:rFonts w:hint="eastAsia"/>
                <w:b w:val="0"/>
                <w:color w:val="000000"/>
                <w:lang w:val="en-US" w:eastAsia="zh-CN"/>
              </w:rPr>
            </w:pPr>
            <w:r>
              <w:rPr>
                <w:rFonts w:hint="eastAsia"/>
                <w:b w:val="0"/>
                <w:color w:val="000000"/>
                <w:lang w:val="en-US" w:eastAsia="zh-CN"/>
              </w:rPr>
              <w:t>1</w:t>
            </w:r>
          </w:p>
        </w:tc>
        <w:tc>
          <w:tcPr>
            <w:tcW w:w="2835" w:type="dxa"/>
            <w:tcBorders>
              <w:top w:val="single" w:color="000000" w:sz="4" w:space="0"/>
              <w:left w:val="nil"/>
              <w:bottom w:val="single" w:color="000000" w:sz="4" w:space="0"/>
              <w:right w:val="nil"/>
            </w:tcBorders>
            <w:shd w:val="clear" w:color="auto" w:fill="FFFFFF"/>
            <w:noWrap/>
            <w:vAlign w:val="center"/>
          </w:tcPr>
          <w:p w14:paraId="1F6F581B">
            <w:pPr>
              <w:spacing w:line="240" w:lineRule="auto"/>
              <w:rPr>
                <w:rFonts w:hint="eastAsia"/>
                <w:b w:val="0"/>
                <w:color w:val="000000"/>
                <w:lang w:val="en-US" w:eastAsia="zh-CN"/>
              </w:rPr>
            </w:pPr>
            <w:r>
              <w:rPr>
                <w:rFonts w:hint="eastAsia"/>
                <w:b w:val="0"/>
                <w:color w:val="000000"/>
                <w:lang w:val="en-US" w:eastAsia="zh-CN"/>
              </w:rPr>
              <w:t>Smoking status</w:t>
            </w:r>
          </w:p>
        </w:tc>
        <w:tc>
          <w:tcPr>
            <w:tcW w:w="2835" w:type="dxa"/>
            <w:tcBorders>
              <w:top w:val="single" w:color="000000" w:sz="4" w:space="0"/>
              <w:left w:val="nil"/>
              <w:bottom w:val="single" w:color="000000" w:sz="4" w:space="0"/>
              <w:right w:val="nil"/>
            </w:tcBorders>
            <w:shd w:val="clear" w:color="auto" w:fill="FFFFFF"/>
            <w:noWrap/>
            <w:vAlign w:val="center"/>
          </w:tcPr>
          <w:p w14:paraId="0FB3BA7F">
            <w:pPr>
              <w:spacing w:line="240" w:lineRule="auto"/>
              <w:rPr>
                <w:rFonts w:hint="eastAsia"/>
                <w:b w:val="0"/>
                <w:color w:val="000000"/>
                <w:lang w:val="en-US" w:eastAsia="zh-CN"/>
              </w:rPr>
            </w:pPr>
            <w:r>
              <w:rPr>
                <w:rFonts w:hint="eastAsia"/>
                <w:b w:val="0"/>
                <w:color w:val="000000"/>
                <w:lang w:val="en-US" w:eastAsia="zh-CN"/>
              </w:rPr>
              <w:t>Waist circumference (WC)</w:t>
            </w:r>
          </w:p>
        </w:tc>
        <w:tc>
          <w:tcPr>
            <w:tcW w:w="2835" w:type="dxa"/>
            <w:tcBorders>
              <w:top w:val="single" w:color="000000" w:sz="4" w:space="0"/>
              <w:left w:val="nil"/>
              <w:bottom w:val="single" w:color="000000" w:sz="4" w:space="0"/>
              <w:right w:val="nil"/>
            </w:tcBorders>
            <w:shd w:val="clear" w:color="auto" w:fill="FFFFFF"/>
            <w:noWrap/>
            <w:vAlign w:val="center"/>
          </w:tcPr>
          <w:p w14:paraId="70F9D5CE">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684F3F20">
            <w:pPr>
              <w:spacing w:line="240" w:lineRule="auto"/>
              <w:rPr>
                <w:rFonts w:hint="eastAsia"/>
                <w:b w:val="0"/>
                <w:color w:val="000000"/>
                <w:lang w:val="en-US" w:eastAsia="zh-CN"/>
              </w:rPr>
            </w:pPr>
            <w:r>
              <w:rPr>
                <w:rFonts w:hint="eastAsia"/>
                <w:b w:val="0"/>
                <w:color w:val="000000"/>
                <w:lang w:val="en-US" w:eastAsia="zh-CN"/>
              </w:rPr>
              <w:t>Glycated hemoglobin (HbA1c), fasting plasma glucose (FPG), high-density lipoprotein (HDL), triglycerides (TG)</w:t>
            </w:r>
          </w:p>
        </w:tc>
      </w:tr>
      <w:tr w14:paraId="69683048">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5E83E028">
            <w:pPr>
              <w:spacing w:line="240" w:lineRule="auto"/>
              <w:rPr>
                <w:rFonts w:hint="eastAsia"/>
                <w:b w:val="0"/>
                <w:color w:val="000000"/>
                <w:lang w:val="en-US" w:eastAsia="zh-CN"/>
              </w:rPr>
            </w:pPr>
            <w:r>
              <w:rPr>
                <w:rFonts w:hint="eastAsia"/>
                <w:b w:val="0"/>
                <w:color w:val="000000"/>
                <w:lang w:val="en-US" w:eastAsia="zh-CN"/>
              </w:rPr>
              <w:t>Yang J,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(29)</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148CC97">
            <w:pPr>
              <w:spacing w:line="240" w:lineRule="auto"/>
              <w:rPr>
                <w:rFonts w:hint="eastAsia"/>
                <w:b w:val="0"/>
                <w:color w:val="000000"/>
                <w:lang w:val="en-US" w:eastAsia="zh-CN"/>
              </w:rPr>
            </w:pPr>
            <w:r>
              <w:rPr>
                <w:rFonts w:hint="eastAsia"/>
                <w:b w:val="0"/>
                <w:color w:val="000000"/>
                <w:lang w:val="en-US" w:eastAsia="zh-CN"/>
              </w:rPr>
              <w:t>2A-2H</w:t>
            </w:r>
          </w:p>
        </w:tc>
        <w:tc>
          <w:tcPr>
            <w:tcW w:w="2835" w:type="dxa"/>
            <w:tcBorders>
              <w:top w:val="single" w:color="000000" w:sz="4" w:space="0"/>
              <w:left w:val="nil"/>
              <w:bottom w:val="single" w:color="000000" w:sz="4" w:space="0"/>
              <w:right w:val="nil"/>
            </w:tcBorders>
            <w:shd w:val="clear" w:color="auto" w:fill="FFFFFF"/>
            <w:noWrap/>
            <w:vAlign w:val="center"/>
          </w:tcPr>
          <w:p w14:paraId="3327979B">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1BBF29D6">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3FA15D9F">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1287D9F8">
            <w:pPr>
              <w:spacing w:line="240" w:lineRule="auto"/>
              <w:rPr>
                <w:rFonts w:hint="eastAsia"/>
                <w:b w:val="0"/>
                <w:color w:val="000000"/>
                <w:lang w:val="en-US" w:eastAsia="zh-CN"/>
              </w:rPr>
            </w:pPr>
            <w:r>
              <w:rPr>
                <w:rFonts w:hint="eastAsia"/>
                <w:b w:val="0"/>
                <w:color w:val="000000"/>
                <w:lang w:val="en-US" w:eastAsia="zh-CN"/>
              </w:rPr>
              <w:t>Creatinine, prealbumin, glucose at 180 minutes (Glucose 180 min), glycated hemoglobin (HbA1c), thyroid-stimulating hormone (TSH), total thyroxine (total T4), free thyroxine (free T4)</w:t>
            </w:r>
          </w:p>
        </w:tc>
      </w:tr>
      <w:tr w14:paraId="4BF52645">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5524617">
            <w:pPr>
              <w:spacing w:line="240" w:lineRule="auto"/>
              <w:rPr>
                <w:rFonts w:hint="eastAsia"/>
                <w:b w:val="0"/>
                <w:color w:val="000000"/>
                <w:lang w:val="en-US" w:eastAsia="zh-CN"/>
              </w:rPr>
            </w:pPr>
            <w:r>
              <w:rPr>
                <w:rFonts w:hint="eastAsia"/>
                <w:b w:val="0"/>
                <w:color w:val="000000"/>
                <w:lang w:val="en-US" w:eastAsia="zh-CN"/>
              </w:rPr>
              <w:t>Garcia C, et al., 2020</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(30)</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67139DB0">
            <w:pPr>
              <w:spacing w:line="240" w:lineRule="auto"/>
              <w:rPr>
                <w:rFonts w:hint="eastAsia"/>
                <w:b w:val="0"/>
                <w:color w:val="000000"/>
                <w:lang w:val="en-US" w:eastAsia="zh-CN"/>
              </w:rPr>
            </w:pPr>
            <w:r>
              <w:rPr>
                <w:rFonts w:hint="eastAsia"/>
                <w:b w:val="0"/>
                <w:color w:val="000000"/>
                <w:lang w:val="en-US" w:eastAsia="zh-CN"/>
              </w:rPr>
              <w:t>3A,3B,3C</w:t>
            </w:r>
          </w:p>
        </w:tc>
        <w:tc>
          <w:tcPr>
            <w:tcW w:w="2835" w:type="dxa"/>
            <w:tcBorders>
              <w:top w:val="single" w:color="000000" w:sz="4" w:space="0"/>
              <w:left w:val="nil"/>
              <w:bottom w:val="single" w:color="000000" w:sz="4" w:space="0"/>
              <w:right w:val="nil"/>
            </w:tcBorders>
            <w:shd w:val="clear" w:color="auto" w:fill="FFFFFF"/>
            <w:noWrap/>
            <w:vAlign w:val="center"/>
          </w:tcPr>
          <w:p w14:paraId="18337D95">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6C5A5271">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0FB0512C">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2A1B8405">
            <w:pPr>
              <w:spacing w:line="240" w:lineRule="auto"/>
              <w:rPr>
                <w:rFonts w:hint="eastAsia"/>
                <w:b w:val="0"/>
                <w:color w:val="000000"/>
                <w:lang w:val="en-US" w:eastAsia="zh-CN"/>
              </w:rPr>
            </w:pPr>
            <w:r>
              <w:rPr>
                <w:rFonts w:hint="eastAsia"/>
                <w:b w:val="0"/>
                <w:color w:val="000000"/>
                <w:lang w:val="en-US" w:eastAsia="zh-CN"/>
              </w:rPr>
              <w:t>Systolic blood pressure (SBP), diastolic blood pressure (DBP), high-density lipoprotein (HDL), low-density lipoprotein (LDL), triglycerides (TG), homeostatic model assessment for insulin resistance (HOMA-IR), insulin, urinary albumin-to-creatinine ratio (UACR), C-reactive protein (CRP), aspartate transaminase (AST), alanine transaminase (ALT), gamma-glutamyl transferase (GGT), vitamin D (VitD), ferritin, creatinine, cystatin C</w:t>
            </w:r>
          </w:p>
        </w:tc>
      </w:tr>
      <w:tr w14:paraId="0F7092D3">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746A40A5">
            <w:pPr>
              <w:spacing w:line="240" w:lineRule="auto"/>
              <w:rPr>
                <w:rFonts w:hint="eastAsia"/>
                <w:b w:val="0"/>
                <w:color w:val="000000"/>
                <w:lang w:val="en-US" w:eastAsia="zh-CN"/>
              </w:rPr>
            </w:pPr>
            <w:r>
              <w:rPr>
                <w:rFonts w:hint="eastAsia"/>
                <w:b w:val="0"/>
                <w:color w:val="000000"/>
                <w:lang w:val="en-US" w:eastAsia="zh-CN"/>
              </w:rPr>
              <w:t>Liu Q, et al., 2020</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&lt;EndNote&gt;&lt;Cite&gt;&lt;Author&gt;Liu&lt;/Author&gt;&lt;Year&gt;2020&lt;/Year&gt;&lt;RecNum&gt;558&lt;/RecNum&gt;&lt;DisplayText&gt;(31)&lt;/DisplayText&gt;&lt;record&gt;&lt;rec-number&gt;558&lt;/rec-number&gt;&lt;foreign-keys&gt;&lt;key app="EN" db-id="earspdaa1vazprerafqvx9tx5pvfaxf9awz0" timestamp="1775314802"&gt;558&lt;/key&gt;&lt;/foreign-keys&gt;&lt;ref-type name="期刊文献"&gt;17&lt;/ref-type&gt;&lt;contributors&gt;&lt;authors&gt;&lt;author&gt;Liu, Q.&lt;/author&gt;&lt;author&gt;Yuan, J.&lt;/author&gt;&lt;author&gt;Bakeyi, M.&lt;/author&gt;&lt;author&gt;Li, J.&lt;/author&gt;&lt;author&gt;Zhang, Z.&lt;/author&gt;&lt;author&gt;Yang, X.&lt;/author&gt;&lt;author&gt;Gao, F.&lt;/author&gt;&lt;/authors&gt;&lt;/contributors&gt;&lt;auth-address&gt;Department of Cardiology of People&amp;apos;s Hospital of Xinjiang Uygur Autonomous Region, Urumqi, Xinjiang, China.&amp;#xD;The First Affiliated Hospital of Xinjiang Medical University, Urumqi, Xinjiang Uygur Autonomous Region, China.&amp;#xD;Department of Respiratory and Intensive Care Medicine of People&amp;apos;s Hospital of Xinjiang Uygur Autonomous Region, Urumqi, Xinjiang, China.&lt;/auth-address&gt;&lt;titles&gt;&lt;title&gt;Development and Validation of a Nomogram to Predict Type 2 Diabetes Mellitus in Overweight and Obese Adults: A Prospective Cohort Study from 82938 Adults in China&lt;/title&gt;&lt;secondary-title&gt;Int J Endocrinol&lt;/secondary-title&gt;&lt;/titles&gt;&lt;periodical&gt;&lt;full-title&gt;Int J Endocrinol&lt;/full-title&gt;&lt;/periodical&gt;&lt;pages&gt;8899556&lt;/pages&gt;&lt;volume&gt;2020&lt;/volume&gt;&lt;edition&gt;20201207&lt;/edition&gt;&lt;dates&gt;&lt;year&gt;2020&lt;/year&gt;&lt;/dates&gt;&lt;isbn&gt;1687-8337 (Print)&amp;#xD;1687-8337&lt;/isbn&gt;&lt;accession-num&gt;33488707&lt;/accession-num&gt;&lt;urls&gt;&lt;/urls&gt;&lt;custom1&gt;The authors declare that they have no conflicts of interest.&lt;/custom1&gt;&lt;custom2&gt;PMC7775153&lt;/custom2&gt;&lt;electronic-resource-num&gt;10.1155/2020/8899556&lt;/electronic-resource-num&gt;&lt;remote-database-provider&gt;NLM&lt;/remote-database-provider&gt;&lt;language&gt;eng&lt;/language&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(31)</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6E304B5">
            <w:pPr>
              <w:spacing w:line="240" w:lineRule="auto"/>
              <w:rPr>
                <w:rFonts w:hint="eastAsia"/>
                <w:b w:val="0"/>
                <w:color w:val="000000"/>
                <w:lang w:val="en-US" w:eastAsia="zh-CN"/>
              </w:rPr>
            </w:pPr>
            <w:r>
              <w:rPr>
                <w:rFonts w:hint="eastAsia"/>
                <w:b w:val="0"/>
                <w:color w:val="000000"/>
                <w:lang w:val="en-US" w:eastAsia="zh-CN"/>
              </w:rPr>
              <w:t>4A,4B</w:t>
            </w:r>
          </w:p>
        </w:tc>
        <w:tc>
          <w:tcPr>
            <w:tcW w:w="2835" w:type="dxa"/>
            <w:tcBorders>
              <w:top w:val="single" w:color="000000" w:sz="4" w:space="0"/>
              <w:left w:val="nil"/>
              <w:bottom w:val="single" w:color="000000" w:sz="4" w:space="0"/>
              <w:right w:val="nil"/>
            </w:tcBorders>
            <w:shd w:val="clear" w:color="auto" w:fill="FFFFFF"/>
            <w:noWrap/>
            <w:vAlign w:val="center"/>
          </w:tcPr>
          <w:p w14:paraId="0D4C8F4F">
            <w:pPr>
              <w:spacing w:line="240" w:lineRule="auto"/>
              <w:rPr>
                <w:rFonts w:hint="eastAsia"/>
                <w:b w:val="0"/>
                <w:color w:val="000000"/>
                <w:lang w:val="en-US" w:eastAsia="zh-CN"/>
              </w:rPr>
            </w:pPr>
            <w:r>
              <w:rPr>
                <w:rFonts w:hint="eastAsia"/>
                <w:b w:val="0"/>
                <w:color w:val="000000"/>
                <w:lang w:val="en-US" w:eastAsia="zh-CN"/>
              </w:rPr>
              <w:t>Age, family history of type 2 diabetes</w:t>
            </w:r>
          </w:p>
        </w:tc>
        <w:tc>
          <w:tcPr>
            <w:tcW w:w="2835" w:type="dxa"/>
            <w:tcBorders>
              <w:top w:val="single" w:color="000000" w:sz="4" w:space="0"/>
              <w:left w:val="nil"/>
              <w:bottom w:val="single" w:color="000000" w:sz="4" w:space="0"/>
              <w:right w:val="nil"/>
            </w:tcBorders>
            <w:shd w:val="clear" w:color="auto" w:fill="FFFFFF"/>
            <w:noWrap/>
            <w:vAlign w:val="center"/>
          </w:tcPr>
          <w:p w14:paraId="297DE629">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34088DB2">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040ADD10">
            <w:pPr>
              <w:spacing w:line="240" w:lineRule="auto"/>
              <w:rPr>
                <w:rFonts w:hint="eastAsia"/>
                <w:b w:val="0"/>
                <w:color w:val="000000"/>
                <w:lang w:val="en-US" w:eastAsia="zh-CN"/>
              </w:rPr>
            </w:pPr>
            <w:r>
              <w:rPr>
                <w:rFonts w:hint="eastAsia"/>
                <w:b w:val="0"/>
                <w:color w:val="000000"/>
                <w:lang w:val="en-US" w:eastAsia="zh-CN"/>
              </w:rPr>
              <w:t>Fasting blood glucose (FBG), total cholesterol (TC), triglycerides (TG)</w:t>
            </w:r>
          </w:p>
        </w:tc>
      </w:tr>
      <w:tr w14:paraId="27C93E49">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2196F1C0">
            <w:pPr>
              <w:spacing w:line="240" w:lineRule="auto"/>
              <w:rPr>
                <w:rFonts w:hint="eastAsia"/>
                <w:b w:val="0"/>
                <w:color w:val="000000"/>
                <w:lang w:val="en-US" w:eastAsia="zh-CN"/>
              </w:rPr>
            </w:pPr>
            <w:r>
              <w:rPr>
                <w:rFonts w:hint="eastAsia"/>
                <w:b w:val="0"/>
                <w:color w:val="000000"/>
                <w:lang w:val="en-US" w:eastAsia="zh-CN"/>
              </w:rPr>
              <w:t>Park J,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(32)</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735D09B8">
            <w:pPr>
              <w:spacing w:line="240" w:lineRule="auto"/>
              <w:rPr>
                <w:rFonts w:hint="eastAsia"/>
                <w:b w:val="0"/>
                <w:color w:val="000000"/>
                <w:lang w:val="en-US" w:eastAsia="zh-CN"/>
              </w:rPr>
            </w:pPr>
            <w:r>
              <w:rPr>
                <w:rFonts w:hint="eastAsia"/>
                <w:b w:val="0"/>
                <w:color w:val="000000"/>
                <w:lang w:val="en-US" w:eastAsia="zh-CN"/>
              </w:rPr>
              <w:t>5A,5B,5C</w:t>
            </w:r>
          </w:p>
        </w:tc>
        <w:tc>
          <w:tcPr>
            <w:tcW w:w="2835" w:type="dxa"/>
            <w:tcBorders>
              <w:top w:val="single" w:color="000000" w:sz="4" w:space="0"/>
              <w:left w:val="nil"/>
              <w:bottom w:val="single" w:color="000000" w:sz="4" w:space="0"/>
              <w:right w:val="nil"/>
            </w:tcBorders>
            <w:shd w:val="clear" w:color="auto" w:fill="FFFFFF"/>
            <w:noWrap/>
            <w:vAlign w:val="center"/>
          </w:tcPr>
          <w:p w14:paraId="5454B279">
            <w:pPr>
              <w:spacing w:line="240" w:lineRule="auto"/>
              <w:rPr>
                <w:rFonts w:hint="eastAsia"/>
                <w:b w:val="0"/>
                <w:color w:val="000000"/>
                <w:lang w:val="en-US" w:eastAsia="zh-CN"/>
              </w:rPr>
            </w:pPr>
            <w:r>
              <w:rPr>
                <w:rFonts w:hint="eastAsia"/>
                <w:b w:val="0"/>
                <w:color w:val="000000"/>
                <w:lang w:val="en-US" w:eastAsia="zh-CN"/>
              </w:rPr>
              <w:t>Age, sex</w:t>
            </w:r>
          </w:p>
        </w:tc>
        <w:tc>
          <w:tcPr>
            <w:tcW w:w="2835" w:type="dxa"/>
            <w:tcBorders>
              <w:top w:val="single" w:color="000000" w:sz="4" w:space="0"/>
              <w:left w:val="nil"/>
              <w:bottom w:val="single" w:color="000000" w:sz="4" w:space="0"/>
              <w:right w:val="nil"/>
            </w:tcBorders>
            <w:shd w:val="clear" w:color="auto" w:fill="FFFFFF"/>
            <w:noWrap/>
            <w:vAlign w:val="center"/>
          </w:tcPr>
          <w:p w14:paraId="25550B40">
            <w:pPr>
              <w:spacing w:line="240" w:lineRule="auto"/>
              <w:rPr>
                <w:rFonts w:hint="eastAsia"/>
                <w:b w:val="0"/>
                <w:color w:val="000000"/>
                <w:lang w:val="en-US" w:eastAsia="zh-CN"/>
              </w:rPr>
            </w:pPr>
            <w:r>
              <w:rPr>
                <w:rFonts w:hint="eastAsia"/>
                <w:b w:val="0"/>
                <w:color w:val="000000"/>
                <w:lang w:val="en-US" w:eastAsia="zh-CN"/>
              </w:rPr>
              <w:t>BMI, fat mass/muscle mass, visceral fat area/muscle mass</w:t>
            </w:r>
          </w:p>
        </w:tc>
        <w:tc>
          <w:tcPr>
            <w:tcW w:w="2835" w:type="dxa"/>
            <w:tcBorders>
              <w:top w:val="single" w:color="000000" w:sz="4" w:space="0"/>
              <w:left w:val="nil"/>
              <w:bottom w:val="single" w:color="000000" w:sz="4" w:space="0"/>
              <w:right w:val="nil"/>
            </w:tcBorders>
            <w:shd w:val="clear" w:color="auto" w:fill="FFFFFF"/>
            <w:noWrap/>
            <w:vAlign w:val="center"/>
          </w:tcPr>
          <w:p w14:paraId="0A77D74A">
            <w:pPr>
              <w:spacing w:line="240" w:lineRule="auto"/>
              <w:rPr>
                <w:rFonts w:hint="eastAsia"/>
                <w:b w:val="0"/>
                <w:color w:val="000000"/>
                <w:lang w:val="en-US" w:eastAsia="zh-CN"/>
              </w:rPr>
            </w:pPr>
            <w:r>
              <w:rPr>
                <w:rFonts w:hint="eastAsia"/>
                <w:b w:val="0"/>
                <w:color w:val="000000"/>
                <w:lang w:val="en-US" w:eastAsia="zh-CN"/>
              </w:rPr>
              <w:t>History of diabetes, history of dyslipidemia</w:t>
            </w:r>
          </w:p>
        </w:tc>
        <w:tc>
          <w:tcPr>
            <w:tcW w:w="2835" w:type="dxa"/>
            <w:tcBorders>
              <w:top w:val="single" w:color="000000" w:sz="4" w:space="0"/>
              <w:left w:val="nil"/>
              <w:bottom w:val="single" w:color="000000" w:sz="4" w:space="0"/>
              <w:right w:val="nil"/>
            </w:tcBorders>
            <w:shd w:val="clear" w:color="auto" w:fill="FFFFFF"/>
            <w:noWrap/>
            <w:vAlign w:val="center"/>
          </w:tcPr>
          <w:p w14:paraId="6693DFEF">
            <w:pPr>
              <w:spacing w:line="240" w:lineRule="auto"/>
              <w:rPr>
                <w:rFonts w:hint="eastAsia"/>
                <w:b w:val="0"/>
                <w:color w:val="000000"/>
                <w:lang w:val="en-US" w:eastAsia="zh-CN"/>
              </w:rPr>
            </w:pPr>
            <w:r>
              <w:rPr>
                <w:rFonts w:hint="eastAsia"/>
                <w:b w:val="0"/>
                <w:color w:val="000000"/>
                <w:lang w:val="en-US" w:eastAsia="zh-CN"/>
              </w:rPr>
              <w:t>None</w:t>
            </w:r>
          </w:p>
        </w:tc>
      </w:tr>
      <w:tr w14:paraId="215A8EBA">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1EFE9519">
            <w:pPr>
              <w:spacing w:line="240" w:lineRule="auto"/>
              <w:rPr>
                <w:rFonts w:hint="eastAsia"/>
                <w:b w:val="0"/>
                <w:color w:val="000000"/>
                <w:lang w:val="en-US" w:eastAsia="zh-CN"/>
              </w:rPr>
            </w:pPr>
            <w:r>
              <w:rPr>
                <w:rFonts w:hint="eastAsia"/>
                <w:b w:val="0"/>
                <w:color w:val="000000"/>
                <w:lang w:val="en-US" w:eastAsia="zh-CN"/>
              </w:rPr>
              <w:t>Zhu X,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PEVuZE5vdGU+PENpdGU+PEF1dGhvcj5aaHU8L0F1dGhvcj48WWVhcj4yMDI1PC9ZZWFyPjxSZWNO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(33)</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3B70C4F9">
            <w:pPr>
              <w:spacing w:line="240" w:lineRule="auto"/>
              <w:rPr>
                <w:rFonts w:hint="eastAsia"/>
                <w:b w:val="0"/>
                <w:color w:val="000000"/>
                <w:lang w:val="en-US" w:eastAsia="zh-CN"/>
              </w:rPr>
            </w:pPr>
            <w:r>
              <w:rPr>
                <w:rFonts w:hint="eastAsia"/>
                <w:b w:val="0"/>
                <w:color w:val="000000"/>
                <w:lang w:val="en-US" w:eastAsia="zh-CN"/>
              </w:rPr>
              <w:t>6</w:t>
            </w:r>
          </w:p>
        </w:tc>
        <w:tc>
          <w:tcPr>
            <w:tcW w:w="2835" w:type="dxa"/>
            <w:tcBorders>
              <w:top w:val="single" w:color="000000" w:sz="4" w:space="0"/>
              <w:left w:val="nil"/>
              <w:bottom w:val="single" w:color="000000" w:sz="4" w:space="0"/>
              <w:right w:val="nil"/>
            </w:tcBorders>
            <w:shd w:val="clear" w:color="auto" w:fill="FFFFFF"/>
            <w:noWrap/>
            <w:vAlign w:val="center"/>
          </w:tcPr>
          <w:p w14:paraId="045FDDAD">
            <w:pPr>
              <w:spacing w:line="240" w:lineRule="auto"/>
              <w:rPr>
                <w:rFonts w:hint="eastAsia"/>
                <w:b w:val="0"/>
                <w:color w:val="000000"/>
                <w:lang w:val="en-US" w:eastAsia="zh-CN"/>
              </w:rPr>
            </w:pPr>
            <w:r>
              <w:rPr>
                <w:rFonts w:hint="eastAsia"/>
                <w:b w:val="0"/>
                <w:color w:val="000000"/>
                <w:lang w:val="en-US" w:eastAsia="zh-CN"/>
              </w:rPr>
              <w:t>Age</w:t>
            </w:r>
          </w:p>
        </w:tc>
        <w:tc>
          <w:tcPr>
            <w:tcW w:w="2835" w:type="dxa"/>
            <w:tcBorders>
              <w:top w:val="single" w:color="000000" w:sz="4" w:space="0"/>
              <w:left w:val="nil"/>
              <w:bottom w:val="single" w:color="000000" w:sz="4" w:space="0"/>
              <w:right w:val="nil"/>
            </w:tcBorders>
            <w:shd w:val="clear" w:color="auto" w:fill="FFFFFF"/>
            <w:noWrap/>
            <w:vAlign w:val="center"/>
          </w:tcPr>
          <w:p w14:paraId="2F80BAE8">
            <w:pPr>
              <w:spacing w:line="240" w:lineRule="auto"/>
              <w:rPr>
                <w:rFonts w:hint="eastAsia"/>
                <w:b w:val="0"/>
                <w:color w:val="000000"/>
                <w:lang w:val="en-US" w:eastAsia="zh-CN"/>
              </w:rPr>
            </w:pPr>
            <w:r>
              <w:rPr>
                <w:rFonts w:hint="eastAsia"/>
                <w:b w:val="0"/>
                <w:color w:val="000000"/>
                <w:lang w:val="en-US" w:eastAsia="zh-CN"/>
              </w:rPr>
              <w:t>Chest circumference (CC)</w:t>
            </w:r>
          </w:p>
        </w:tc>
        <w:tc>
          <w:tcPr>
            <w:tcW w:w="2835" w:type="dxa"/>
            <w:tcBorders>
              <w:top w:val="single" w:color="000000" w:sz="4" w:space="0"/>
              <w:left w:val="nil"/>
              <w:bottom w:val="single" w:color="000000" w:sz="4" w:space="0"/>
              <w:right w:val="nil"/>
            </w:tcBorders>
            <w:shd w:val="clear" w:color="auto" w:fill="FFFFFF"/>
            <w:noWrap/>
            <w:vAlign w:val="center"/>
          </w:tcPr>
          <w:p w14:paraId="41D86C63">
            <w:pPr>
              <w:spacing w:line="240" w:lineRule="auto"/>
              <w:rPr>
                <w:rFonts w:hint="eastAsia"/>
                <w:b w:val="0"/>
                <w:color w:val="000000"/>
                <w:lang w:val="en-US" w:eastAsia="zh-CN"/>
              </w:rPr>
            </w:pPr>
            <w:r>
              <w:rPr>
                <w:rFonts w:hint="eastAsia"/>
                <w:b w:val="0"/>
                <w:color w:val="000000"/>
                <w:lang w:val="en-US" w:eastAsia="zh-CN"/>
              </w:rPr>
              <w:t>Non-alcoholic fatty liver disease (NAFLD) (yes/no)</w:t>
            </w:r>
          </w:p>
        </w:tc>
        <w:tc>
          <w:tcPr>
            <w:tcW w:w="2835" w:type="dxa"/>
            <w:tcBorders>
              <w:top w:val="single" w:color="000000" w:sz="4" w:space="0"/>
              <w:left w:val="nil"/>
              <w:bottom w:val="single" w:color="000000" w:sz="4" w:space="0"/>
              <w:right w:val="nil"/>
            </w:tcBorders>
            <w:shd w:val="clear" w:color="auto" w:fill="FFFFFF"/>
            <w:noWrap/>
            <w:vAlign w:val="center"/>
          </w:tcPr>
          <w:p w14:paraId="60459A03">
            <w:pPr>
              <w:spacing w:line="240" w:lineRule="auto"/>
              <w:rPr>
                <w:rFonts w:hint="eastAsia"/>
                <w:b w:val="0"/>
                <w:color w:val="000000"/>
                <w:lang w:val="en-US" w:eastAsia="zh-CN"/>
              </w:rPr>
            </w:pPr>
            <w:r>
              <w:rPr>
                <w:rFonts w:hint="eastAsia"/>
                <w:b w:val="0"/>
                <w:color w:val="000000"/>
                <w:lang w:val="en-US" w:eastAsia="zh-CN"/>
              </w:rPr>
              <w:t>Mean blood oxygen saturation (SpO₂, %)</w:t>
            </w:r>
          </w:p>
        </w:tc>
      </w:tr>
      <w:tr w14:paraId="359A76CF">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3CF8753A">
            <w:pPr>
              <w:spacing w:line="240" w:lineRule="auto"/>
              <w:rPr>
                <w:rFonts w:hint="eastAsia"/>
                <w:b w:val="0"/>
                <w:color w:val="000000"/>
                <w:lang w:val="en-US" w:eastAsia="zh-CN"/>
              </w:rPr>
            </w:pPr>
            <w:r>
              <w:rPr>
                <w:rFonts w:hint="eastAsia"/>
                <w:b w:val="0"/>
                <w:color w:val="000000"/>
                <w:lang w:val="en-US" w:eastAsia="zh-CN"/>
              </w:rPr>
              <w:t>Zhou Y,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PEVuZE5vdGU+PENpdGU+PEF1dGhvcj5aaG91PC9BdXRob3I+PFllYXI+MjAyNTwvWWVhcj48UmVj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(34)</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40DF4019">
            <w:pPr>
              <w:spacing w:line="240" w:lineRule="auto"/>
              <w:rPr>
                <w:rFonts w:hint="eastAsia"/>
                <w:b w:val="0"/>
                <w:color w:val="000000"/>
                <w:lang w:val="en-US" w:eastAsia="zh-CN"/>
              </w:rPr>
            </w:pPr>
            <w:r>
              <w:rPr>
                <w:rFonts w:hint="eastAsia"/>
                <w:b w:val="0"/>
                <w:color w:val="000000"/>
                <w:lang w:val="en-US" w:eastAsia="zh-CN"/>
              </w:rPr>
              <w:t>7A,7B</w:t>
            </w:r>
          </w:p>
        </w:tc>
        <w:tc>
          <w:tcPr>
            <w:tcW w:w="2835" w:type="dxa"/>
            <w:tcBorders>
              <w:top w:val="single" w:color="000000" w:sz="4" w:space="0"/>
              <w:left w:val="nil"/>
              <w:bottom w:val="single" w:color="000000" w:sz="4" w:space="0"/>
              <w:right w:val="nil"/>
            </w:tcBorders>
            <w:shd w:val="clear" w:color="auto" w:fill="FFFFFF"/>
            <w:noWrap/>
            <w:vAlign w:val="center"/>
          </w:tcPr>
          <w:p w14:paraId="57B2673E">
            <w:pPr>
              <w:spacing w:line="240" w:lineRule="auto"/>
              <w:rPr>
                <w:rFonts w:hint="eastAsia"/>
                <w:b w:val="0"/>
                <w:color w:val="000000"/>
                <w:lang w:val="en-US" w:eastAsia="zh-CN"/>
              </w:rPr>
            </w:pPr>
            <w:r>
              <w:rPr>
                <w:rFonts w:hint="eastAsia"/>
                <w:b w:val="0"/>
                <w:color w:val="000000"/>
                <w:lang w:val="en-US" w:eastAsia="zh-CN"/>
              </w:rPr>
              <w:t>Age (log-transformed), race (Black vs non-Black), current smoking, family history of ASCVD</w:t>
            </w:r>
          </w:p>
        </w:tc>
        <w:tc>
          <w:tcPr>
            <w:tcW w:w="2835" w:type="dxa"/>
            <w:tcBorders>
              <w:top w:val="single" w:color="000000" w:sz="4" w:space="0"/>
              <w:left w:val="nil"/>
              <w:bottom w:val="single" w:color="000000" w:sz="4" w:space="0"/>
              <w:right w:val="nil"/>
            </w:tcBorders>
            <w:shd w:val="clear" w:color="auto" w:fill="FFFFFF"/>
            <w:noWrap/>
            <w:vAlign w:val="center"/>
          </w:tcPr>
          <w:p w14:paraId="3E11F571">
            <w:pPr>
              <w:spacing w:line="240" w:lineRule="auto"/>
              <w:rPr>
                <w:rFonts w:hint="eastAsia"/>
                <w:b w:val="0"/>
                <w:color w:val="000000"/>
                <w:lang w:val="en-US" w:eastAsia="zh-CN"/>
              </w:rPr>
            </w:pPr>
            <w:r>
              <w:rPr>
                <w:rFonts w:hint="eastAsia"/>
                <w:b w:val="0"/>
                <w:color w:val="000000"/>
                <w:lang w:val="en-US" w:eastAsia="zh-CN"/>
              </w:rPr>
              <w:t>Waist-to-Hip Ratio (WHR)</w:t>
            </w:r>
          </w:p>
        </w:tc>
        <w:tc>
          <w:tcPr>
            <w:tcW w:w="2835" w:type="dxa"/>
            <w:tcBorders>
              <w:top w:val="single" w:color="000000" w:sz="4" w:space="0"/>
              <w:left w:val="nil"/>
              <w:bottom w:val="single" w:color="000000" w:sz="4" w:space="0"/>
              <w:right w:val="nil"/>
            </w:tcBorders>
            <w:shd w:val="clear" w:color="auto" w:fill="FFFFFF"/>
            <w:noWrap/>
            <w:vAlign w:val="center"/>
          </w:tcPr>
          <w:p w14:paraId="5253C5A7">
            <w:pPr>
              <w:spacing w:line="240" w:lineRule="auto"/>
              <w:rPr>
                <w:rFonts w:hint="eastAsia"/>
                <w:b w:val="0"/>
                <w:color w:val="000000"/>
                <w:lang w:val="en-US" w:eastAsia="zh-CN"/>
              </w:rPr>
            </w:pPr>
            <w:r>
              <w:rPr>
                <w:rFonts w:hint="eastAsia"/>
                <w:b w:val="0"/>
                <w:color w:val="000000"/>
                <w:lang w:val="en-US" w:eastAsia="zh-CN"/>
              </w:rPr>
              <w:t>Diabetes, hypertension</w:t>
            </w:r>
          </w:p>
        </w:tc>
        <w:tc>
          <w:tcPr>
            <w:tcW w:w="2835" w:type="dxa"/>
            <w:tcBorders>
              <w:top w:val="single" w:color="000000" w:sz="4" w:space="0"/>
              <w:left w:val="nil"/>
              <w:bottom w:val="single" w:color="000000" w:sz="4" w:space="0"/>
              <w:right w:val="nil"/>
            </w:tcBorders>
            <w:shd w:val="clear" w:color="auto" w:fill="FFFFFF"/>
            <w:noWrap/>
            <w:vAlign w:val="center"/>
          </w:tcPr>
          <w:p w14:paraId="39567D88">
            <w:pPr>
              <w:spacing w:line="240" w:lineRule="auto"/>
              <w:rPr>
                <w:rFonts w:hint="eastAsia"/>
                <w:b w:val="0"/>
                <w:color w:val="000000"/>
                <w:lang w:val="en-US" w:eastAsia="zh-CN"/>
              </w:rPr>
            </w:pPr>
            <w:r>
              <w:rPr>
                <w:rFonts w:hint="eastAsia"/>
                <w:b w:val="0"/>
                <w:color w:val="000000"/>
                <w:lang w:val="en-US" w:eastAsia="zh-CN"/>
              </w:rPr>
              <w:t>Ankle-brachial index (ABI), treated/untreated systolic blood pressure, total cholesterol (TC), high-density lipoprotein cholesterol (HDL-C), estimated glomerular filtration rate (eGFR, log-transformed), fasting plasma glucose (FPG)</w:t>
            </w:r>
          </w:p>
        </w:tc>
      </w:tr>
      <w:tr w14:paraId="5DE9CEC4">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E7A9CB1">
            <w:pPr>
              <w:spacing w:line="240" w:lineRule="auto"/>
              <w:rPr>
                <w:rFonts w:hint="eastAsia"/>
                <w:b w:val="0"/>
                <w:color w:val="000000"/>
                <w:lang w:val="en-US" w:eastAsia="zh-CN"/>
              </w:rPr>
            </w:pPr>
            <w:r>
              <w:rPr>
                <w:rFonts w:hint="eastAsia"/>
                <w:b w:val="0"/>
                <w:color w:val="000000"/>
                <w:lang w:val="en-US" w:eastAsia="zh-CN"/>
              </w:rPr>
              <w:t>Yu M, et al., 2024</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&lt;EndNote&gt;&lt;Cite&gt;&lt;Author&gt;Yu&lt;/Author&gt;&lt;Year&gt;2024&lt;/Year&gt;&lt;RecNum&gt;540&lt;/RecNum&gt;&lt;DisplayText&gt;(35)&lt;/DisplayText&gt;&lt;record&gt;&lt;rec-number&gt;540&lt;/rec-number&gt;&lt;foreign-keys&gt;&lt;key app="EN" db-id="earspdaa1vazprerafqvx9tx5pvfaxf9awz0" timestamp="1775312456"&gt;540&lt;/key&gt;&lt;/foreign-keys&gt;&lt;ref-type name="期刊文献"&gt;17&lt;/ref-type&gt;&lt;contributors&gt;&lt;authors&gt;&lt;author&gt;Yu, M.&lt;/author&gt;&lt;author&gt;Li, X.&lt;/author&gt;&lt;author&gt;Zong, L.&lt;/author&gt;&lt;author&gt;Wang, Z.&lt;/author&gt;&lt;author&gt;Lv, Q.&lt;/author&gt;&lt;/authors&gt;&lt;/contributors&gt;&lt;auth-address&gt;Department of Pharmacy, Zhongshan Hospital, Fudan University, Shanghai, China.&lt;/auth-address&gt;&lt;titles&gt;&lt;title&gt;A Novel Body Mass Index-Based Thromboembolic Risk Score for Overweight Patients with Nonvalvular Atrial Fibrillation&lt;/title&gt;&lt;secondary-title&gt;Anatol J Cardiol&lt;/secondary-title&gt;&lt;/titles&gt;&lt;periodical&gt;&lt;full-title&gt;Anatol J Cardiol&lt;/full-title&gt;&lt;/periodical&gt;&lt;pages&gt;35-43&lt;/pages&gt;&lt;volume&gt;28&lt;/volume&gt;&lt;number&gt;1&lt;/number&gt;&lt;edition&gt;20231114&lt;/edition&gt;&lt;keywords&gt;&lt;keyword&gt;Humans&lt;/keyword&gt;&lt;keyword&gt;*Atrial Fibrillation/complications&lt;/keyword&gt;&lt;keyword&gt;Body Mass Index&lt;/keyword&gt;&lt;keyword&gt;Retrospective Studies&lt;/keyword&gt;&lt;keyword&gt;Overweight/complications&lt;/keyword&gt;&lt;keyword&gt;Risk Factors&lt;/keyword&gt;&lt;keyword&gt;*Thromboembolism/etiology&lt;/keyword&gt;&lt;keyword&gt;*Thrombosis&lt;/keyword&gt;&lt;keyword&gt;Risk Assessment/methods&lt;/keyword&gt;&lt;keyword&gt;*Stroke&lt;/keyword&gt;&lt;/keywords&gt;&lt;dates&gt;&lt;year&gt;2024&lt;/year&gt;&lt;pub-dates&gt;&lt;date&gt;Jan 2&lt;/date&gt;&lt;/pub-dates&gt;&lt;/dates&gt;&lt;isbn&gt;2149-2263 (Print)&amp;#xD;2149-2263&lt;/isbn&gt;&lt;accession-num&gt;37961898&lt;/accession-num&gt;&lt;urls&gt;&lt;/urls&gt;&lt;custom1&gt;Declaration of Interests: The authors have no conflict of interest to declare.&lt;/custom1&gt;&lt;custom2&gt;PMC10796238&lt;/custom2&gt;&lt;electronic-resource-num&gt;10.14744/AnatolJCardiol.2023.3373&lt;/electronic-resource-num&gt;&lt;remote-database-provider&gt;NLM&lt;/remote-database-provider&gt;&lt;language&gt;eng&lt;/language&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(35)</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23D1E420">
            <w:pPr>
              <w:spacing w:line="240" w:lineRule="auto"/>
              <w:rPr>
                <w:rFonts w:hint="eastAsia"/>
                <w:b w:val="0"/>
                <w:color w:val="000000"/>
                <w:lang w:val="en-US" w:eastAsia="zh-CN"/>
              </w:rPr>
            </w:pPr>
            <w:r>
              <w:rPr>
                <w:rFonts w:hint="eastAsia"/>
                <w:b w:val="0"/>
                <w:color w:val="000000"/>
                <w:lang w:val="en-US" w:eastAsia="zh-CN"/>
              </w:rPr>
              <w:t>8A,8B</w:t>
            </w:r>
          </w:p>
        </w:tc>
        <w:tc>
          <w:tcPr>
            <w:tcW w:w="2835" w:type="dxa"/>
            <w:tcBorders>
              <w:top w:val="single" w:color="000000" w:sz="4" w:space="0"/>
              <w:left w:val="nil"/>
              <w:bottom w:val="single" w:color="000000" w:sz="4" w:space="0"/>
              <w:right w:val="nil"/>
            </w:tcBorders>
            <w:shd w:val="clear" w:color="auto" w:fill="FFFFFF"/>
            <w:noWrap/>
            <w:vAlign w:val="center"/>
          </w:tcPr>
          <w:p w14:paraId="7AB56D31">
            <w:pPr>
              <w:spacing w:line="240" w:lineRule="auto"/>
              <w:rPr>
                <w:rFonts w:hint="eastAsia"/>
                <w:b w:val="0"/>
                <w:color w:val="000000"/>
                <w:lang w:val="en-US" w:eastAsia="zh-CN"/>
              </w:rPr>
            </w:pPr>
            <w:r>
              <w:rPr>
                <w:rFonts w:hint="eastAsia"/>
                <w:b w:val="0"/>
                <w:color w:val="000000"/>
                <w:lang w:val="en-US" w:eastAsia="zh-CN"/>
              </w:rPr>
              <w:t>Age</w:t>
            </w:r>
          </w:p>
        </w:tc>
        <w:tc>
          <w:tcPr>
            <w:tcW w:w="2835" w:type="dxa"/>
            <w:tcBorders>
              <w:top w:val="single" w:color="000000" w:sz="4" w:space="0"/>
              <w:left w:val="nil"/>
              <w:bottom w:val="single" w:color="000000" w:sz="4" w:space="0"/>
              <w:right w:val="nil"/>
            </w:tcBorders>
            <w:shd w:val="clear" w:color="auto" w:fill="FFFFFF"/>
            <w:noWrap/>
            <w:vAlign w:val="center"/>
          </w:tcPr>
          <w:p w14:paraId="4ADE9A63">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5E62F352">
            <w:pPr>
              <w:spacing w:line="240" w:lineRule="auto"/>
              <w:rPr>
                <w:rFonts w:hint="eastAsia"/>
                <w:b w:val="0"/>
                <w:color w:val="000000"/>
                <w:lang w:val="en-US" w:eastAsia="zh-CN"/>
              </w:rPr>
            </w:pPr>
            <w:r>
              <w:rPr>
                <w:rFonts w:hint="eastAsia"/>
                <w:b w:val="0"/>
                <w:color w:val="000000"/>
                <w:lang w:val="en-US" w:eastAsia="zh-CN"/>
              </w:rPr>
              <w:t>History of stroke, heart failure</w:t>
            </w:r>
          </w:p>
        </w:tc>
        <w:tc>
          <w:tcPr>
            <w:tcW w:w="2835" w:type="dxa"/>
            <w:tcBorders>
              <w:top w:val="single" w:color="000000" w:sz="4" w:space="0"/>
              <w:left w:val="nil"/>
              <w:bottom w:val="single" w:color="000000" w:sz="4" w:space="0"/>
              <w:right w:val="nil"/>
            </w:tcBorders>
            <w:shd w:val="clear" w:color="auto" w:fill="FFFFFF"/>
            <w:noWrap/>
            <w:vAlign w:val="center"/>
          </w:tcPr>
          <w:p w14:paraId="684A8563">
            <w:pPr>
              <w:spacing w:line="240" w:lineRule="auto"/>
              <w:rPr>
                <w:rFonts w:hint="eastAsia"/>
                <w:b w:val="0"/>
                <w:color w:val="000000"/>
                <w:lang w:val="en-US" w:eastAsia="zh-CN"/>
              </w:rPr>
            </w:pPr>
            <w:r>
              <w:rPr>
                <w:rFonts w:hint="eastAsia"/>
                <w:b w:val="0"/>
                <w:color w:val="000000"/>
                <w:lang w:val="en-US" w:eastAsia="zh-CN"/>
              </w:rPr>
              <w:t>Platelet (PLT), estimated glomerular filtration rate (eGFR), left ventricular ejection fraction (LVEF)</w:t>
            </w:r>
          </w:p>
        </w:tc>
      </w:tr>
      <w:tr w14:paraId="5C26597E">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7C61C563">
            <w:pPr>
              <w:spacing w:line="240" w:lineRule="auto"/>
              <w:rPr>
                <w:rFonts w:hint="eastAsia"/>
                <w:b w:val="0"/>
                <w:color w:val="000000"/>
                <w:lang w:val="en-US" w:eastAsia="zh-CN"/>
              </w:rPr>
            </w:pPr>
            <w:r>
              <w:rPr>
                <w:rFonts w:hint="eastAsia"/>
                <w:b w:val="0"/>
                <w:color w:val="000000"/>
                <w:lang w:val="en-US" w:eastAsia="zh-CN"/>
              </w:rPr>
              <w:t>Jing J, et al., 2024</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&lt;EndNote&gt;&lt;Cite&gt;&lt;Author&gt;JING Jianying&lt;/Author&gt;&lt;Year&gt;2024&lt;/Year&gt;&lt;RecNum&gt;532&lt;/RecNum&gt;&lt;DisplayText&gt;(36)&lt;/DisplayText&gt;&lt;record&gt;&lt;rec-number&gt;532&lt;/rec-number&gt;&lt;foreign-keys&gt;&lt;key app="EN" db-id="earspdaa1vazprerafqvx9tx5pvfaxf9awz0" timestamp="1775309810"&gt;532&lt;/key&gt;&lt;/foreign-keys&gt;&lt;ref-type name="期刊文献"&gt;17&lt;/ref-type&gt;&lt;contributors&gt;&lt;authors&gt;&lt;author&gt;JING Jianying, XIAO Ningting, GUO Xuemei, JING Xueming, XIE Rong, HE Yonglong&lt;/author&gt;&lt;/authors&gt;&lt;/contributors&gt;&lt;titles&gt;&lt;title&gt;Prediction and evaluation of nomogram model on risk of hyperuricemia in overweight and obese children and adolescents&lt;/title&gt;&lt;secondary-title&gt;Chongqing Medical Journal&lt;/secondary-title&gt;&lt;/titles&gt;&lt;periodical&gt;&lt;full-title&gt;Chongqing Medical Journal&lt;/full-title&gt;&lt;/periodical&gt;&lt;pages&gt;220-225&lt;/pages&gt;&lt;volume&gt;53&lt;/volume&gt;&lt;number&gt;2&lt;/number&gt;&lt;section&gt;220&lt;/section&gt;&lt;dates&gt;&lt;year&gt;2024&lt;/year&gt;&lt;/dates&gt;&lt;urls&gt;&lt;/urls&gt;&lt;electronic-resource-num&gt;DOI: 10.3969/j.issn.1671-8348.2024.02.012&lt;/electronic-resource-num&gt;&lt;/record&gt;&lt;/Cite&gt;&lt;/EndNote&gt;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(36)</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6383CBE1">
            <w:pPr>
              <w:spacing w:line="240" w:lineRule="auto"/>
              <w:rPr>
                <w:rFonts w:hint="eastAsia"/>
                <w:b w:val="0"/>
                <w:color w:val="000000"/>
                <w:lang w:val="en-US" w:eastAsia="zh-CN"/>
              </w:rPr>
            </w:pPr>
            <w:r>
              <w:rPr>
                <w:rFonts w:hint="eastAsia"/>
                <w:b w:val="0"/>
                <w:color w:val="000000"/>
                <w:lang w:val="en-US" w:eastAsia="zh-CN"/>
              </w:rPr>
              <w:t>9</w:t>
            </w:r>
          </w:p>
        </w:tc>
        <w:tc>
          <w:tcPr>
            <w:tcW w:w="2835" w:type="dxa"/>
            <w:tcBorders>
              <w:top w:val="single" w:color="000000" w:sz="4" w:space="0"/>
              <w:left w:val="nil"/>
              <w:bottom w:val="single" w:color="000000" w:sz="4" w:space="0"/>
              <w:right w:val="nil"/>
            </w:tcBorders>
            <w:shd w:val="clear" w:color="auto" w:fill="FFFFFF"/>
            <w:noWrap/>
            <w:vAlign w:val="center"/>
          </w:tcPr>
          <w:p w14:paraId="7EF74848">
            <w:pPr>
              <w:spacing w:line="240" w:lineRule="auto"/>
              <w:rPr>
                <w:rFonts w:hint="eastAsia"/>
                <w:b w:val="0"/>
                <w:color w:val="000000"/>
                <w:lang w:val="en-US" w:eastAsia="zh-CN"/>
              </w:rPr>
            </w:pPr>
            <w:r>
              <w:rPr>
                <w:rFonts w:hint="eastAsia"/>
                <w:b w:val="0"/>
                <w:color w:val="000000"/>
                <w:lang w:val="en-US" w:eastAsia="zh-CN"/>
              </w:rPr>
              <w:t>Age, sex</w:t>
            </w:r>
          </w:p>
        </w:tc>
        <w:tc>
          <w:tcPr>
            <w:tcW w:w="2835" w:type="dxa"/>
            <w:tcBorders>
              <w:top w:val="single" w:color="000000" w:sz="4" w:space="0"/>
              <w:left w:val="nil"/>
              <w:bottom w:val="single" w:color="000000" w:sz="4" w:space="0"/>
              <w:right w:val="nil"/>
            </w:tcBorders>
            <w:shd w:val="clear" w:color="auto" w:fill="FFFFFF"/>
            <w:noWrap/>
            <w:vAlign w:val="center"/>
          </w:tcPr>
          <w:p w14:paraId="4E0FE441">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01DE8B16">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78819C50">
            <w:pPr>
              <w:spacing w:line="240" w:lineRule="auto"/>
              <w:rPr>
                <w:rFonts w:hint="eastAsia"/>
                <w:b w:val="0"/>
                <w:color w:val="000000"/>
                <w:lang w:val="en-US" w:eastAsia="zh-CN"/>
              </w:rPr>
            </w:pPr>
            <w:r>
              <w:rPr>
                <w:rFonts w:hint="eastAsia"/>
                <w:b w:val="0"/>
                <w:color w:val="000000"/>
                <w:lang w:val="en-US" w:eastAsia="zh-CN"/>
              </w:rPr>
              <w:t>Triglycerides (TG), serum calcium, serum creatinine</w:t>
            </w:r>
          </w:p>
        </w:tc>
      </w:tr>
      <w:tr w14:paraId="599C7E1E">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F37C58B">
            <w:pPr>
              <w:spacing w:line="240" w:lineRule="auto"/>
              <w:rPr>
                <w:rFonts w:hint="eastAsia"/>
                <w:b w:val="0"/>
                <w:color w:val="000000"/>
                <w:lang w:val="en-US" w:eastAsia="zh-CN"/>
              </w:rPr>
            </w:pPr>
            <w:r>
              <w:rPr>
                <w:rFonts w:hint="eastAsia"/>
                <w:b w:val="0"/>
                <w:color w:val="000000"/>
                <w:lang w:val="en-US" w:eastAsia="zh-CN"/>
              </w:rPr>
              <w:t>Zhang H, et al., 2024</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PEVuZE5vdGU+PENpdGU+PEF1dGhvcj5aaGFuZzwvQXV0aG9yPjxZZWFyPjIwMjQ8L1llYXI+PFJl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(37)</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401640E">
            <w:pPr>
              <w:spacing w:line="240" w:lineRule="auto"/>
              <w:rPr>
                <w:rFonts w:hint="eastAsia"/>
                <w:b w:val="0"/>
                <w:color w:val="000000"/>
                <w:lang w:val="en-US" w:eastAsia="zh-CN"/>
              </w:rPr>
            </w:pPr>
            <w:r>
              <w:rPr>
                <w:rFonts w:hint="eastAsia"/>
                <w:b w:val="0"/>
                <w:color w:val="000000"/>
                <w:lang w:val="en-US" w:eastAsia="zh-CN"/>
              </w:rPr>
              <w:t>10</w:t>
            </w:r>
          </w:p>
        </w:tc>
        <w:tc>
          <w:tcPr>
            <w:tcW w:w="2835" w:type="dxa"/>
            <w:tcBorders>
              <w:top w:val="single" w:color="000000" w:sz="4" w:space="0"/>
              <w:left w:val="nil"/>
              <w:bottom w:val="single" w:color="000000" w:sz="4" w:space="0"/>
              <w:right w:val="nil"/>
            </w:tcBorders>
            <w:shd w:val="clear" w:color="auto" w:fill="FFFFFF"/>
            <w:noWrap/>
            <w:vAlign w:val="center"/>
          </w:tcPr>
          <w:p w14:paraId="4A67116B">
            <w:pPr>
              <w:spacing w:line="240" w:lineRule="auto"/>
              <w:rPr>
                <w:rFonts w:hint="eastAsia"/>
                <w:b w:val="0"/>
                <w:color w:val="000000"/>
                <w:lang w:val="en-US" w:eastAsia="zh-CN"/>
              </w:rPr>
            </w:pPr>
            <w:r>
              <w:rPr>
                <w:rFonts w:hint="eastAsia"/>
                <w:b w:val="0"/>
                <w:color w:val="000000"/>
                <w:lang w:val="en-US" w:eastAsia="zh-CN"/>
              </w:rPr>
              <w:t>Age, sex</w:t>
            </w:r>
          </w:p>
        </w:tc>
        <w:tc>
          <w:tcPr>
            <w:tcW w:w="2835" w:type="dxa"/>
            <w:tcBorders>
              <w:top w:val="single" w:color="000000" w:sz="4" w:space="0"/>
              <w:left w:val="nil"/>
              <w:bottom w:val="single" w:color="000000" w:sz="4" w:space="0"/>
              <w:right w:val="nil"/>
            </w:tcBorders>
            <w:shd w:val="clear" w:color="auto" w:fill="FFFFFF"/>
            <w:noWrap/>
            <w:vAlign w:val="center"/>
          </w:tcPr>
          <w:p w14:paraId="7A668C03">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51458262">
            <w:pPr>
              <w:spacing w:line="240" w:lineRule="auto"/>
              <w:rPr>
                <w:rFonts w:hint="eastAsia"/>
                <w:b w:val="0"/>
                <w:color w:val="000000"/>
                <w:lang w:val="en-US" w:eastAsia="zh-CN"/>
              </w:rPr>
            </w:pPr>
            <w:r>
              <w:rPr>
                <w:rFonts w:hint="eastAsia"/>
                <w:b w:val="0"/>
                <w:color w:val="000000"/>
                <w:lang w:val="en-US" w:eastAsia="zh-CN"/>
              </w:rPr>
              <w:t>Hypertension (yes/no)</w:t>
            </w:r>
          </w:p>
        </w:tc>
        <w:tc>
          <w:tcPr>
            <w:tcW w:w="2835" w:type="dxa"/>
            <w:tcBorders>
              <w:top w:val="single" w:color="000000" w:sz="4" w:space="0"/>
              <w:left w:val="nil"/>
              <w:bottom w:val="single" w:color="000000" w:sz="4" w:space="0"/>
              <w:right w:val="nil"/>
            </w:tcBorders>
            <w:shd w:val="clear" w:color="auto" w:fill="FFFFFF"/>
            <w:noWrap/>
            <w:vAlign w:val="center"/>
          </w:tcPr>
          <w:p w14:paraId="20A87AD2">
            <w:pPr>
              <w:spacing w:line="240" w:lineRule="auto"/>
              <w:rPr>
                <w:rFonts w:hint="eastAsia"/>
                <w:b w:val="0"/>
                <w:color w:val="000000"/>
                <w:lang w:val="en-US" w:eastAsia="zh-CN"/>
              </w:rPr>
            </w:pPr>
            <w:r>
              <w:rPr>
                <w:rFonts w:hint="eastAsia"/>
                <w:b w:val="0"/>
                <w:color w:val="000000"/>
                <w:lang w:val="en-US" w:eastAsia="zh-CN"/>
              </w:rPr>
              <w:t>Fasting blood glucose (FBG), glycated hemoglobin (HbA1c), triglycerides (TG)</w:t>
            </w:r>
          </w:p>
        </w:tc>
      </w:tr>
      <w:tr w14:paraId="1BC06647">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5F250D17">
            <w:pPr>
              <w:spacing w:line="240" w:lineRule="auto"/>
              <w:rPr>
                <w:rFonts w:hint="eastAsia"/>
                <w:b w:val="0"/>
                <w:color w:val="000000"/>
                <w:lang w:val="en-US" w:eastAsia="zh-CN"/>
              </w:rPr>
            </w:pPr>
            <w:r>
              <w:rPr>
                <w:rFonts w:hint="eastAsia"/>
                <w:b w:val="0"/>
                <w:color w:val="000000"/>
                <w:lang w:val="en-US" w:eastAsia="zh-CN"/>
              </w:rPr>
              <w:t>Yang X, et al., 2025</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&lt;EndNote&gt;&lt;Cite&gt;&lt;Author&gt;YANG Xiulin&lt;/Author&gt;&lt;Year&gt;2025&lt;/Year&gt;&lt;RecNum&gt;530&lt;/RecNum&gt;&lt;DisplayText&gt;(38)&lt;/DisplayText&gt;&lt;record&gt;&lt;rec-number&gt;530&lt;/rec-number&gt;&lt;foreign-keys&gt;&lt;key app="EN" db-id="earspdaa1vazprerafqvx9tx5pvfaxf9awz0" timestamp="1775309523"&gt;530&lt;/key&gt;&lt;/foreign-keys&gt;&lt;ref-type name="期刊文献"&gt;17&lt;/ref-type&gt;&lt;contributors&gt;&lt;authors&gt;&lt;author&gt;YANG Xiulin, CHENG Peng, MA Bin, MA Weihong, HAI Xiangjun&lt;/author&gt;&lt;/authors&gt;&lt;/contributors&gt;&lt;titles&gt;&lt;title&gt;Construction and evaluation of a nomogram model for predicting the risk of hypertension in Dongxiang adults based on obesity and muscle mass indices&lt;/title&gt;&lt;secondary-title&gt;Acta Anatomica Sinica&lt;/secondary-title&gt;&lt;/titles&gt;&lt;periodical&gt;&lt;full-title&gt;Acta Anatomica Sinica&lt;/full-title&gt;&lt;/periodical&gt;&lt;pages&gt;336-341&lt;/pages&gt;&lt;volume&gt;56&lt;/volume&gt;&lt;number&gt;3&lt;/number&gt;&lt;section&gt;336&lt;/section&gt;&lt;dates&gt;&lt;year&gt;2025&lt;/year&gt;&lt;/dates&gt;&lt;urls&gt;&lt;/urls&gt;&lt;electronic-resource-num&gt;DOI: 10.16098/j.issn.0529-1356.2025.03.012&lt;/electronic-resource-num&gt;&lt;/record&gt;&lt;/Cite&gt;&lt;/EndNote&gt;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(38)</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1C9D8FFB">
            <w:pPr>
              <w:spacing w:line="240" w:lineRule="auto"/>
              <w:rPr>
                <w:rFonts w:hint="eastAsia"/>
                <w:b w:val="0"/>
                <w:color w:val="000000"/>
                <w:lang w:val="en-US" w:eastAsia="zh-CN"/>
              </w:rPr>
            </w:pPr>
            <w:r>
              <w:rPr>
                <w:rFonts w:hint="eastAsia"/>
                <w:b w:val="0"/>
                <w:color w:val="000000"/>
                <w:lang w:val="en-US" w:eastAsia="zh-CN"/>
              </w:rPr>
              <w:t>11</w:t>
            </w:r>
          </w:p>
        </w:tc>
        <w:tc>
          <w:tcPr>
            <w:tcW w:w="2835" w:type="dxa"/>
            <w:tcBorders>
              <w:top w:val="single" w:color="000000" w:sz="4" w:space="0"/>
              <w:left w:val="nil"/>
              <w:bottom w:val="single" w:color="000000" w:sz="4" w:space="0"/>
              <w:right w:val="nil"/>
            </w:tcBorders>
            <w:shd w:val="clear" w:color="auto" w:fill="FFFFFF"/>
            <w:noWrap/>
            <w:vAlign w:val="center"/>
          </w:tcPr>
          <w:p w14:paraId="38D647EE">
            <w:pPr>
              <w:spacing w:line="240" w:lineRule="auto"/>
              <w:rPr>
                <w:rFonts w:hint="eastAsia"/>
                <w:b w:val="0"/>
                <w:color w:val="000000"/>
                <w:lang w:val="en-US" w:eastAsia="zh-CN"/>
              </w:rPr>
            </w:pPr>
            <w:r>
              <w:rPr>
                <w:rFonts w:hint="eastAsia"/>
                <w:b w:val="0"/>
                <w:color w:val="000000"/>
                <w:lang w:val="en-US" w:eastAsia="zh-CN"/>
              </w:rPr>
              <w:t>Age</w:t>
            </w:r>
          </w:p>
        </w:tc>
        <w:tc>
          <w:tcPr>
            <w:tcW w:w="2835" w:type="dxa"/>
            <w:tcBorders>
              <w:top w:val="single" w:color="000000" w:sz="4" w:space="0"/>
              <w:left w:val="nil"/>
              <w:bottom w:val="single" w:color="000000" w:sz="4" w:space="0"/>
              <w:right w:val="nil"/>
            </w:tcBorders>
            <w:shd w:val="clear" w:color="auto" w:fill="FFFFFF"/>
            <w:noWrap/>
            <w:vAlign w:val="center"/>
          </w:tcPr>
          <w:p w14:paraId="391AD222">
            <w:pPr>
              <w:spacing w:line="240" w:lineRule="auto"/>
              <w:rPr>
                <w:rFonts w:hint="eastAsia"/>
                <w:b w:val="0"/>
                <w:color w:val="000000"/>
                <w:lang w:val="en-US" w:eastAsia="zh-CN"/>
              </w:rPr>
            </w:pPr>
            <w:r>
              <w:rPr>
                <w:rFonts w:hint="eastAsia"/>
                <w:b w:val="0"/>
                <w:color w:val="000000"/>
                <w:lang w:val="en-US" w:eastAsia="zh-CN"/>
              </w:rPr>
              <w:t>Neck circumference (NC), Ponderal Index (PI), Waist-to-Hip Ratio (WHR), Abdominal Volume Index (AVI), Body Adiposity Index (BAI), Appendicular Skeletal Muscle Mass Index (ASMI), Limb Fat-to-Weight Ratio (LFWR), Trunk Muscle-to-Weight Ratio (TMWR)</w:t>
            </w:r>
          </w:p>
        </w:tc>
        <w:tc>
          <w:tcPr>
            <w:tcW w:w="2835" w:type="dxa"/>
            <w:tcBorders>
              <w:top w:val="single" w:color="000000" w:sz="4" w:space="0"/>
              <w:left w:val="nil"/>
              <w:bottom w:val="single" w:color="000000" w:sz="4" w:space="0"/>
              <w:right w:val="nil"/>
            </w:tcBorders>
            <w:shd w:val="clear" w:color="auto" w:fill="FFFFFF"/>
            <w:noWrap/>
            <w:vAlign w:val="center"/>
          </w:tcPr>
          <w:p w14:paraId="0B36AC1E">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0F7D2FBB">
            <w:pPr>
              <w:spacing w:line="240" w:lineRule="auto"/>
              <w:rPr>
                <w:rFonts w:hint="eastAsia"/>
                <w:b w:val="0"/>
                <w:color w:val="000000"/>
                <w:lang w:val="en-US" w:eastAsia="zh-CN"/>
              </w:rPr>
            </w:pPr>
            <w:r>
              <w:rPr>
                <w:rFonts w:hint="eastAsia"/>
                <w:b w:val="0"/>
                <w:color w:val="000000"/>
                <w:lang w:val="en-US" w:eastAsia="zh-CN"/>
              </w:rPr>
              <w:t>None</w:t>
            </w:r>
          </w:p>
        </w:tc>
      </w:tr>
      <w:tr w14:paraId="1C83D643">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DEDF935">
            <w:pPr>
              <w:spacing w:line="240" w:lineRule="auto"/>
              <w:rPr>
                <w:rFonts w:hint="eastAsia"/>
                <w:b w:val="0"/>
                <w:color w:val="000000"/>
                <w:lang w:val="en-US" w:eastAsia="zh-CN"/>
              </w:rPr>
            </w:pPr>
            <w:r>
              <w:rPr>
                <w:rFonts w:hint="eastAsia"/>
                <w:b w:val="0"/>
                <w:color w:val="000000"/>
                <w:lang w:val="en-US" w:eastAsia="zh-CN"/>
              </w:rPr>
              <w:t>Liao J, et al., 2023</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&lt;EndNote&gt;&lt;Cite&gt;&lt;Author&gt;LIAO Jing&lt;/Author&gt;&lt;Year&gt;2023&lt;/Year&gt;&lt;RecNum&gt;534&lt;/RecNum&gt;&lt;DisplayText&gt;(39)&lt;/DisplayText&gt;&lt;record&gt;&lt;rec-number&gt;534&lt;/rec-number&gt;&lt;foreign-keys&gt;&lt;key app="EN" db-id="earspdaa1vazprerafqvx9tx5pvfaxf9awz0" timestamp="1775310079"&gt;534&lt;/key&gt;&lt;/foreign-keys&gt;&lt;ref-type name="期刊文献"&gt;17&lt;/ref-type&gt;&lt;contributors&gt;&lt;authors&gt;&lt;author&gt;LIAO Jing, ZHU Lin&lt;/author&gt;&lt;/authors&gt;&lt;/contributors&gt;&lt;titles&gt;&lt;title&gt;Nomograph model for predicting the risk of dyslipidemia with anthropometric indices in obese adolescents aged 13-16 years&lt;/title&gt;&lt;secondary-title&gt;Chinese Journal of Child Health Care&lt;/secondary-title&gt;&lt;/titles&gt;&lt;periodical&gt;&lt;full-title&gt;Chinese Journal of Child Health Care&lt;/full-title&gt;&lt;/periodical&gt;&lt;pages&gt;379-384&lt;/pages&gt;&lt;volume&gt;31&lt;/volume&gt;&lt;number&gt;4&lt;/number&gt;&lt;section&gt;379&lt;/section&gt;&lt;dates&gt;&lt;year&gt;2023&lt;/year&gt;&lt;/dates&gt;&lt;urls&gt;&lt;/urls&gt;&lt;electronic-resource-num&gt;DOI: 10.11852/zgetbjzz2022-1080&lt;/electronic-resource-num&gt;&lt;/record&gt;&lt;/Cite&gt;&lt;/EndNote&gt;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(39)</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EA74215">
            <w:pPr>
              <w:spacing w:line="240" w:lineRule="auto"/>
              <w:rPr>
                <w:rFonts w:hint="eastAsia"/>
                <w:b w:val="0"/>
                <w:color w:val="000000"/>
                <w:lang w:val="en-US" w:eastAsia="zh-CN"/>
              </w:rPr>
            </w:pPr>
            <w:r>
              <w:rPr>
                <w:rFonts w:hint="eastAsia"/>
                <w:b w:val="0"/>
                <w:color w:val="000000"/>
                <w:lang w:val="en-US" w:eastAsia="zh-CN"/>
              </w:rPr>
              <w:t>12A, 12B</w:t>
            </w:r>
          </w:p>
        </w:tc>
        <w:tc>
          <w:tcPr>
            <w:tcW w:w="2835" w:type="dxa"/>
            <w:tcBorders>
              <w:top w:val="single" w:color="000000" w:sz="4" w:space="0"/>
              <w:left w:val="nil"/>
              <w:bottom w:val="single" w:color="000000" w:sz="4" w:space="0"/>
              <w:right w:val="nil"/>
            </w:tcBorders>
            <w:shd w:val="clear" w:color="auto" w:fill="FFFFFF"/>
            <w:noWrap/>
            <w:vAlign w:val="center"/>
          </w:tcPr>
          <w:p w14:paraId="69C27EA2">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136ED714">
            <w:pPr>
              <w:spacing w:line="240" w:lineRule="auto"/>
              <w:rPr>
                <w:rFonts w:hint="eastAsia"/>
                <w:b w:val="0"/>
                <w:color w:val="000000"/>
                <w:lang w:val="en-US" w:eastAsia="zh-CN"/>
              </w:rPr>
            </w:pPr>
            <w:r>
              <w:rPr>
                <w:rFonts w:hint="eastAsia"/>
                <w:b w:val="0"/>
                <w:color w:val="000000"/>
                <w:lang w:val="en-US" w:eastAsia="zh-CN"/>
              </w:rPr>
              <w:t>Chest circumference, thigh circumference, A Body Shape Index (ABSI), BMI, Tri-ponderal Mass Index (TMI)</w:t>
            </w:r>
          </w:p>
        </w:tc>
        <w:tc>
          <w:tcPr>
            <w:tcW w:w="2835" w:type="dxa"/>
            <w:tcBorders>
              <w:top w:val="single" w:color="000000" w:sz="4" w:space="0"/>
              <w:left w:val="nil"/>
              <w:bottom w:val="single" w:color="000000" w:sz="4" w:space="0"/>
              <w:right w:val="nil"/>
            </w:tcBorders>
            <w:shd w:val="clear" w:color="auto" w:fill="FFFFFF"/>
            <w:noWrap/>
            <w:vAlign w:val="center"/>
          </w:tcPr>
          <w:p w14:paraId="41E739CA">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6E2A3B34">
            <w:pPr>
              <w:spacing w:line="240" w:lineRule="auto"/>
              <w:rPr>
                <w:rFonts w:hint="eastAsia"/>
                <w:b w:val="0"/>
                <w:color w:val="000000"/>
                <w:lang w:val="en-US" w:eastAsia="zh-CN"/>
              </w:rPr>
            </w:pPr>
            <w:r>
              <w:rPr>
                <w:rFonts w:hint="eastAsia"/>
                <w:b w:val="0"/>
                <w:color w:val="000000"/>
                <w:lang w:val="en-US" w:eastAsia="zh-CN"/>
              </w:rPr>
              <w:t>None</w:t>
            </w:r>
          </w:p>
        </w:tc>
      </w:tr>
      <w:tr w14:paraId="760964F6">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17067AC6">
            <w:pPr>
              <w:spacing w:line="240" w:lineRule="auto"/>
              <w:rPr>
                <w:rFonts w:hint="eastAsia"/>
                <w:b w:val="0"/>
                <w:color w:val="000000"/>
                <w:lang w:val="en-US" w:eastAsia="zh-CN"/>
              </w:rPr>
            </w:pPr>
            <w:r>
              <w:rPr>
                <w:rFonts w:hint="eastAsia"/>
                <w:b w:val="0"/>
                <w:color w:val="000000"/>
                <w:lang w:val="en-US" w:eastAsia="zh-CN"/>
              </w:rPr>
              <w:t>Zhou Y, et al., 2022</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PEVuZE5vdGU+PENpdGU+PEF1dGhvcj5aaG91PC9BdXRob3I+PFllYXI+MjAyMjwvWWVhcj48UmVj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PGN1c3RvbTI+UE1DOTI1OTk0NjwvY3VzdG9tMj48ZWxlY3Ryb25pYy1yZXNvdXJjZS1udW0+MTAu
MzM4OS9mcHViaC4yMDIyLjg5NTA0NTwvZWxlY3Ryb25pYy1yZXNvdXJjZS1udW0+PHJlbW90ZS1k
YXRhYmFzZS1wcm92aWRlcj5OTE08L3JlbW90ZS1kYXRhYmFzZS1wcm92aWRlcj48bGFuZ3VhZ2U+
ZW5nPC9sYW5ndWFnZT48L3JlY29yZD48L0NpdGU+PC9FbmROb3RlPg==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(40)</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856A4CD">
            <w:pPr>
              <w:spacing w:line="240" w:lineRule="auto"/>
              <w:rPr>
                <w:rFonts w:hint="eastAsia"/>
                <w:b w:val="0"/>
                <w:color w:val="000000"/>
                <w:lang w:val="en-US" w:eastAsia="zh-CN"/>
              </w:rPr>
            </w:pPr>
            <w:r>
              <w:rPr>
                <w:rFonts w:hint="eastAsia"/>
                <w:b w:val="0"/>
                <w:color w:val="000000"/>
                <w:lang w:val="en-US" w:eastAsia="zh-CN"/>
              </w:rPr>
              <w:t>13</w:t>
            </w:r>
          </w:p>
        </w:tc>
        <w:tc>
          <w:tcPr>
            <w:tcW w:w="2835" w:type="dxa"/>
            <w:tcBorders>
              <w:top w:val="single" w:color="000000" w:sz="4" w:space="0"/>
              <w:left w:val="nil"/>
              <w:bottom w:val="single" w:color="000000" w:sz="4" w:space="0"/>
              <w:right w:val="nil"/>
            </w:tcBorders>
            <w:shd w:val="clear" w:color="auto" w:fill="FFFFFF"/>
            <w:noWrap/>
            <w:vAlign w:val="center"/>
          </w:tcPr>
          <w:p w14:paraId="151DE989">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31519385">
            <w:pPr>
              <w:spacing w:line="240" w:lineRule="auto"/>
              <w:rPr>
                <w:rFonts w:hint="eastAsia"/>
                <w:b w:val="0"/>
                <w:color w:val="000000"/>
                <w:lang w:val="en-US" w:eastAsia="zh-CN"/>
              </w:rPr>
            </w:pPr>
            <w:r>
              <w:rPr>
                <w:rFonts w:hint="eastAsia"/>
                <w:b w:val="0"/>
                <w:color w:val="000000"/>
                <w:lang w:val="en-US" w:eastAsia="zh-CN"/>
              </w:rPr>
              <w:t>Body weight</w:t>
            </w:r>
          </w:p>
        </w:tc>
        <w:tc>
          <w:tcPr>
            <w:tcW w:w="2835" w:type="dxa"/>
            <w:tcBorders>
              <w:top w:val="single" w:color="000000" w:sz="4" w:space="0"/>
              <w:left w:val="nil"/>
              <w:bottom w:val="single" w:color="000000" w:sz="4" w:space="0"/>
              <w:right w:val="nil"/>
            </w:tcBorders>
            <w:shd w:val="clear" w:color="auto" w:fill="FFFFFF"/>
            <w:noWrap/>
            <w:vAlign w:val="center"/>
          </w:tcPr>
          <w:p w14:paraId="2022BC0A">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7EE7B457">
            <w:pPr>
              <w:spacing w:line="240" w:lineRule="auto"/>
              <w:rPr>
                <w:rFonts w:hint="eastAsia"/>
                <w:b w:val="0"/>
                <w:color w:val="000000"/>
                <w:lang w:val="en-US" w:eastAsia="zh-CN"/>
              </w:rPr>
            </w:pPr>
            <w:r>
              <w:rPr>
                <w:rFonts w:hint="eastAsia"/>
                <w:b w:val="0"/>
                <w:color w:val="000000"/>
                <w:lang w:val="en-US" w:eastAsia="zh-CN"/>
              </w:rPr>
              <w:t>Alanine transaminase (ALT), glycated hemoglobin (HbA1c), fasting plasma glucose (FPG), triglycerides (TG)</w:t>
            </w:r>
          </w:p>
        </w:tc>
      </w:tr>
      <w:tr w14:paraId="1991B5BE">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2767DB33">
            <w:pPr>
              <w:spacing w:line="240" w:lineRule="auto"/>
              <w:rPr>
                <w:rFonts w:hint="eastAsia"/>
                <w:b w:val="0"/>
                <w:color w:val="000000"/>
                <w:lang w:val="en-US" w:eastAsia="zh-CN"/>
              </w:rPr>
            </w:pPr>
            <w:r>
              <w:rPr>
                <w:rFonts w:hint="eastAsia"/>
                <w:b w:val="0"/>
                <w:color w:val="000000"/>
                <w:lang w:val="en-US" w:eastAsia="zh-CN"/>
              </w:rPr>
              <w:t>Song D, et al., 2022</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PEVuZE5vdGU+PENpdGU+PEF1dGhvcj5Tb25nPC9BdXRob3I+PFllYXI+MjAyMjwvWWVhcj48UmVj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(41)</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7143E49E">
            <w:pPr>
              <w:spacing w:line="240" w:lineRule="auto"/>
              <w:rPr>
                <w:rFonts w:hint="eastAsia"/>
                <w:b w:val="0"/>
                <w:color w:val="000000"/>
                <w:lang w:val="en-US" w:eastAsia="zh-CN"/>
              </w:rPr>
            </w:pPr>
            <w:r>
              <w:rPr>
                <w:rFonts w:hint="eastAsia"/>
                <w:b w:val="0"/>
                <w:color w:val="000000"/>
                <w:lang w:val="en-US" w:eastAsia="zh-CN"/>
              </w:rPr>
              <w:t>14</w:t>
            </w:r>
          </w:p>
        </w:tc>
        <w:tc>
          <w:tcPr>
            <w:tcW w:w="2835" w:type="dxa"/>
            <w:tcBorders>
              <w:top w:val="single" w:color="000000" w:sz="4" w:space="0"/>
              <w:left w:val="nil"/>
              <w:bottom w:val="single" w:color="000000" w:sz="4" w:space="0"/>
              <w:right w:val="nil"/>
            </w:tcBorders>
            <w:shd w:val="clear" w:color="auto" w:fill="FFFFFF"/>
            <w:noWrap/>
            <w:vAlign w:val="center"/>
          </w:tcPr>
          <w:p w14:paraId="7ED12AEE">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0726AF80">
            <w:pPr>
              <w:spacing w:line="240" w:lineRule="auto"/>
              <w:rPr>
                <w:rFonts w:hint="eastAsia"/>
                <w:b w:val="0"/>
                <w:color w:val="000000"/>
                <w:lang w:val="en-US" w:eastAsia="zh-CN"/>
              </w:rPr>
            </w:pPr>
            <w:r>
              <w:rPr>
                <w:rFonts w:hint="eastAsia"/>
                <w:b w:val="0"/>
                <w:color w:val="000000"/>
                <w:lang w:val="en-US" w:eastAsia="zh-CN"/>
              </w:rPr>
              <w:t>BMI, waist circumference (WC)</w:t>
            </w:r>
          </w:p>
        </w:tc>
        <w:tc>
          <w:tcPr>
            <w:tcW w:w="2835" w:type="dxa"/>
            <w:tcBorders>
              <w:top w:val="single" w:color="000000" w:sz="4" w:space="0"/>
              <w:left w:val="nil"/>
              <w:bottom w:val="single" w:color="000000" w:sz="4" w:space="0"/>
              <w:right w:val="nil"/>
            </w:tcBorders>
            <w:shd w:val="clear" w:color="auto" w:fill="FFFFFF"/>
            <w:noWrap/>
            <w:vAlign w:val="center"/>
          </w:tcPr>
          <w:p w14:paraId="7DFEAF37">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5169B941">
            <w:pPr>
              <w:spacing w:line="240" w:lineRule="auto"/>
              <w:rPr>
                <w:rFonts w:hint="eastAsia"/>
                <w:b w:val="0"/>
                <w:color w:val="000000"/>
                <w:lang w:val="en-US" w:eastAsia="zh-CN"/>
              </w:rPr>
            </w:pPr>
            <w:r>
              <w:rPr>
                <w:rFonts w:hint="eastAsia"/>
                <w:b w:val="0"/>
                <w:color w:val="000000"/>
                <w:lang w:val="en-US" w:eastAsia="zh-CN"/>
              </w:rPr>
              <w:t>None</w:t>
            </w:r>
          </w:p>
        </w:tc>
      </w:tr>
      <w:tr w14:paraId="527D5777">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28A0D261">
            <w:pPr>
              <w:spacing w:line="240" w:lineRule="auto"/>
              <w:rPr>
                <w:rFonts w:hint="eastAsia"/>
                <w:b w:val="0"/>
                <w:color w:val="000000"/>
                <w:lang w:val="en-US" w:eastAsia="zh-CN"/>
              </w:rPr>
            </w:pPr>
            <w:r>
              <w:rPr>
                <w:rFonts w:hint="eastAsia"/>
                <w:b w:val="0"/>
                <w:color w:val="000000"/>
                <w:lang w:val="en-US" w:eastAsia="zh-CN"/>
              </w:rPr>
              <w:t>Hu J,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PEVuZE5vdGU+PENpdGU+PEF1dGhvcj5IdTwvQXV0aG9yPjxZZWFyPjIwMjU8L1llYXI+PFJlY051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(42)</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61449C84">
            <w:pPr>
              <w:spacing w:line="240" w:lineRule="auto"/>
              <w:rPr>
                <w:rFonts w:hint="eastAsia"/>
                <w:b w:val="0"/>
                <w:color w:val="000000"/>
                <w:lang w:val="en-US" w:eastAsia="zh-CN"/>
              </w:rPr>
            </w:pPr>
            <w:r>
              <w:rPr>
                <w:rFonts w:hint="eastAsia"/>
                <w:b w:val="0"/>
                <w:color w:val="000000"/>
                <w:lang w:val="en-US" w:eastAsia="zh-CN"/>
              </w:rPr>
              <w:t>15A-15D</w:t>
            </w:r>
          </w:p>
        </w:tc>
        <w:tc>
          <w:tcPr>
            <w:tcW w:w="2835" w:type="dxa"/>
            <w:tcBorders>
              <w:top w:val="single" w:color="000000" w:sz="4" w:space="0"/>
              <w:left w:val="nil"/>
              <w:bottom w:val="single" w:color="000000" w:sz="4" w:space="0"/>
              <w:right w:val="nil"/>
            </w:tcBorders>
            <w:shd w:val="clear" w:color="auto" w:fill="FFFFFF"/>
            <w:noWrap/>
            <w:vAlign w:val="center"/>
          </w:tcPr>
          <w:p w14:paraId="711E057C">
            <w:pPr>
              <w:spacing w:line="240" w:lineRule="auto"/>
              <w:rPr>
                <w:rFonts w:hint="eastAsia"/>
                <w:b w:val="0"/>
                <w:color w:val="000000"/>
                <w:lang w:val="en-US" w:eastAsia="zh-CN"/>
              </w:rPr>
            </w:pPr>
            <w:r>
              <w:rPr>
                <w:rFonts w:hint="eastAsia"/>
                <w:b w:val="0"/>
                <w:color w:val="000000"/>
                <w:lang w:val="en-US" w:eastAsia="zh-CN"/>
              </w:rPr>
              <w:t>Age, sex</w:t>
            </w:r>
          </w:p>
        </w:tc>
        <w:tc>
          <w:tcPr>
            <w:tcW w:w="2835" w:type="dxa"/>
            <w:tcBorders>
              <w:top w:val="single" w:color="000000" w:sz="4" w:space="0"/>
              <w:left w:val="nil"/>
              <w:bottom w:val="single" w:color="000000" w:sz="4" w:space="0"/>
              <w:right w:val="nil"/>
            </w:tcBorders>
            <w:shd w:val="clear" w:color="auto" w:fill="FFFFFF"/>
            <w:noWrap/>
            <w:vAlign w:val="center"/>
          </w:tcPr>
          <w:p w14:paraId="17F292F3">
            <w:pPr>
              <w:spacing w:line="240" w:lineRule="auto"/>
              <w:rPr>
                <w:rFonts w:hint="eastAsia"/>
                <w:b w:val="0"/>
                <w:color w:val="000000"/>
                <w:lang w:val="en-US" w:eastAsia="zh-CN"/>
              </w:rPr>
            </w:pPr>
            <w:r>
              <w:rPr>
                <w:rFonts w:hint="eastAsia"/>
                <w:b w:val="0"/>
                <w:color w:val="000000"/>
                <w:lang w:val="en-US" w:eastAsia="zh-CN"/>
              </w:rPr>
              <w:t>BMI Z-score, waist circumference (WC)</w:t>
            </w:r>
          </w:p>
        </w:tc>
        <w:tc>
          <w:tcPr>
            <w:tcW w:w="2835" w:type="dxa"/>
            <w:tcBorders>
              <w:top w:val="single" w:color="000000" w:sz="4" w:space="0"/>
              <w:left w:val="nil"/>
              <w:bottom w:val="single" w:color="000000" w:sz="4" w:space="0"/>
              <w:right w:val="nil"/>
            </w:tcBorders>
            <w:shd w:val="clear" w:color="auto" w:fill="FFFFFF"/>
            <w:noWrap/>
            <w:vAlign w:val="center"/>
          </w:tcPr>
          <w:p w14:paraId="0F9B8DE9">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51C39887">
            <w:pPr>
              <w:spacing w:line="240" w:lineRule="auto"/>
              <w:rPr>
                <w:rFonts w:hint="eastAsia"/>
                <w:b w:val="0"/>
                <w:color w:val="000000"/>
                <w:lang w:val="en-US" w:eastAsia="zh-CN"/>
              </w:rPr>
            </w:pPr>
            <w:r>
              <w:rPr>
                <w:rFonts w:hint="eastAsia"/>
                <w:b w:val="0"/>
                <w:color w:val="000000"/>
                <w:lang w:val="en-US" w:eastAsia="zh-CN"/>
              </w:rPr>
              <w:t>Homeostatic model assessment for insulin resistance (HOMA-IR), alanine transaminase (ALT), triglycerides (TG), fasting plasma glucose (FPG), AST/ALT ratio, systolic blood pressure (SBP)</w:t>
            </w:r>
          </w:p>
        </w:tc>
      </w:tr>
      <w:tr w14:paraId="0A6FB0B2">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3E56655B">
            <w:pPr>
              <w:spacing w:line="240" w:lineRule="auto"/>
              <w:rPr>
                <w:rFonts w:hint="eastAsia"/>
                <w:b w:val="0"/>
                <w:color w:val="000000"/>
                <w:lang w:val="en-US" w:eastAsia="zh-CN"/>
              </w:rPr>
            </w:pPr>
            <w:r>
              <w:rPr>
                <w:rFonts w:hint="eastAsia"/>
                <w:b w:val="0"/>
                <w:color w:val="000000"/>
                <w:lang w:val="en-US" w:eastAsia="zh-CN"/>
              </w:rPr>
              <w:t>Zhao A, et al., 2024</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PEVuZE5vdGU+PENpdGU+PEF1dGhvcj5aaGFvPC9BdXRob3I+PFllYXI+MjAyNDwvWWVhcj48UmVj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(43)</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D7A04AB">
            <w:pPr>
              <w:spacing w:line="240" w:lineRule="auto"/>
              <w:rPr>
                <w:rFonts w:hint="eastAsia"/>
                <w:b w:val="0"/>
                <w:color w:val="000000"/>
                <w:lang w:val="en-US" w:eastAsia="zh-CN"/>
              </w:rPr>
            </w:pPr>
            <w:r>
              <w:rPr>
                <w:rFonts w:hint="eastAsia"/>
                <w:b w:val="0"/>
                <w:color w:val="000000"/>
                <w:lang w:val="en-US" w:eastAsia="zh-CN"/>
              </w:rPr>
              <w:t>16</w:t>
            </w:r>
          </w:p>
        </w:tc>
        <w:tc>
          <w:tcPr>
            <w:tcW w:w="2835" w:type="dxa"/>
            <w:tcBorders>
              <w:top w:val="single" w:color="000000" w:sz="4" w:space="0"/>
              <w:left w:val="nil"/>
              <w:bottom w:val="single" w:color="000000" w:sz="4" w:space="0"/>
              <w:right w:val="nil"/>
            </w:tcBorders>
            <w:shd w:val="clear" w:color="auto" w:fill="FFFFFF"/>
            <w:noWrap/>
            <w:vAlign w:val="center"/>
          </w:tcPr>
          <w:p w14:paraId="78A4D400">
            <w:pPr>
              <w:spacing w:line="240" w:lineRule="auto"/>
              <w:rPr>
                <w:rFonts w:hint="eastAsia"/>
                <w:b w:val="0"/>
                <w:color w:val="000000"/>
                <w:lang w:val="en-US" w:eastAsia="zh-CN"/>
              </w:rPr>
            </w:pPr>
            <w:r>
              <w:rPr>
                <w:rFonts w:hint="eastAsia"/>
                <w:b w:val="0"/>
                <w:color w:val="000000"/>
                <w:lang w:val="en-US" w:eastAsia="zh-CN"/>
              </w:rPr>
              <w:t>Sex (male), age</w:t>
            </w:r>
          </w:p>
        </w:tc>
        <w:tc>
          <w:tcPr>
            <w:tcW w:w="2835" w:type="dxa"/>
            <w:tcBorders>
              <w:top w:val="single" w:color="000000" w:sz="4" w:space="0"/>
              <w:left w:val="nil"/>
              <w:bottom w:val="single" w:color="000000" w:sz="4" w:space="0"/>
              <w:right w:val="nil"/>
            </w:tcBorders>
            <w:shd w:val="clear" w:color="auto" w:fill="FFFFFF"/>
            <w:noWrap/>
            <w:vAlign w:val="center"/>
          </w:tcPr>
          <w:p w14:paraId="7BB8FF43">
            <w:pPr>
              <w:spacing w:line="240" w:lineRule="auto"/>
              <w:rPr>
                <w:rFonts w:hint="eastAsia"/>
                <w:b w:val="0"/>
                <w:color w:val="000000"/>
                <w:lang w:val="en-US" w:eastAsia="zh-CN"/>
              </w:rPr>
            </w:pPr>
            <w:r>
              <w:rPr>
                <w:rFonts w:hint="eastAsia"/>
                <w:b w:val="0"/>
                <w:color w:val="000000"/>
                <w:lang w:val="en-US" w:eastAsia="zh-CN"/>
              </w:rPr>
              <w:t>BMI, abdominal visceral adipose tissue area (aVAT)</w:t>
            </w:r>
          </w:p>
        </w:tc>
        <w:tc>
          <w:tcPr>
            <w:tcW w:w="2835" w:type="dxa"/>
            <w:tcBorders>
              <w:top w:val="single" w:color="000000" w:sz="4" w:space="0"/>
              <w:left w:val="nil"/>
              <w:bottom w:val="single" w:color="000000" w:sz="4" w:space="0"/>
              <w:right w:val="nil"/>
            </w:tcBorders>
            <w:shd w:val="clear" w:color="auto" w:fill="FFFFFF"/>
            <w:noWrap/>
            <w:vAlign w:val="center"/>
          </w:tcPr>
          <w:p w14:paraId="59722322">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0A93D54C">
            <w:pPr>
              <w:spacing w:line="240" w:lineRule="auto"/>
              <w:rPr>
                <w:rFonts w:hint="eastAsia"/>
                <w:b w:val="0"/>
                <w:color w:val="000000"/>
                <w:lang w:val="en-US" w:eastAsia="zh-CN"/>
              </w:rPr>
            </w:pPr>
            <w:r>
              <w:rPr>
                <w:rFonts w:hint="eastAsia"/>
                <w:b w:val="0"/>
                <w:color w:val="000000"/>
                <w:lang w:val="en-US" w:eastAsia="zh-CN"/>
              </w:rPr>
              <w:t>Liver stiffness measurement (LSM), low-density lipoprotein (LDL)</w:t>
            </w:r>
          </w:p>
        </w:tc>
      </w:tr>
      <w:tr w14:paraId="7C6DB9F6">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0BE5C12C">
            <w:pPr>
              <w:spacing w:line="240" w:lineRule="auto"/>
              <w:rPr>
                <w:rFonts w:hint="eastAsia"/>
                <w:b w:val="0"/>
                <w:color w:val="000000"/>
                <w:lang w:val="en-US" w:eastAsia="zh-CN"/>
              </w:rPr>
            </w:pPr>
            <w:r>
              <w:rPr>
                <w:rFonts w:hint="eastAsia"/>
                <w:b w:val="0"/>
                <w:color w:val="000000"/>
                <w:lang w:val="en-US" w:eastAsia="zh-CN"/>
              </w:rPr>
              <w:t>Chen W, et al., 2023</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PEVuZE5vdGU+PENpdGU+PEF1dGhvcj5DaGVuPC9BdXRob3I+PFllYXI+MjAyMzwvWWVhcj48UmVj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(52)</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1A86AF4E">
            <w:pPr>
              <w:spacing w:line="240" w:lineRule="auto"/>
              <w:rPr>
                <w:rFonts w:hint="eastAsia"/>
                <w:b w:val="0"/>
                <w:color w:val="000000"/>
                <w:lang w:val="en-US" w:eastAsia="zh-CN"/>
              </w:rPr>
            </w:pPr>
            <w:r>
              <w:rPr>
                <w:rFonts w:hint="eastAsia"/>
                <w:b w:val="0"/>
                <w:color w:val="000000"/>
                <w:lang w:val="en-US" w:eastAsia="zh-CN"/>
              </w:rPr>
              <w:t>17</w:t>
            </w:r>
          </w:p>
        </w:tc>
        <w:tc>
          <w:tcPr>
            <w:tcW w:w="2835" w:type="dxa"/>
            <w:tcBorders>
              <w:top w:val="single" w:color="000000" w:sz="4" w:space="0"/>
              <w:left w:val="nil"/>
              <w:bottom w:val="single" w:color="000000" w:sz="4" w:space="0"/>
              <w:right w:val="nil"/>
            </w:tcBorders>
            <w:shd w:val="clear" w:color="auto" w:fill="FFFFFF"/>
            <w:noWrap/>
            <w:vAlign w:val="center"/>
          </w:tcPr>
          <w:p w14:paraId="5C402C3B">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34F670DB">
            <w:pPr>
              <w:spacing w:line="240" w:lineRule="auto"/>
              <w:rPr>
                <w:rFonts w:hint="eastAsia"/>
                <w:b w:val="0"/>
                <w:color w:val="000000"/>
                <w:lang w:val="en-US" w:eastAsia="zh-CN"/>
              </w:rPr>
            </w:pPr>
            <w:r>
              <w:rPr>
                <w:rFonts w:hint="eastAsia"/>
                <w:b w:val="0"/>
                <w:color w:val="000000"/>
                <w:lang w:val="en-US" w:eastAsia="zh-CN"/>
              </w:rPr>
              <w:t>BMI, neck circumference</w:t>
            </w:r>
          </w:p>
        </w:tc>
        <w:tc>
          <w:tcPr>
            <w:tcW w:w="2835" w:type="dxa"/>
            <w:tcBorders>
              <w:top w:val="single" w:color="000000" w:sz="4" w:space="0"/>
              <w:left w:val="nil"/>
              <w:bottom w:val="single" w:color="000000" w:sz="4" w:space="0"/>
              <w:right w:val="nil"/>
            </w:tcBorders>
            <w:shd w:val="clear" w:color="auto" w:fill="FFFFFF"/>
            <w:noWrap/>
            <w:vAlign w:val="center"/>
          </w:tcPr>
          <w:p w14:paraId="7CC67643">
            <w:pPr>
              <w:spacing w:line="240" w:lineRule="auto"/>
              <w:rPr>
                <w:rFonts w:hint="eastAsia"/>
                <w:b w:val="0"/>
                <w:color w:val="000000"/>
                <w:lang w:val="en-US" w:eastAsia="zh-CN"/>
              </w:rPr>
            </w:pPr>
            <w:r>
              <w:rPr>
                <w:rFonts w:hint="eastAsia"/>
                <w:b w:val="0"/>
                <w:color w:val="000000"/>
                <w:lang w:val="en-US" w:eastAsia="zh-CN"/>
              </w:rPr>
              <w:t>Type 2 diabetes (T2D)</w:t>
            </w:r>
          </w:p>
        </w:tc>
        <w:tc>
          <w:tcPr>
            <w:tcW w:w="2835" w:type="dxa"/>
            <w:tcBorders>
              <w:top w:val="single" w:color="000000" w:sz="4" w:space="0"/>
              <w:left w:val="nil"/>
              <w:bottom w:val="single" w:color="000000" w:sz="4" w:space="0"/>
              <w:right w:val="nil"/>
            </w:tcBorders>
            <w:shd w:val="clear" w:color="auto" w:fill="FFFFFF"/>
            <w:noWrap/>
            <w:vAlign w:val="center"/>
          </w:tcPr>
          <w:p w14:paraId="63344EC8">
            <w:pPr>
              <w:spacing w:line="240" w:lineRule="auto"/>
              <w:rPr>
                <w:rFonts w:hint="eastAsia"/>
                <w:b w:val="0"/>
                <w:color w:val="000000"/>
                <w:lang w:val="en-US" w:eastAsia="zh-CN"/>
              </w:rPr>
            </w:pPr>
            <w:r>
              <w:rPr>
                <w:rFonts w:hint="eastAsia"/>
                <w:b w:val="0"/>
                <w:color w:val="000000"/>
                <w:lang w:val="en-US" w:eastAsia="zh-CN"/>
              </w:rPr>
              <w:t>Serum bicarbonate, C-reactive protein (CRP)</w:t>
            </w:r>
          </w:p>
        </w:tc>
      </w:tr>
      <w:tr w14:paraId="74BF5C00">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964E243">
            <w:pPr>
              <w:spacing w:line="240" w:lineRule="auto"/>
              <w:rPr>
                <w:rFonts w:hint="eastAsia"/>
                <w:b w:val="0"/>
                <w:color w:val="000000"/>
                <w:lang w:val="en-US" w:eastAsia="zh-CN"/>
              </w:rPr>
            </w:pPr>
            <w:r>
              <w:rPr>
                <w:rFonts w:hint="eastAsia"/>
                <w:b w:val="0"/>
                <w:color w:val="000000"/>
                <w:lang w:val="en-US" w:eastAsia="zh-CN"/>
              </w:rPr>
              <w:t>Yu H, et al., 2025</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&lt;EndNote&gt;&lt;Cite&gt;&lt;Author&gt;YU Hui&lt;/Author&gt;&lt;Year&gt;2025&lt;/Year&gt;&lt;RecNum&gt;528&lt;/RecNum&gt;&lt;DisplayText&gt;(45)&lt;/DisplayText&gt;&lt;record&gt;&lt;rec-number&gt;528&lt;/rec-number&gt;&lt;foreign-keys&gt;&lt;key app="EN" db-id="earspdaa1vazprerafqvx9tx5pvfaxf9awz0" timestamp="1775309128"&gt;528&lt;/key&gt;&lt;/foreign-keys&gt;&lt;ref-type name="期刊文献"&gt;17&lt;/ref-type&gt;&lt;contributors&gt;&lt;authors&gt;&lt;author&gt;YU Hui, SUN Guanyuan, DING Yue&lt;/author&gt;&lt;/authors&gt;&lt;/contributors&gt;&lt;titles&gt;&lt;title&gt;Risk factors and early warning risk model for elevated atherogenic index of plasma in overweight/obese type 2 diabetes patients&lt;/title&gt;&lt;secondary-title&gt;Anhui Medical and Pharmaceutical Journal&lt;/secondary-title&gt;&lt;/titles&gt;&lt;periodical&gt;&lt;full-title&gt;Anhui Medical and Pharmaceutical Journal&lt;/full-title&gt;&lt;/periodical&gt;&lt;pages&gt;2066-2070&lt;/pages&gt;&lt;volume&gt;29&lt;/volume&gt;&lt;number&gt;10&lt;/number&gt;&lt;section&gt;2066&lt;/section&gt;&lt;dates&gt;&lt;year&gt;2025&lt;/year&gt;&lt;/dates&gt;&lt;urls&gt;&lt;/urls&gt;&lt;electronic-resource-num&gt;DOI: 10.3969/j.issn.1009-6469.2025.10.031&lt;/electronic-resource-num&gt;&lt;/record&gt;&lt;/Cite&gt;&lt;/EndNote&gt;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(45)</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2B869C15">
            <w:pPr>
              <w:spacing w:line="240" w:lineRule="auto"/>
              <w:rPr>
                <w:rFonts w:hint="eastAsia"/>
                <w:b w:val="0"/>
                <w:color w:val="000000"/>
                <w:lang w:val="en-US" w:eastAsia="zh-CN"/>
              </w:rPr>
            </w:pPr>
            <w:r>
              <w:rPr>
                <w:rFonts w:hint="eastAsia"/>
                <w:b w:val="0"/>
                <w:color w:val="000000"/>
                <w:lang w:val="en-US" w:eastAsia="zh-CN"/>
              </w:rPr>
              <w:t>18</w:t>
            </w:r>
          </w:p>
        </w:tc>
        <w:tc>
          <w:tcPr>
            <w:tcW w:w="2835" w:type="dxa"/>
            <w:tcBorders>
              <w:top w:val="single" w:color="000000" w:sz="4" w:space="0"/>
              <w:left w:val="nil"/>
              <w:bottom w:val="single" w:color="000000" w:sz="4" w:space="0"/>
              <w:right w:val="nil"/>
            </w:tcBorders>
            <w:shd w:val="clear" w:color="auto" w:fill="FFFFFF"/>
            <w:noWrap/>
            <w:vAlign w:val="center"/>
          </w:tcPr>
          <w:p w14:paraId="09B0DD63">
            <w:pPr>
              <w:spacing w:line="240" w:lineRule="auto"/>
              <w:rPr>
                <w:rFonts w:hint="eastAsia"/>
                <w:b w:val="0"/>
                <w:color w:val="000000"/>
                <w:lang w:val="en-US" w:eastAsia="zh-CN"/>
              </w:rPr>
            </w:pPr>
            <w:r>
              <w:rPr>
                <w:rFonts w:hint="eastAsia"/>
                <w:b w:val="0"/>
                <w:color w:val="000000"/>
                <w:lang w:val="en-US" w:eastAsia="zh-CN"/>
              </w:rPr>
              <w:t>Age</w:t>
            </w:r>
          </w:p>
        </w:tc>
        <w:tc>
          <w:tcPr>
            <w:tcW w:w="2835" w:type="dxa"/>
            <w:tcBorders>
              <w:top w:val="single" w:color="000000" w:sz="4" w:space="0"/>
              <w:left w:val="nil"/>
              <w:bottom w:val="single" w:color="000000" w:sz="4" w:space="0"/>
              <w:right w:val="nil"/>
            </w:tcBorders>
            <w:shd w:val="clear" w:color="auto" w:fill="FFFFFF"/>
            <w:noWrap/>
            <w:vAlign w:val="center"/>
          </w:tcPr>
          <w:p w14:paraId="55D03330">
            <w:pPr>
              <w:spacing w:line="240" w:lineRule="auto"/>
              <w:rPr>
                <w:rFonts w:hint="eastAsia"/>
                <w:b w:val="0"/>
                <w:color w:val="000000"/>
                <w:lang w:val="en-US" w:eastAsia="zh-CN"/>
              </w:rPr>
            </w:pPr>
            <w:r>
              <w:rPr>
                <w:rFonts w:hint="eastAsia"/>
                <w:b w:val="0"/>
                <w:color w:val="000000"/>
                <w:lang w:val="en-US" w:eastAsia="zh-CN"/>
              </w:rPr>
              <w:t>BMI</w:t>
            </w:r>
          </w:p>
        </w:tc>
        <w:tc>
          <w:tcPr>
            <w:tcW w:w="2835" w:type="dxa"/>
            <w:tcBorders>
              <w:top w:val="single" w:color="000000" w:sz="4" w:space="0"/>
              <w:left w:val="nil"/>
              <w:bottom w:val="single" w:color="000000" w:sz="4" w:space="0"/>
              <w:right w:val="nil"/>
            </w:tcBorders>
            <w:shd w:val="clear" w:color="auto" w:fill="FFFFFF"/>
            <w:noWrap/>
            <w:vAlign w:val="center"/>
          </w:tcPr>
          <w:p w14:paraId="093711A1">
            <w:pPr>
              <w:spacing w:line="240" w:lineRule="auto"/>
              <w:rPr>
                <w:rFonts w:hint="eastAsia"/>
                <w:b w:val="0"/>
                <w:color w:val="000000"/>
                <w:lang w:val="en-US" w:eastAsia="zh-CN"/>
              </w:rPr>
            </w:pPr>
            <w:r>
              <w:rPr>
                <w:rFonts w:hint="eastAsia"/>
                <w:b w:val="0"/>
                <w:color w:val="000000"/>
                <w:lang w:val="en-US" w:eastAsia="zh-CN"/>
              </w:rPr>
              <w:t>T2DM duration</w:t>
            </w:r>
          </w:p>
        </w:tc>
        <w:tc>
          <w:tcPr>
            <w:tcW w:w="2835" w:type="dxa"/>
            <w:tcBorders>
              <w:top w:val="single" w:color="000000" w:sz="4" w:space="0"/>
              <w:left w:val="nil"/>
              <w:bottom w:val="single" w:color="000000" w:sz="4" w:space="0"/>
              <w:right w:val="nil"/>
            </w:tcBorders>
            <w:shd w:val="clear" w:color="auto" w:fill="FFFFFF"/>
            <w:noWrap/>
            <w:vAlign w:val="center"/>
          </w:tcPr>
          <w:p w14:paraId="2150BC3F">
            <w:pPr>
              <w:spacing w:line="240" w:lineRule="auto"/>
              <w:rPr>
                <w:rFonts w:hint="eastAsia"/>
                <w:b w:val="0"/>
                <w:color w:val="000000"/>
                <w:lang w:val="en-US" w:eastAsia="zh-CN"/>
              </w:rPr>
            </w:pPr>
            <w:r>
              <w:rPr>
                <w:rFonts w:hint="eastAsia"/>
                <w:b w:val="0"/>
                <w:color w:val="000000"/>
                <w:lang w:val="en-US" w:eastAsia="zh-CN"/>
              </w:rPr>
              <w:t>Fasting blood glucose (FBG), glycated hemoglobin (HbA1c), low-density lipoprotein cholesterol (LDL-C), serum C-reactive protein (CRP), serum homocysteine (Hcy)</w:t>
            </w:r>
          </w:p>
        </w:tc>
      </w:tr>
      <w:tr w14:paraId="08914624">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0EF794D">
            <w:pPr>
              <w:spacing w:line="240" w:lineRule="auto"/>
              <w:rPr>
                <w:rFonts w:hint="eastAsia"/>
                <w:b w:val="0"/>
                <w:color w:val="000000"/>
                <w:lang w:val="en-US" w:eastAsia="zh-CN"/>
              </w:rPr>
            </w:pPr>
            <w:r>
              <w:rPr>
                <w:rFonts w:hint="eastAsia"/>
                <w:b w:val="0"/>
                <w:color w:val="000000"/>
                <w:lang w:val="en-US" w:eastAsia="zh-CN"/>
              </w:rPr>
              <w:t>Geng D, et al., 2024</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&lt;EndNote&gt;&lt;Cite&gt;&lt;Author&gt;Dandan&lt;/Author&gt;&lt;Year&gt;2024&lt;/Year&gt;&lt;RecNum&gt;538&lt;/RecNum&gt;&lt;DisplayText&gt;(46)&lt;/DisplayText&gt;&lt;record&gt;&lt;rec-number&gt;538&lt;/rec-number&gt;&lt;foreign-keys&gt;&lt;key app="EN" db-id="earspdaa1vazprerafqvx9tx5pvfaxf9awz0" timestamp="1775312234"&gt;538&lt;/key&gt;&lt;/foreign-keys&gt;&lt;ref-type name="学位论文"&gt;32&lt;/ref-type&gt;&lt;contributors&gt;&lt;authors&gt;&lt;author&gt;GENG Dandan&lt;/author&gt;&lt;/authors&gt;&lt;/contributors&gt;&lt;titles&gt;&lt;title&gt;Risk Prediction Model for Subclinical Carotid Atherosclerosis in Centrally Obese Population: Establishment and Evaluation&lt;/title&gt;&lt;secondary-title&gt;Hebei General Hospital, School of Neurology&lt;/secondary-title&gt;&lt;/titles&gt;&lt;number&gt;DOI: 10.27111/d.cnki.ghyku.2024.001212&lt;/number&gt;&lt;dates&gt;&lt;year&gt;2024&lt;/year&gt;&lt;/dates&gt;&lt;publisher&gt;Hebei Medical University&amp;#x9;&lt;/publisher&gt;&lt;urls&gt;&lt;/urls&gt;&lt;electronic-resource-num&gt;10.27111/d.cnki.ghyku.2024.001212&lt;/electronic-resource-num&gt;&lt;/record&gt;&lt;/Cite&gt;&lt;/EndNote&gt;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(46)</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70ABE806">
            <w:pPr>
              <w:spacing w:line="240" w:lineRule="auto"/>
              <w:rPr>
                <w:rFonts w:hint="eastAsia"/>
                <w:b w:val="0"/>
                <w:color w:val="000000"/>
                <w:lang w:val="en-US" w:eastAsia="zh-CN"/>
              </w:rPr>
            </w:pPr>
            <w:r>
              <w:rPr>
                <w:rFonts w:hint="eastAsia"/>
                <w:b w:val="0"/>
                <w:color w:val="000000"/>
                <w:lang w:val="en-US" w:eastAsia="zh-CN"/>
              </w:rPr>
              <w:t>19</w:t>
            </w:r>
          </w:p>
        </w:tc>
        <w:tc>
          <w:tcPr>
            <w:tcW w:w="2835" w:type="dxa"/>
            <w:tcBorders>
              <w:top w:val="single" w:color="000000" w:sz="4" w:space="0"/>
              <w:left w:val="nil"/>
              <w:bottom w:val="single" w:color="000000" w:sz="4" w:space="0"/>
              <w:right w:val="nil"/>
            </w:tcBorders>
            <w:shd w:val="clear" w:color="auto" w:fill="FFFFFF"/>
            <w:noWrap/>
            <w:vAlign w:val="center"/>
          </w:tcPr>
          <w:p w14:paraId="361F30CC">
            <w:pPr>
              <w:spacing w:line="240" w:lineRule="auto"/>
              <w:rPr>
                <w:rFonts w:hint="eastAsia"/>
                <w:b w:val="0"/>
                <w:color w:val="000000"/>
                <w:lang w:val="en-US" w:eastAsia="zh-CN"/>
              </w:rPr>
            </w:pPr>
            <w:r>
              <w:rPr>
                <w:rFonts w:hint="eastAsia"/>
                <w:b w:val="0"/>
                <w:color w:val="000000"/>
                <w:lang w:val="en-US" w:eastAsia="zh-CN"/>
              </w:rPr>
              <w:t>Age, smoking history</w:t>
            </w:r>
          </w:p>
        </w:tc>
        <w:tc>
          <w:tcPr>
            <w:tcW w:w="2835" w:type="dxa"/>
            <w:tcBorders>
              <w:top w:val="single" w:color="000000" w:sz="4" w:space="0"/>
              <w:left w:val="nil"/>
              <w:bottom w:val="single" w:color="000000" w:sz="4" w:space="0"/>
              <w:right w:val="nil"/>
            </w:tcBorders>
            <w:shd w:val="clear" w:color="auto" w:fill="FFFFFF"/>
            <w:noWrap/>
            <w:vAlign w:val="center"/>
          </w:tcPr>
          <w:p w14:paraId="7313AF7F">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64290CD8">
            <w:pPr>
              <w:spacing w:line="240" w:lineRule="auto"/>
              <w:rPr>
                <w:rFonts w:hint="eastAsia"/>
                <w:b w:val="0"/>
                <w:color w:val="000000"/>
                <w:lang w:val="en-US" w:eastAsia="zh-CN"/>
              </w:rPr>
            </w:pPr>
            <w:r>
              <w:rPr>
                <w:rFonts w:hint="eastAsia"/>
                <w:b w:val="0"/>
                <w:color w:val="000000"/>
                <w:lang w:val="en-US" w:eastAsia="zh-CN"/>
              </w:rPr>
              <w:t>Hypertension, type 2 diabetes mellitus (T2DM)</w:t>
            </w:r>
          </w:p>
        </w:tc>
        <w:tc>
          <w:tcPr>
            <w:tcW w:w="2835" w:type="dxa"/>
            <w:tcBorders>
              <w:top w:val="single" w:color="000000" w:sz="4" w:space="0"/>
              <w:left w:val="nil"/>
              <w:bottom w:val="single" w:color="000000" w:sz="4" w:space="0"/>
              <w:right w:val="nil"/>
            </w:tcBorders>
            <w:shd w:val="clear" w:color="auto" w:fill="FFFFFF"/>
            <w:noWrap/>
            <w:vAlign w:val="center"/>
          </w:tcPr>
          <w:p w14:paraId="5F184734">
            <w:pPr>
              <w:spacing w:line="240" w:lineRule="auto"/>
              <w:rPr>
                <w:rFonts w:hint="eastAsia"/>
                <w:b w:val="0"/>
                <w:color w:val="000000"/>
                <w:lang w:val="en-US" w:eastAsia="zh-CN"/>
              </w:rPr>
            </w:pPr>
            <w:r>
              <w:rPr>
                <w:rFonts w:hint="eastAsia"/>
                <w:b w:val="0"/>
                <w:color w:val="000000"/>
                <w:lang w:val="en-US" w:eastAsia="zh-CN"/>
              </w:rPr>
              <w:t>Systolic blood pressure (SBP), total cholesterol (TC), triglycerides (TG), low-density lipoprotein cholesterol / high-density lipoprotein cholesterol ratio (LDL-C/HDL-C)</w:t>
            </w:r>
          </w:p>
        </w:tc>
      </w:tr>
      <w:tr w14:paraId="266E9DF0">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301090A1">
            <w:pPr>
              <w:spacing w:line="240" w:lineRule="auto"/>
              <w:rPr>
                <w:rFonts w:hint="eastAsia"/>
                <w:b w:val="0"/>
                <w:color w:val="000000"/>
                <w:lang w:val="en-US" w:eastAsia="zh-CN"/>
              </w:rPr>
            </w:pPr>
            <w:r>
              <w:rPr>
                <w:rFonts w:hint="eastAsia"/>
                <w:b w:val="0"/>
                <w:color w:val="000000"/>
                <w:lang w:val="en-US" w:eastAsia="zh-CN"/>
              </w:rPr>
              <w:t>Shi J, et al., 2025</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&lt;EndNote&gt;&lt;Cite&gt;&lt;Author&gt;SHI Jie&lt;/Author&gt;&lt;Year&gt;2025&lt;/Year&gt;&lt;RecNum&gt;526&lt;/RecNum&gt;&lt;DisplayText&gt;(47)&lt;/DisplayText&gt;&lt;record&gt;&lt;rec-number&gt;526&lt;/rec-number&gt;&lt;foreign-keys&gt;&lt;key app="EN" db-id="earspdaa1vazprerafqvx9tx5pvfaxf9awz0" timestamp="1775308694"&gt;526&lt;/key&gt;&lt;/foreign-keys&gt;&lt;ref-type name="期刊文献"&gt;17&lt;/ref-type&gt;&lt;contributors&gt;&lt;authors&gt;&lt;author&gt;SHI Jie, ZHANG Yao, LIN Jiarui, GUO Xiaodi, LIU Shuhong, HU Xiling&lt;/author&gt;&lt;/authors&gt;&lt;/contributors&gt;&lt;titles&gt;&lt;title&gt;Development and validation of a nomogram-based assessment model for the risk of diabetic nephropathy in obese type 2 diabetes mellitus patients&lt;/title&gt;&lt;secondary-title&gt;Journal of New Medicine&lt;/secondary-title&gt;&lt;/titles&gt;&lt;periodical&gt;&lt;full-title&gt;Journal of New Medicine&lt;/full-title&gt;&lt;/periodical&gt;&lt;pages&gt;986-994&lt;/pages&gt;&lt;volume&gt;56&lt;/volume&gt;&lt;number&gt;10&lt;/number&gt;&lt;section&gt;986&lt;/section&gt;&lt;dates&gt;&lt;year&gt;2025&lt;/year&gt;&lt;/dates&gt;&lt;urls&gt;&lt;/urls&gt;&lt;electronic-resource-num&gt;DOI: 10.12464/j.issn.0253-9802.2025-0213&lt;/electronic-resource-num&gt;&lt;/record&gt;&lt;/Cite&gt;&lt;/EndNote&gt;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(47)</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6519A20">
            <w:pPr>
              <w:spacing w:line="240" w:lineRule="auto"/>
              <w:rPr>
                <w:rFonts w:hint="eastAsia"/>
                <w:b w:val="0"/>
                <w:color w:val="000000"/>
                <w:lang w:val="en-US" w:eastAsia="zh-CN"/>
              </w:rPr>
            </w:pPr>
            <w:r>
              <w:rPr>
                <w:rFonts w:hint="eastAsia"/>
                <w:b w:val="0"/>
                <w:color w:val="000000"/>
                <w:lang w:val="en-US" w:eastAsia="zh-CN"/>
              </w:rPr>
              <w:t>20</w:t>
            </w:r>
          </w:p>
        </w:tc>
        <w:tc>
          <w:tcPr>
            <w:tcW w:w="2835" w:type="dxa"/>
            <w:tcBorders>
              <w:top w:val="single" w:color="000000" w:sz="4" w:space="0"/>
              <w:left w:val="nil"/>
              <w:bottom w:val="single" w:color="000000" w:sz="4" w:space="0"/>
              <w:right w:val="nil"/>
            </w:tcBorders>
            <w:shd w:val="clear" w:color="auto" w:fill="FFFFFF"/>
            <w:noWrap/>
            <w:vAlign w:val="center"/>
          </w:tcPr>
          <w:p w14:paraId="2927CDCD">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3AD46D95">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2793689D">
            <w:pPr>
              <w:spacing w:line="240" w:lineRule="auto"/>
              <w:rPr>
                <w:rFonts w:hint="eastAsia"/>
                <w:b w:val="0"/>
                <w:color w:val="000000"/>
                <w:lang w:val="en-US" w:eastAsia="zh-CN"/>
              </w:rPr>
            </w:pPr>
            <w:r>
              <w:rPr>
                <w:rFonts w:hint="eastAsia"/>
                <w:b w:val="0"/>
                <w:color w:val="000000"/>
                <w:lang w:val="en-US" w:eastAsia="zh-CN"/>
              </w:rPr>
              <w:t>Hypertension, T2DM duration</w:t>
            </w:r>
          </w:p>
        </w:tc>
        <w:tc>
          <w:tcPr>
            <w:tcW w:w="2835" w:type="dxa"/>
            <w:tcBorders>
              <w:top w:val="single" w:color="000000" w:sz="4" w:space="0"/>
              <w:left w:val="nil"/>
              <w:bottom w:val="single" w:color="000000" w:sz="4" w:space="0"/>
              <w:right w:val="nil"/>
            </w:tcBorders>
            <w:shd w:val="clear" w:color="auto" w:fill="FFFFFF"/>
            <w:noWrap/>
            <w:vAlign w:val="center"/>
          </w:tcPr>
          <w:p w14:paraId="6BB75704">
            <w:pPr>
              <w:spacing w:line="240" w:lineRule="auto"/>
              <w:rPr>
                <w:rFonts w:hint="eastAsia"/>
                <w:b w:val="0"/>
                <w:color w:val="000000"/>
                <w:lang w:val="en-US" w:eastAsia="zh-CN"/>
              </w:rPr>
            </w:pPr>
            <w:r>
              <w:rPr>
                <w:rFonts w:hint="eastAsia"/>
                <w:b w:val="0"/>
                <w:color w:val="000000"/>
                <w:lang w:val="en-US" w:eastAsia="zh-CN"/>
              </w:rPr>
              <w:t>Serum albumin, serum creatinine</w:t>
            </w:r>
          </w:p>
        </w:tc>
      </w:tr>
      <w:tr w14:paraId="4162C7C8">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102EB45C">
            <w:pPr>
              <w:spacing w:line="240" w:lineRule="auto"/>
              <w:rPr>
                <w:rFonts w:hint="eastAsia"/>
                <w:b w:val="0"/>
                <w:color w:val="000000"/>
                <w:lang w:val="en-US" w:eastAsia="zh-CN"/>
              </w:rPr>
            </w:pPr>
            <w:r>
              <w:rPr>
                <w:rFonts w:hint="eastAsia"/>
                <w:b w:val="0"/>
                <w:color w:val="000000"/>
                <w:lang w:val="en-US" w:eastAsia="zh-CN"/>
              </w:rPr>
              <w:t>Li L, et al., 2021</w:t>
            </w:r>
            <w:r>
              <w:rPr>
                <w:rFonts w:hint="eastAsia"/>
                <w:b w:val="0"/>
                <w:color w:val="000000"/>
                <w:lang w:val="en-US" w:eastAsia="zh-CN"/>
              </w:rPr>
              <w:fldChar w:fldCharType="begin"/>
            </w:r>
            <w:r>
              <w:rPr>
                <w:rFonts w:hint="eastAsia"/>
                <w:b w:val="0"/>
                <w:color w:val="000000"/>
                <w:lang w:val="en-US" w:eastAsia="zh-CN"/>
              </w:rPr>
              <w:instrText xml:space="preserve"> ADDIN EN.CITE &lt;EndNote&gt;&lt;Cite&gt;&lt;Author&gt;LI Luwei&lt;/Author&gt;&lt;Year&gt;2021&lt;/Year&gt;&lt;RecNum&gt;536&lt;/RecNum&gt;&lt;DisplayText&gt;(48)&lt;/DisplayText&gt;&lt;record&gt;&lt;rec-number&gt;536&lt;/rec-number&gt;&lt;foreign-keys&gt;&lt;key app="EN" db-id="earspdaa1vazprerafqvx9tx5pvfaxf9awz0" timestamp="1775310702"&gt;536&lt;/key&gt;&lt;/foreign-keys&gt;&lt;ref-type name="期刊文献"&gt;17&lt;/ref-type&gt;&lt;contributors&gt;&lt;authors&gt;&lt;author&gt;LI Luwei, HUANG Qian, SHI Jiacheng, LIU Xiaoling, WANG Caimei, YU Ping, WU Lan, QIN Yang, JIANG Renmei, YU Jian&lt;/author&gt;&lt;/authors&gt;&lt;/contributors&gt;&lt;titles&gt;&lt;title&gt;Construction and evaluation of hyperuricemia prediction model for overweight and obese population&lt;/title&gt;&lt;secondary-title&gt;The Journal of Practical Medicine&lt;/secondary-title&gt;&lt;/titles&gt;&lt;periodical&gt;&lt;full-title&gt;The Journal of Practical Medicine&lt;/full-title&gt;&lt;/periodical&gt;&lt;pages&gt;2401-2406&lt;/pages&gt;&lt;volume&gt;37&lt;/volume&gt;&lt;number&gt;18&lt;/number&gt;&lt;section&gt;2401&lt;/section&gt;&lt;dates&gt;&lt;year&gt;2021&lt;/year&gt;&lt;/dates&gt;&lt;urls&gt;&lt;/urls&gt;&lt;electronic-resource-num&gt;DOI: 10.3969/j.issn.1006-5725.2021.18.019&lt;/electronic-resource-num&gt;&lt;/record&gt;&lt;/Cite&gt;&lt;/EndNote&gt;</w:instrText>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(48)</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5AB2197F">
            <w:pPr>
              <w:spacing w:line="240" w:lineRule="auto"/>
              <w:rPr>
                <w:rFonts w:hint="eastAsia"/>
                <w:b w:val="0"/>
                <w:color w:val="000000"/>
                <w:lang w:val="en-US" w:eastAsia="zh-CN"/>
              </w:rPr>
            </w:pPr>
            <w:r>
              <w:rPr>
                <w:rFonts w:hint="eastAsia"/>
                <w:b w:val="0"/>
                <w:color w:val="000000"/>
                <w:lang w:val="en-US" w:eastAsia="zh-CN"/>
              </w:rPr>
              <w:t>21A,21B</w:t>
            </w:r>
          </w:p>
        </w:tc>
        <w:tc>
          <w:tcPr>
            <w:tcW w:w="2835" w:type="dxa"/>
            <w:tcBorders>
              <w:top w:val="single" w:color="000000" w:sz="4" w:space="0"/>
              <w:left w:val="nil"/>
              <w:bottom w:val="single" w:color="000000" w:sz="4" w:space="0"/>
              <w:right w:val="nil"/>
            </w:tcBorders>
            <w:shd w:val="clear" w:color="auto" w:fill="FFFFFF"/>
            <w:noWrap/>
            <w:vAlign w:val="center"/>
          </w:tcPr>
          <w:p w14:paraId="06C9D230">
            <w:pPr>
              <w:spacing w:line="240" w:lineRule="auto"/>
              <w:rPr>
                <w:rFonts w:hint="eastAsia"/>
                <w:b w:val="0"/>
                <w:color w:val="000000"/>
                <w:lang w:val="en-US" w:eastAsia="zh-CN"/>
              </w:rPr>
            </w:pPr>
            <w:r>
              <w:rPr>
                <w:rFonts w:hint="eastAsia"/>
                <w:b w:val="0"/>
                <w:color w:val="000000"/>
                <w:lang w:val="en-US" w:eastAsia="zh-CN"/>
              </w:rPr>
              <w:t>Age, sex</w:t>
            </w:r>
          </w:p>
        </w:tc>
        <w:tc>
          <w:tcPr>
            <w:tcW w:w="2835" w:type="dxa"/>
            <w:tcBorders>
              <w:top w:val="single" w:color="000000" w:sz="4" w:space="0"/>
              <w:left w:val="nil"/>
              <w:bottom w:val="single" w:color="000000" w:sz="4" w:space="0"/>
              <w:right w:val="nil"/>
            </w:tcBorders>
            <w:shd w:val="clear" w:color="auto" w:fill="FFFFFF"/>
            <w:noWrap/>
            <w:vAlign w:val="center"/>
          </w:tcPr>
          <w:p w14:paraId="568559E8">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52B79E58">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2380C921">
            <w:pPr>
              <w:spacing w:line="240" w:lineRule="auto"/>
              <w:rPr>
                <w:rFonts w:hint="eastAsia"/>
                <w:b w:val="0"/>
                <w:color w:val="000000"/>
                <w:lang w:val="en-US" w:eastAsia="zh-CN"/>
              </w:rPr>
            </w:pPr>
            <w:r>
              <w:rPr>
                <w:rFonts w:hint="eastAsia"/>
                <w:b w:val="0"/>
                <w:color w:val="000000"/>
                <w:lang w:val="en-US" w:eastAsia="zh-CN"/>
              </w:rPr>
              <w:t>Creatinine (Cr), total cholesterol (TC), high-density lipoprotein cholesterol (HDL-C), low-density lipoprotein cholesterol (LDL-C)</w:t>
            </w:r>
          </w:p>
        </w:tc>
      </w:tr>
      <w:tr w14:paraId="336D0CE6">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15517A41">
            <w:pPr>
              <w:spacing w:line="240" w:lineRule="auto"/>
              <w:rPr>
                <w:rFonts w:hint="eastAsia"/>
                <w:b w:val="0"/>
                <w:color w:val="000000"/>
                <w:lang w:val="en-US" w:eastAsia="zh-CN"/>
              </w:rPr>
            </w:pPr>
            <w:r>
              <w:rPr>
                <w:rFonts w:hint="eastAsia"/>
                <w:b w:val="0"/>
                <w:color w:val="000000"/>
                <w:lang w:val="en-US" w:eastAsia="zh-CN"/>
              </w:rPr>
              <w:t>Yu X, et al., 2024</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PEVuZE5vdGU+PENpdGU+PEF1dGhvcj5ZdTwvQXV0aG9yPjxZZWFyPjIwMjQ8L1llYXI+PFJlY051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(49)</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0688D5F6">
            <w:pPr>
              <w:spacing w:line="240" w:lineRule="auto"/>
              <w:rPr>
                <w:rFonts w:hint="eastAsia"/>
                <w:b w:val="0"/>
                <w:color w:val="000000"/>
                <w:lang w:val="en-US" w:eastAsia="zh-CN"/>
              </w:rPr>
            </w:pPr>
            <w:r>
              <w:rPr>
                <w:rFonts w:hint="eastAsia"/>
                <w:b w:val="0"/>
                <w:color w:val="000000"/>
                <w:lang w:val="en-US" w:eastAsia="zh-CN"/>
              </w:rPr>
              <w:t>22</w:t>
            </w:r>
          </w:p>
        </w:tc>
        <w:tc>
          <w:tcPr>
            <w:tcW w:w="2835" w:type="dxa"/>
            <w:tcBorders>
              <w:top w:val="single" w:color="000000" w:sz="4" w:space="0"/>
              <w:left w:val="nil"/>
              <w:bottom w:val="single" w:color="000000" w:sz="4" w:space="0"/>
              <w:right w:val="nil"/>
            </w:tcBorders>
            <w:shd w:val="clear" w:color="auto" w:fill="FFFFFF"/>
            <w:noWrap/>
            <w:vAlign w:val="center"/>
          </w:tcPr>
          <w:p w14:paraId="06F475E8">
            <w:pPr>
              <w:spacing w:line="240" w:lineRule="auto"/>
              <w:rPr>
                <w:rFonts w:hint="eastAsia"/>
                <w:b w:val="0"/>
                <w:color w:val="000000"/>
                <w:lang w:val="en-US" w:eastAsia="zh-CN"/>
              </w:rPr>
            </w:pPr>
            <w:r>
              <w:rPr>
                <w:rFonts w:hint="eastAsia"/>
                <w:b w:val="0"/>
                <w:color w:val="000000"/>
                <w:lang w:val="en-US" w:eastAsia="zh-CN"/>
              </w:rPr>
              <w:t>Sex, weekday sleep duration, poverty-income ratio, mental health treatment history, daytime sleepiness</w:t>
            </w:r>
          </w:p>
        </w:tc>
        <w:tc>
          <w:tcPr>
            <w:tcW w:w="2835" w:type="dxa"/>
            <w:tcBorders>
              <w:top w:val="single" w:color="000000" w:sz="4" w:space="0"/>
              <w:left w:val="nil"/>
              <w:bottom w:val="single" w:color="000000" w:sz="4" w:space="0"/>
              <w:right w:val="nil"/>
            </w:tcBorders>
            <w:shd w:val="clear" w:color="auto" w:fill="FFFFFF"/>
            <w:noWrap/>
            <w:vAlign w:val="center"/>
          </w:tcPr>
          <w:p w14:paraId="7A7DAA84">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5C547368">
            <w:pPr>
              <w:spacing w:line="240" w:lineRule="auto"/>
              <w:rPr>
                <w:rFonts w:hint="eastAsia"/>
                <w:b w:val="0"/>
                <w:color w:val="000000"/>
                <w:lang w:val="en-US" w:eastAsia="zh-CN"/>
              </w:rPr>
            </w:pPr>
            <w:r>
              <w:rPr>
                <w:rFonts w:hint="eastAsia"/>
                <w:b w:val="0"/>
                <w:color w:val="000000"/>
                <w:lang w:val="en-US" w:eastAsia="zh-CN"/>
              </w:rPr>
              <w:t>Hypertension, diabetes</w:t>
            </w:r>
          </w:p>
        </w:tc>
        <w:tc>
          <w:tcPr>
            <w:tcW w:w="2835" w:type="dxa"/>
            <w:tcBorders>
              <w:top w:val="single" w:color="000000" w:sz="4" w:space="0"/>
              <w:left w:val="nil"/>
              <w:bottom w:val="single" w:color="000000" w:sz="4" w:space="0"/>
              <w:right w:val="nil"/>
            </w:tcBorders>
            <w:shd w:val="clear" w:color="auto" w:fill="FFFFFF"/>
            <w:noWrap/>
            <w:vAlign w:val="center"/>
          </w:tcPr>
          <w:p w14:paraId="7E329B42">
            <w:pPr>
              <w:spacing w:line="240" w:lineRule="auto"/>
              <w:rPr>
                <w:rFonts w:hint="eastAsia"/>
                <w:b w:val="0"/>
                <w:color w:val="000000"/>
                <w:lang w:val="en-US" w:eastAsia="zh-CN"/>
              </w:rPr>
            </w:pPr>
            <w:r>
              <w:rPr>
                <w:rFonts w:hint="eastAsia"/>
                <w:b w:val="0"/>
                <w:color w:val="000000"/>
                <w:lang w:val="en-US" w:eastAsia="zh-CN"/>
              </w:rPr>
              <w:t>None</w:t>
            </w:r>
          </w:p>
        </w:tc>
      </w:tr>
      <w:tr w14:paraId="63A4EE80">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439BDC66">
            <w:pPr>
              <w:spacing w:line="240" w:lineRule="auto"/>
              <w:rPr>
                <w:rFonts w:hint="eastAsia"/>
                <w:b w:val="0"/>
                <w:color w:val="000000"/>
                <w:lang w:val="en-US" w:eastAsia="zh-CN"/>
              </w:rPr>
            </w:pPr>
            <w:r>
              <w:rPr>
                <w:rFonts w:hint="eastAsia"/>
                <w:b w:val="0"/>
                <w:color w:val="000000"/>
                <w:lang w:val="en-US" w:eastAsia="zh-CN"/>
              </w:rPr>
              <w:t>Yu C, et al., 2025</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PEVuZE5vdGU+PENpdGU+PEF1dGhvcj5ZdTwvQXV0aG9yPjxZZWFyPjIwMjU8L1llYXI+PFJlY051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Y3VzdG9tMT48Y3VzdG9tMj5QTUMxMjExNjMxMzwvY3VzdG9tMj48ZWxlY3Ryb25pYy1yZXNvdXJj
ZS1udW0+MTAuMzM4OS9mcHViaC4yMDI1LjE1NzQzODY8L2VsZWN0cm9uaWMtcmVzb3VyY2UtbnVt
PjxyZW1vdGUtZGF0YWJhc2UtcHJvdmlkZXI+TkxNPC9yZW1vdGUtZGF0YWJhc2UtcHJvdmlkZXI+
PGxhbmd1YWdlPmVuZzwvbGFuZ3VhZ2U+PC9yZWNvcmQ+PC9DaXRlPjwvRW5kTm90ZT4=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(50)</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3534F6F7">
            <w:pPr>
              <w:spacing w:line="240" w:lineRule="auto"/>
              <w:rPr>
                <w:rFonts w:hint="eastAsia"/>
                <w:b w:val="0"/>
                <w:color w:val="000000"/>
                <w:lang w:val="en-US" w:eastAsia="zh-CN"/>
              </w:rPr>
            </w:pPr>
            <w:r>
              <w:rPr>
                <w:rFonts w:hint="eastAsia"/>
                <w:b w:val="0"/>
                <w:color w:val="000000"/>
                <w:lang w:val="en-US" w:eastAsia="zh-CN"/>
              </w:rPr>
              <w:t>23</w:t>
            </w:r>
          </w:p>
        </w:tc>
        <w:tc>
          <w:tcPr>
            <w:tcW w:w="2835" w:type="dxa"/>
            <w:tcBorders>
              <w:top w:val="single" w:color="000000" w:sz="4" w:space="0"/>
              <w:left w:val="nil"/>
              <w:bottom w:val="single" w:color="000000" w:sz="4" w:space="0"/>
              <w:right w:val="nil"/>
            </w:tcBorders>
            <w:shd w:val="clear" w:color="auto" w:fill="FFFFFF"/>
            <w:noWrap/>
            <w:vAlign w:val="center"/>
          </w:tcPr>
          <w:p w14:paraId="12164068">
            <w:pPr>
              <w:spacing w:line="240" w:lineRule="auto"/>
              <w:rPr>
                <w:rFonts w:hint="eastAsia"/>
                <w:b w:val="0"/>
                <w:color w:val="000000"/>
                <w:lang w:val="en-US" w:eastAsia="zh-CN"/>
              </w:rPr>
            </w:pPr>
            <w:r>
              <w:rPr>
                <w:rFonts w:hint="eastAsia"/>
                <w:b w:val="0"/>
                <w:color w:val="000000"/>
                <w:lang w:val="en-US" w:eastAsia="zh-CN"/>
              </w:rPr>
              <w:t>Age, sleep duration</w:t>
            </w:r>
          </w:p>
        </w:tc>
        <w:tc>
          <w:tcPr>
            <w:tcW w:w="2835" w:type="dxa"/>
            <w:tcBorders>
              <w:top w:val="single" w:color="000000" w:sz="4" w:space="0"/>
              <w:left w:val="nil"/>
              <w:bottom w:val="single" w:color="000000" w:sz="4" w:space="0"/>
              <w:right w:val="nil"/>
            </w:tcBorders>
            <w:shd w:val="clear" w:color="auto" w:fill="FFFFFF"/>
            <w:noWrap/>
            <w:vAlign w:val="center"/>
          </w:tcPr>
          <w:p w14:paraId="1129FBFC">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4CF04C81">
            <w:pPr>
              <w:spacing w:line="240" w:lineRule="auto"/>
              <w:rPr>
                <w:rFonts w:hint="eastAsia"/>
                <w:b w:val="0"/>
                <w:color w:val="000000"/>
                <w:lang w:val="en-US" w:eastAsia="zh-CN"/>
              </w:rPr>
            </w:pPr>
            <w:r>
              <w:rPr>
                <w:rFonts w:hint="eastAsia"/>
                <w:b w:val="0"/>
                <w:color w:val="000000"/>
                <w:lang w:val="en-US" w:eastAsia="zh-CN"/>
              </w:rPr>
              <w:t>Renal diseases, digestive diseases, rheumatism and arthritis</w:t>
            </w:r>
          </w:p>
        </w:tc>
        <w:tc>
          <w:tcPr>
            <w:tcW w:w="2835" w:type="dxa"/>
            <w:tcBorders>
              <w:top w:val="single" w:color="000000" w:sz="4" w:space="0"/>
              <w:left w:val="nil"/>
              <w:bottom w:val="single" w:color="000000" w:sz="4" w:space="0"/>
              <w:right w:val="nil"/>
            </w:tcBorders>
            <w:shd w:val="clear" w:color="auto" w:fill="FFFFFF"/>
            <w:noWrap/>
            <w:vAlign w:val="center"/>
          </w:tcPr>
          <w:p w14:paraId="76479733">
            <w:pPr>
              <w:spacing w:line="240" w:lineRule="auto"/>
              <w:rPr>
                <w:rFonts w:hint="eastAsia"/>
                <w:b w:val="0"/>
                <w:color w:val="000000"/>
                <w:lang w:val="en-US" w:eastAsia="zh-CN"/>
              </w:rPr>
            </w:pPr>
            <w:r>
              <w:rPr>
                <w:rFonts w:hint="eastAsia"/>
                <w:b w:val="0"/>
                <w:color w:val="000000"/>
                <w:lang w:val="en-US" w:eastAsia="zh-CN"/>
              </w:rPr>
              <w:t>Respiratory function (peak expiratory flow), grip strength</w:t>
            </w:r>
          </w:p>
        </w:tc>
      </w:tr>
      <w:tr w14:paraId="04AB594A">
        <w:trPr>
          <w:trHeight w:val="351" w:hRule="atLeast"/>
        </w:trPr>
        <w:tc>
          <w:tcPr>
            <w:tcW w:w="1259" w:type="dxa"/>
            <w:tcBorders>
              <w:top w:val="single" w:color="000000" w:sz="4" w:space="0"/>
              <w:left w:val="nil"/>
              <w:bottom w:val="single" w:color="000000" w:sz="4" w:space="0"/>
              <w:right w:val="nil"/>
            </w:tcBorders>
            <w:shd w:val="clear" w:color="auto" w:fill="FFFFFF"/>
            <w:noWrap/>
            <w:vAlign w:val="center"/>
          </w:tcPr>
          <w:p w14:paraId="63389D81">
            <w:pPr>
              <w:spacing w:line="240" w:lineRule="auto"/>
              <w:rPr>
                <w:rFonts w:hint="eastAsia"/>
                <w:b w:val="0"/>
                <w:color w:val="000000"/>
                <w:lang w:val="en-US" w:eastAsia="zh-CN"/>
              </w:rPr>
            </w:pPr>
            <w:r>
              <w:rPr>
                <w:rFonts w:hint="eastAsia"/>
                <w:b w:val="0"/>
                <w:color w:val="000000"/>
                <w:lang w:val="en-US" w:eastAsia="zh-CN"/>
              </w:rPr>
              <w:t>Lei C, et al., 2024</w:t>
            </w:r>
            <w:r>
              <w:rPr>
                <w:rFonts w:hint="eastAsia"/>
                <w:b w:val="0"/>
                <w:color w:val="000000"/>
                <w:lang w:val="en-US" w:eastAsia="zh-CN"/>
              </w:rPr>
              <w:fldChar w:fldCharType="begin"/>
            </w:r>
            <w:r>
              <w:rPr>
                <w:rFonts w:hint="eastAsia"/>
                <w:b w:val="0"/>
                <w:color w:val="000000"/>
                <w:lang w:val="en-US" w:eastAsia="zh-CN"/>
              </w:rPr>
              <w:instrText xml:space="preserve"> ADDIN EN.CITE </w:instrText>
            </w:r>
            <w:r>
              <w:rPr>
                <w:rFonts w:hint="eastAsia"/>
                <w:b w:val="0"/>
                <w:color w:val="000000"/>
                <w:lang w:val="en-US" w:eastAsia="zh-CN"/>
              </w:rPr>
              <w:fldChar w:fldCharType="begin">
                <w:fldData xml:space="preserve">PEVuZE5vdGU+PENpdGU+PEF1dGhvcj5MZWk8L0F1dGhvcj48WWVhcj4yMDI0PC9ZZWFyPjxSZWNO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cyBhIHBvdGVudGlhbCBjb25mbGljdCBvZiBpbnRlcmVzdC4gVGhlIGF1dGhvcihzKSBkZWNsYXJl
ZCB0aGF0IHRoZXkgd2VyZSBhbiBlZGl0b3JpYWwgYm9hcmQgbWVtYmVyIG9mIEZyb250aWVycywg
YXQgdGhlIHRpbWUgb2Ygc3VibWlzc2lvbi4gVGhpcyBoYWQgbm8gaW1wYWN0IG9uIHRoZSBwZWVy
IHJldmlldyBwcm9jZXNzIGFuZCB0aGUgZmluYWwgZGVjaXNpb24uPC9jdXN0b20xPjxjdXN0b20y
PlBNQzEwOTMyOTU2PC9jdXN0b20yPjxlbGVjdHJvbmljLXJlc291cmNlLW51bT4xMC4zMzg5L2Zl
bmRvLjIwMjQuMTI5MDI4NjwvZWxlY3Ryb25pYy1yZXNvdXJjZS1udW0+PHJlbW90ZS1kYXRhYmFz
ZS1wcm92aWRlcj5OTE08L3JlbW90ZS1kYXRhYmFzZS1wcm92aWRlcj48bGFuZ3VhZ2U+ZW5nPC9s
YW5ndWFnZT48L3JlY29yZD48L0NpdGU+PC9FbmROb3RlPg==
</w:fldData>
              </w:fldChar>
            </w:r>
            <w:r>
              <w:rPr>
                <w:rFonts w:hint="eastAsia"/>
                <w:b w:val="0"/>
                <w:color w:val="000000"/>
                <w:lang w:val="en-US" w:eastAsia="zh-CN"/>
              </w:rPr>
              <w:instrText xml:space="preserve"> ADDIN EN.CITE.DATA </w:instrText>
            </w:r>
            <w:r>
              <w:rPr>
                <w:rFonts w:hint="eastAsia"/>
                <w:b w:val="0"/>
                <w:color w:val="000000"/>
                <w:lang w:val="en-US" w:eastAsia="zh-CN"/>
              </w:rPr>
              <w:fldChar w:fldCharType="separate"/>
            </w:r>
            <w:r>
              <w:rPr>
                <w:rFonts w:hint="eastAsia"/>
                <w:b w:val="0"/>
                <w:color w:val="000000"/>
                <w:lang w:val="en-US" w:eastAsia="zh-CN"/>
              </w:rPr>
              <w:fldChar w:fldCharType="end"/>
            </w:r>
            <w:r>
              <w:rPr>
                <w:rFonts w:hint="eastAsia"/>
                <w:b w:val="0"/>
                <w:color w:val="000000"/>
                <w:lang w:val="en-US" w:eastAsia="zh-CN"/>
              </w:rPr>
              <w:fldChar w:fldCharType="separate"/>
            </w:r>
            <w:r>
              <w:rPr>
                <w:rFonts w:hint="eastAsia" w:ascii="Times New Roman" w:hAnsi="Times New Roman" w:eastAsia="KaiTi_GB2312" w:cstheme="minorBidi"/>
                <w:b w:val="0"/>
                <w:color w:val="000000"/>
                <w:sz w:val="21"/>
                <w:szCs w:val="22"/>
                <w:lang w:val="en-US" w:eastAsia="zh-CN" w:bidi="ar-SA"/>
              </w:rPr>
              <w:t>(51)</w:t>
            </w:r>
            <w:r>
              <w:rPr>
                <w:rFonts w:hint="eastAsia"/>
                <w:b w:val="0"/>
                <w:color w:val="000000"/>
                <w:lang w:val="en-US" w:eastAsia="zh-CN"/>
              </w:rPr>
              <w:fldChar w:fldCharType="end"/>
            </w:r>
          </w:p>
        </w:tc>
        <w:tc>
          <w:tcPr>
            <w:tcW w:w="1216" w:type="dxa"/>
            <w:tcBorders>
              <w:top w:val="single" w:color="000000" w:sz="4" w:space="0"/>
              <w:left w:val="nil"/>
              <w:bottom w:val="single" w:color="000000" w:sz="4" w:space="0"/>
              <w:right w:val="nil"/>
            </w:tcBorders>
            <w:shd w:val="clear" w:color="auto" w:fill="FFFFFF"/>
            <w:noWrap/>
            <w:vAlign w:val="center"/>
          </w:tcPr>
          <w:p w14:paraId="14DAF7AD">
            <w:pPr>
              <w:spacing w:line="240" w:lineRule="auto"/>
              <w:rPr>
                <w:rFonts w:hint="eastAsia"/>
                <w:b w:val="0"/>
                <w:color w:val="000000"/>
                <w:lang w:val="en-US" w:eastAsia="zh-CN"/>
              </w:rPr>
            </w:pPr>
            <w:r>
              <w:rPr>
                <w:rFonts w:hint="eastAsia"/>
                <w:b w:val="0"/>
                <w:color w:val="000000"/>
                <w:lang w:val="en-US" w:eastAsia="zh-CN"/>
              </w:rPr>
              <w:t>24</w:t>
            </w:r>
          </w:p>
        </w:tc>
        <w:tc>
          <w:tcPr>
            <w:tcW w:w="2835" w:type="dxa"/>
            <w:tcBorders>
              <w:top w:val="single" w:color="000000" w:sz="4" w:space="0"/>
              <w:left w:val="nil"/>
              <w:bottom w:val="single" w:color="000000" w:sz="4" w:space="0"/>
              <w:right w:val="nil"/>
            </w:tcBorders>
            <w:shd w:val="clear" w:color="auto" w:fill="FFFFFF"/>
            <w:noWrap/>
            <w:vAlign w:val="center"/>
          </w:tcPr>
          <w:p w14:paraId="1B2288F5">
            <w:pPr>
              <w:spacing w:line="240" w:lineRule="auto"/>
              <w:rPr>
                <w:rFonts w:hint="eastAsia"/>
                <w:b w:val="0"/>
                <w:color w:val="000000"/>
                <w:lang w:val="en-US" w:eastAsia="zh-CN"/>
              </w:rPr>
            </w:pPr>
            <w:r>
              <w:rPr>
                <w:rFonts w:hint="eastAsia"/>
                <w:b w:val="0"/>
                <w:color w:val="000000"/>
                <w:lang w:val="en-US" w:eastAsia="zh-CN"/>
              </w:rPr>
              <w:t>Age, sex, educational level, moderate-intensity occupational physical activity</w:t>
            </w:r>
          </w:p>
        </w:tc>
        <w:tc>
          <w:tcPr>
            <w:tcW w:w="2835" w:type="dxa"/>
            <w:tcBorders>
              <w:top w:val="single" w:color="000000" w:sz="4" w:space="0"/>
              <w:left w:val="nil"/>
              <w:bottom w:val="single" w:color="000000" w:sz="4" w:space="0"/>
              <w:right w:val="nil"/>
            </w:tcBorders>
            <w:shd w:val="clear" w:color="auto" w:fill="FFFFFF"/>
            <w:noWrap/>
            <w:vAlign w:val="center"/>
          </w:tcPr>
          <w:p w14:paraId="0472D8FE">
            <w:pPr>
              <w:spacing w:line="240" w:lineRule="auto"/>
              <w:rPr>
                <w:rFonts w:hint="eastAsia"/>
                <w:b w:val="0"/>
                <w:color w:val="000000"/>
                <w:lang w:val="en-US" w:eastAsia="zh-CN"/>
              </w:rPr>
            </w:pPr>
            <w:r>
              <w:rPr>
                <w:rFonts w:hint="eastAsia"/>
                <w:b w:val="0"/>
                <w:color w:val="000000"/>
                <w:lang w:val="en-US" w:eastAsia="zh-CN"/>
              </w:rPr>
              <w:t>None</w:t>
            </w:r>
          </w:p>
        </w:tc>
        <w:tc>
          <w:tcPr>
            <w:tcW w:w="2835" w:type="dxa"/>
            <w:tcBorders>
              <w:top w:val="single" w:color="000000" w:sz="4" w:space="0"/>
              <w:left w:val="nil"/>
              <w:bottom w:val="single" w:color="000000" w:sz="4" w:space="0"/>
              <w:right w:val="nil"/>
            </w:tcBorders>
            <w:shd w:val="clear" w:color="auto" w:fill="FFFFFF"/>
            <w:noWrap/>
            <w:vAlign w:val="center"/>
          </w:tcPr>
          <w:p w14:paraId="7C0A79F0">
            <w:pPr>
              <w:spacing w:line="240" w:lineRule="auto"/>
              <w:rPr>
                <w:rFonts w:hint="eastAsia"/>
                <w:b w:val="0"/>
                <w:color w:val="000000"/>
                <w:lang w:val="en-US" w:eastAsia="zh-CN"/>
              </w:rPr>
            </w:pPr>
            <w:r>
              <w:rPr>
                <w:rFonts w:hint="eastAsia"/>
                <w:b w:val="0"/>
                <w:color w:val="000000"/>
                <w:lang w:val="en-US" w:eastAsia="zh-CN"/>
              </w:rPr>
              <w:t>Depression</w:t>
            </w:r>
          </w:p>
        </w:tc>
        <w:tc>
          <w:tcPr>
            <w:tcW w:w="2835" w:type="dxa"/>
            <w:tcBorders>
              <w:top w:val="single" w:color="000000" w:sz="4" w:space="0"/>
              <w:left w:val="nil"/>
              <w:bottom w:val="single" w:color="000000" w:sz="4" w:space="0"/>
              <w:right w:val="nil"/>
            </w:tcBorders>
            <w:shd w:val="clear" w:color="auto" w:fill="FFFFFF"/>
            <w:noWrap/>
            <w:vAlign w:val="center"/>
          </w:tcPr>
          <w:p w14:paraId="698342DC">
            <w:pPr>
              <w:spacing w:line="240" w:lineRule="auto"/>
              <w:rPr>
                <w:rFonts w:hint="eastAsia"/>
                <w:b w:val="0"/>
                <w:color w:val="000000"/>
                <w:lang w:val="en-US" w:eastAsia="zh-CN"/>
              </w:rPr>
            </w:pPr>
            <w:r>
              <w:rPr>
                <w:rFonts w:hint="eastAsia"/>
                <w:b w:val="0"/>
                <w:color w:val="000000"/>
                <w:lang w:val="en-US" w:eastAsia="zh-CN"/>
              </w:rPr>
              <w:t>24-hour total fat intake, red blood cell folate concentration</w:t>
            </w:r>
          </w:p>
        </w:tc>
      </w:tr>
    </w:tbl>
    <w:p w14:paraId="611F4407">
      <w:pPr>
        <w:spacing w:line="360" w:lineRule="auto"/>
        <w:rPr>
          <w:rFonts w:hint="eastAsia"/>
          <w:lang w:val="en-US" w:eastAsia="zh-CN"/>
        </w:rPr>
      </w:pPr>
      <w:bookmarkStart w:id="42" w:name="_Toc13000"/>
      <w:r>
        <w:rPr>
          <w:rFonts w:hint="eastAsia"/>
          <w:lang w:val="en-US" w:eastAsia="zh-CN"/>
        </w:rPr>
        <w:br w:type="page"/>
      </w:r>
    </w:p>
    <w:p w14:paraId="7A387146">
      <w:pPr>
        <w:pStyle w:val="4"/>
        <w:bidi w:val="0"/>
        <w:spacing w:line="360" w:lineRule="auto"/>
        <w:rPr>
          <w:rFonts w:hint="eastAsia"/>
          <w:lang w:val="en-US" w:eastAsia="zh-CN"/>
        </w:rPr>
      </w:pPr>
      <w:bookmarkStart w:id="43" w:name="_Toc1740982347"/>
      <w:bookmarkStart w:id="44" w:name="_Toc260114475"/>
      <w:r>
        <w:t>Table S</w:t>
      </w:r>
      <w:r>
        <w:fldChar w:fldCharType="begin"/>
      </w:r>
      <w:r>
        <w:instrText xml:space="preserve"> SEQ Table_S \* ARABIC </w:instrText>
      </w:r>
      <w:r>
        <w:fldChar w:fldCharType="separate"/>
      </w:r>
      <w:r>
        <w:t>10</w:t>
      </w:r>
      <w:r>
        <w:fldChar w:fldCharType="end"/>
      </w:r>
      <w:r>
        <w:rPr>
          <w:rFonts w:hint="eastAsia"/>
          <w:lang w:val="en-US" w:eastAsia="zh-CN"/>
        </w:rPr>
        <w:t xml:space="preserve"> Frequency Distribution of Predictors by Study</w:t>
      </w:r>
      <w:bookmarkEnd w:id="42"/>
      <w:bookmarkEnd w:id="43"/>
      <w:bookmarkEnd w:id="44"/>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841"/>
        <w:gridCol w:w="11213"/>
      </w:tblGrid>
      <w:tr w14:paraId="4687CD89">
        <w:tc>
          <w:tcPr>
            <w:tcW w:w="2841" w:type="dxa"/>
            <w:tcBorders>
              <w:top w:val="single" w:color="000000" w:sz="12" w:space="0"/>
              <w:left w:val="nil"/>
              <w:bottom w:val="single" w:color="000000" w:sz="4" w:space="0"/>
              <w:right w:val="nil"/>
              <w:tl2br w:val="nil"/>
            </w:tcBorders>
            <w:shd w:val="clear" w:color="auto" w:fill="auto"/>
          </w:tcPr>
          <w:p w14:paraId="1C7F6D29">
            <w:pPr>
              <w:spacing w:line="240" w:lineRule="auto"/>
              <w:jc w:val="center"/>
              <w:rPr>
                <w:rFonts w:hint="default"/>
                <w:b/>
                <w:bCs/>
                <w:color w:val="000000"/>
                <w:vertAlign w:val="baseline"/>
                <w:lang w:val="en-US" w:eastAsia="zh-CN"/>
              </w:rPr>
            </w:pPr>
            <w:r>
              <w:rPr>
                <w:rFonts w:hint="default"/>
                <w:b/>
                <w:bCs/>
                <w:color w:val="000000"/>
                <w:vertAlign w:val="baseline"/>
                <w:lang w:val="en-US" w:eastAsia="zh-CN"/>
              </w:rPr>
              <w:t>Type of predictors</w:t>
            </w:r>
          </w:p>
        </w:tc>
        <w:tc>
          <w:tcPr>
            <w:tcW w:w="11213" w:type="dxa"/>
            <w:tcBorders>
              <w:top w:val="single" w:color="000000" w:sz="12" w:space="0"/>
              <w:left w:val="nil"/>
              <w:bottom w:val="single" w:color="000000" w:sz="4" w:space="0"/>
              <w:right w:val="nil"/>
            </w:tcBorders>
            <w:shd w:val="clear" w:color="auto" w:fill="auto"/>
          </w:tcPr>
          <w:p w14:paraId="3131E238">
            <w:pPr>
              <w:spacing w:line="240" w:lineRule="auto"/>
              <w:jc w:val="center"/>
              <w:rPr>
                <w:rFonts w:hint="default"/>
                <w:b/>
                <w:bCs/>
                <w:color w:val="000000"/>
                <w:vertAlign w:val="baseline"/>
                <w:lang w:val="en-US" w:eastAsia="zh-CN"/>
              </w:rPr>
            </w:pPr>
            <w:r>
              <w:rPr>
                <w:rFonts w:hint="default"/>
                <w:b/>
                <w:bCs/>
                <w:color w:val="000000"/>
                <w:vertAlign w:val="baseline"/>
                <w:lang w:val="en-US" w:eastAsia="zh-CN"/>
              </w:rPr>
              <w:t>Predictors (N)</w:t>
            </w:r>
          </w:p>
        </w:tc>
      </w:tr>
      <w:tr w14:paraId="4E6D05BF">
        <w:tc>
          <w:tcPr>
            <w:tcW w:w="2841" w:type="dxa"/>
            <w:tcBorders>
              <w:top w:val="single" w:color="000000" w:sz="4" w:space="0"/>
              <w:left w:val="nil"/>
              <w:bottom w:val="nil"/>
              <w:right w:val="nil"/>
            </w:tcBorders>
            <w:shd w:val="clear" w:color="auto" w:fill="auto"/>
            <w:vAlign w:val="top"/>
          </w:tcPr>
          <w:p w14:paraId="2FA07BCE">
            <w:pPr>
              <w:spacing w:line="240" w:lineRule="auto"/>
              <w:jc w:val="center"/>
              <w:rPr>
                <w:rFonts w:hint="eastAsia"/>
                <w:lang w:val="en-US" w:eastAsia="zh-CN"/>
              </w:rPr>
            </w:pPr>
            <w:r>
              <w:rPr>
                <w:rFonts w:hint="eastAsia"/>
                <w:lang w:val="en-US" w:eastAsia="zh-CN"/>
              </w:rPr>
              <w:t>Sociodemographic and Lifestyle Characteristics (N=</w:t>
            </w:r>
            <w:r>
              <w:rPr>
                <w:rFonts w:hint="default"/>
                <w:lang w:val="en-US" w:eastAsia="zh-CN"/>
              </w:rPr>
              <w:t>17</w:t>
            </w:r>
            <w:r>
              <w:rPr>
                <w:rFonts w:hint="eastAsia"/>
                <w:lang w:val="en-US" w:eastAsia="zh-CN"/>
              </w:rPr>
              <w:t>)</w:t>
            </w:r>
            <w:r>
              <w:rPr>
                <w:rStyle w:val="28"/>
                <w:rFonts w:hint="eastAsia"/>
                <w:lang w:val="en-US" w:eastAsia="zh-CN"/>
              </w:rPr>
              <w:footnoteReference w:id="0"/>
            </w:r>
          </w:p>
        </w:tc>
        <w:tc>
          <w:tcPr>
            <w:tcW w:w="11213" w:type="dxa"/>
            <w:tcBorders>
              <w:top w:val="single" w:color="000000" w:sz="4" w:space="0"/>
              <w:left w:val="nil"/>
              <w:bottom w:val="nil"/>
              <w:right w:val="nil"/>
            </w:tcBorders>
            <w:shd w:val="clear" w:color="auto" w:fill="auto"/>
          </w:tcPr>
          <w:p w14:paraId="4F54DA90">
            <w:pPr>
              <w:spacing w:line="240" w:lineRule="auto"/>
              <w:jc w:val="left"/>
              <w:rPr>
                <w:rFonts w:hint="eastAsia"/>
                <w:b w:val="0"/>
                <w:color w:val="000000"/>
                <w:vertAlign w:val="baseline"/>
                <w:lang w:val="en-US" w:eastAsia="zh-CN"/>
              </w:rPr>
            </w:pPr>
            <w:r>
              <w:rPr>
                <w:rFonts w:hint="default"/>
                <w:lang w:val="en-US" w:eastAsia="zh-CN"/>
              </w:rPr>
              <w:t>Age (15), sex (8), smoking status/smoking history/current smoking (3), sleep duration/weekday sleep duration (2), race (1), educational level (1), poverty-income ratio (1), moderate-intensity occupational activity (1), daytime sleepiness (1), mental health treatment history (1), family history of ASCVD (1), family history of type 2 diabetes (1)</w:t>
            </w:r>
          </w:p>
        </w:tc>
      </w:tr>
      <w:tr w14:paraId="5581BEE8">
        <w:tc>
          <w:tcPr>
            <w:tcW w:w="2841" w:type="dxa"/>
            <w:tcBorders>
              <w:top w:val="nil"/>
              <w:left w:val="nil"/>
              <w:bottom w:val="nil"/>
              <w:right w:val="nil"/>
            </w:tcBorders>
            <w:shd w:val="clear" w:color="auto" w:fill="auto"/>
            <w:vAlign w:val="top"/>
          </w:tcPr>
          <w:p w14:paraId="474E77D8">
            <w:pPr>
              <w:spacing w:line="240" w:lineRule="auto"/>
              <w:jc w:val="center"/>
              <w:rPr>
                <w:rFonts w:hint="default"/>
                <w:lang w:val="en-US" w:eastAsia="zh-CN"/>
              </w:rPr>
            </w:pPr>
            <w:r>
              <w:rPr>
                <w:rFonts w:hint="eastAsia"/>
                <w:lang w:val="en-US" w:eastAsia="zh-CN"/>
              </w:rPr>
              <w:t>Weight-related Characteristics (N=</w:t>
            </w:r>
            <w:r>
              <w:rPr>
                <w:rFonts w:hint="default"/>
                <w:lang w:val="en-US" w:eastAsia="zh-CN"/>
              </w:rPr>
              <w:t>17</w:t>
            </w:r>
            <w:r>
              <w:rPr>
                <w:rFonts w:hint="eastAsia"/>
                <w:lang w:val="en-US" w:eastAsia="zh-CN"/>
              </w:rPr>
              <w:t>)</w:t>
            </w:r>
          </w:p>
        </w:tc>
        <w:tc>
          <w:tcPr>
            <w:tcW w:w="11213" w:type="dxa"/>
            <w:tcBorders>
              <w:top w:val="nil"/>
              <w:left w:val="nil"/>
              <w:bottom w:val="nil"/>
              <w:right w:val="nil"/>
            </w:tcBorders>
            <w:shd w:val="clear" w:color="auto" w:fill="auto"/>
          </w:tcPr>
          <w:p w14:paraId="09CCE510">
            <w:pPr>
              <w:spacing w:line="240" w:lineRule="auto"/>
              <w:jc w:val="left"/>
              <w:rPr>
                <w:rFonts w:hint="eastAsia"/>
                <w:b w:val="0"/>
                <w:color w:val="000000"/>
                <w:vertAlign w:val="baseline"/>
                <w:lang w:val="en-US" w:eastAsia="zh-CN"/>
              </w:rPr>
            </w:pPr>
            <w:r>
              <w:rPr>
                <w:rFonts w:hint="eastAsia"/>
                <w:b w:val="0"/>
                <w:color w:val="000000"/>
                <w:vertAlign w:val="baseline"/>
                <w:lang w:val="en-US" w:eastAsia="zh-CN"/>
              </w:rPr>
              <w:t>BMI (1</w:t>
            </w:r>
            <w:r>
              <w:rPr>
                <w:rFonts w:hint="default"/>
                <w:b w:val="0"/>
                <w:color w:val="000000"/>
                <w:vertAlign w:val="baseline"/>
                <w:lang w:val="en-US" w:eastAsia="zh-CN"/>
              </w:rPr>
              <w:t>2</w:t>
            </w:r>
            <w:r>
              <w:rPr>
                <w:rFonts w:hint="eastAsia"/>
                <w:b w:val="0"/>
                <w:color w:val="000000"/>
                <w:vertAlign w:val="baseline"/>
                <w:lang w:val="en-US" w:eastAsia="zh-CN"/>
              </w:rPr>
              <w:t>), waist circumference (WC) (</w:t>
            </w:r>
            <w:r>
              <w:rPr>
                <w:rFonts w:hint="default"/>
                <w:b w:val="0"/>
                <w:color w:val="000000"/>
                <w:vertAlign w:val="baseline"/>
                <w:lang w:val="en-US" w:eastAsia="zh-CN"/>
              </w:rPr>
              <w:t>3</w:t>
            </w:r>
            <w:r>
              <w:rPr>
                <w:rFonts w:hint="eastAsia"/>
                <w:b w:val="0"/>
                <w:color w:val="000000"/>
                <w:vertAlign w:val="baseline"/>
                <w:lang w:val="en-US" w:eastAsia="zh-CN"/>
              </w:rPr>
              <w:t>), neck circumference (NC) (</w:t>
            </w:r>
            <w:r>
              <w:rPr>
                <w:rFonts w:hint="default"/>
                <w:b w:val="0"/>
                <w:color w:val="000000"/>
                <w:vertAlign w:val="baseline"/>
                <w:lang w:val="en-US" w:eastAsia="zh-CN"/>
              </w:rPr>
              <w:t>2</w:t>
            </w:r>
            <w:r>
              <w:rPr>
                <w:rFonts w:hint="eastAsia"/>
                <w:b w:val="0"/>
                <w:color w:val="000000"/>
                <w:vertAlign w:val="baseline"/>
                <w:lang w:val="en-US" w:eastAsia="zh-CN"/>
              </w:rPr>
              <w:t>), waist-to-hip ratio (WHR) (2), body weight (1), tri-ponderal mass index (TMI) (1), thigh circumference (1), chest circumference (CC) (1), body adiposity index (BAI) (1), a body shape index (ABSI) (1), abdominal volume index (AVI) (1), ponderal index (PI) (1), appendicular skeletal muscle mass index (ASMI) (1), limb fat-to-weight ratio (LFWR) (1), trunk muscle-to-weight ratio (TMWR) (1), abdominal visceral adipose tissue area (aVAT) (1), fat mass/muscle mass (1), visceral fat area/muscle mass (1)</w:t>
            </w:r>
          </w:p>
        </w:tc>
      </w:tr>
      <w:tr w14:paraId="3C918E27">
        <w:tc>
          <w:tcPr>
            <w:tcW w:w="2841" w:type="dxa"/>
            <w:tcBorders>
              <w:top w:val="nil"/>
              <w:left w:val="nil"/>
              <w:bottom w:val="nil"/>
              <w:right w:val="nil"/>
            </w:tcBorders>
            <w:shd w:val="clear" w:color="auto" w:fill="auto"/>
            <w:vAlign w:val="top"/>
          </w:tcPr>
          <w:p w14:paraId="3D0271F1">
            <w:pPr>
              <w:spacing w:line="240" w:lineRule="auto"/>
              <w:jc w:val="center"/>
              <w:rPr>
                <w:rFonts w:hint="default"/>
                <w:lang w:val="en-US" w:eastAsia="zh-CN"/>
              </w:rPr>
            </w:pPr>
            <w:r>
              <w:rPr>
                <w:rFonts w:hint="eastAsia"/>
                <w:lang w:val="en-US" w:eastAsia="zh-CN"/>
              </w:rPr>
              <w:t>Chronic Disease History Characteristics (N=</w:t>
            </w:r>
            <w:r>
              <w:rPr>
                <w:rFonts w:hint="default"/>
                <w:lang w:val="en-US" w:eastAsia="zh-CN"/>
              </w:rPr>
              <w:t>12</w:t>
            </w:r>
            <w:r>
              <w:rPr>
                <w:rFonts w:hint="eastAsia"/>
                <w:lang w:val="en-US" w:eastAsia="zh-CN"/>
              </w:rPr>
              <w:t>)</w:t>
            </w:r>
          </w:p>
        </w:tc>
        <w:tc>
          <w:tcPr>
            <w:tcW w:w="11213" w:type="dxa"/>
            <w:tcBorders>
              <w:top w:val="nil"/>
              <w:left w:val="nil"/>
              <w:bottom w:val="nil"/>
              <w:right w:val="nil"/>
            </w:tcBorders>
            <w:shd w:val="clear" w:color="auto" w:fill="auto"/>
          </w:tcPr>
          <w:p w14:paraId="3271C8BA">
            <w:pPr>
              <w:spacing w:line="240" w:lineRule="auto"/>
              <w:jc w:val="left"/>
              <w:rPr>
                <w:rFonts w:hint="eastAsia"/>
                <w:b w:val="0"/>
                <w:color w:val="000000"/>
                <w:vertAlign w:val="baseline"/>
                <w:lang w:val="en-US" w:eastAsia="zh-CN"/>
              </w:rPr>
            </w:pPr>
            <w:r>
              <w:rPr>
                <w:rFonts w:hint="eastAsia"/>
                <w:b w:val="0"/>
                <w:color w:val="000000"/>
                <w:vertAlign w:val="baseline"/>
                <w:lang w:val="en-US" w:eastAsia="zh-CN"/>
              </w:rPr>
              <w:t>Hypertension (</w:t>
            </w:r>
            <w:r>
              <w:rPr>
                <w:rFonts w:hint="default"/>
                <w:b w:val="0"/>
                <w:color w:val="000000"/>
                <w:vertAlign w:val="baseline"/>
                <w:lang w:val="en-US" w:eastAsia="zh-CN"/>
              </w:rPr>
              <w:t>5</w:t>
            </w:r>
            <w:r>
              <w:rPr>
                <w:rFonts w:hint="eastAsia"/>
                <w:b w:val="0"/>
                <w:color w:val="000000"/>
                <w:vertAlign w:val="baseline"/>
                <w:lang w:val="en-US" w:eastAsia="zh-CN"/>
              </w:rPr>
              <w:t>), diabetes/type 2 diabetes mellitus (T2DM) (</w:t>
            </w:r>
            <w:r>
              <w:rPr>
                <w:rFonts w:hint="default"/>
                <w:b w:val="0"/>
                <w:color w:val="000000"/>
                <w:vertAlign w:val="baseline"/>
                <w:lang w:val="en-US" w:eastAsia="zh-CN"/>
              </w:rPr>
              <w:t>4</w:t>
            </w:r>
            <w:r>
              <w:rPr>
                <w:rFonts w:hint="eastAsia"/>
                <w:b w:val="0"/>
                <w:color w:val="000000"/>
                <w:vertAlign w:val="baseline"/>
                <w:lang w:val="en-US" w:eastAsia="zh-CN"/>
              </w:rPr>
              <w:t>), history of diabetes/history of dyslipidemia (1), non-alcoholic fatty liver disease (NAFLD) (1), history of stroke (1), heart failure (1), depression (1), renal diseases (1), digestive diseases (1), rheumatism and arthritis (1)</w:t>
            </w:r>
          </w:p>
        </w:tc>
      </w:tr>
      <w:tr w14:paraId="2E7483A1">
        <w:tc>
          <w:tcPr>
            <w:tcW w:w="2841" w:type="dxa"/>
            <w:tcBorders>
              <w:top w:val="nil"/>
              <w:left w:val="nil"/>
              <w:bottom w:val="single" w:color="000000" w:sz="12" w:space="0"/>
              <w:right w:val="nil"/>
            </w:tcBorders>
            <w:shd w:val="clear" w:color="auto" w:fill="auto"/>
            <w:vAlign w:val="top"/>
          </w:tcPr>
          <w:p w14:paraId="35DE8FD3">
            <w:pPr>
              <w:spacing w:line="240" w:lineRule="auto"/>
              <w:jc w:val="center"/>
              <w:rPr>
                <w:rFonts w:hint="default"/>
                <w:lang w:val="en-US" w:eastAsia="zh-CN"/>
              </w:rPr>
            </w:pPr>
            <w:r>
              <w:rPr>
                <w:rFonts w:hint="eastAsia"/>
                <w:lang w:val="en-US" w:eastAsia="zh-CN"/>
              </w:rPr>
              <w:t>Biochemical Index Characteristics (N=</w:t>
            </w:r>
            <w:r>
              <w:rPr>
                <w:rFonts w:hint="default"/>
                <w:lang w:val="en-US" w:eastAsia="zh-CN"/>
              </w:rPr>
              <w:t>19</w:t>
            </w:r>
            <w:r>
              <w:rPr>
                <w:rFonts w:hint="eastAsia"/>
                <w:lang w:val="en-US" w:eastAsia="zh-CN"/>
              </w:rPr>
              <w:t>)</w:t>
            </w:r>
          </w:p>
        </w:tc>
        <w:tc>
          <w:tcPr>
            <w:tcW w:w="11213" w:type="dxa"/>
            <w:tcBorders>
              <w:top w:val="nil"/>
              <w:left w:val="nil"/>
              <w:bottom w:val="single" w:color="000000" w:sz="12" w:space="0"/>
              <w:right w:val="nil"/>
            </w:tcBorders>
            <w:shd w:val="clear" w:color="auto" w:fill="auto"/>
          </w:tcPr>
          <w:p w14:paraId="040246A9">
            <w:pPr>
              <w:spacing w:line="240" w:lineRule="auto"/>
              <w:jc w:val="left"/>
              <w:rPr>
                <w:rFonts w:hint="default"/>
                <w:lang w:val="en-US" w:eastAsia="zh-CN"/>
              </w:rPr>
            </w:pPr>
            <w:r>
              <w:rPr>
                <w:rFonts w:hint="default"/>
                <w:b/>
                <w:bCs/>
                <w:lang w:val="en-US" w:eastAsia="zh-CN"/>
              </w:rPr>
              <w:t>Glucose metabolism</w:t>
            </w:r>
            <w:r>
              <w:rPr>
                <w:rFonts w:hint="default"/>
                <w:lang w:val="en-US" w:eastAsia="zh-CN"/>
              </w:rPr>
              <w:t>: fasting blood glucose (FBG/FPG) (5), glycated hemoglobin (HbA1c) (5), homeostatic model assessment for insulin resistance (HOMA-IR) (2), insulin (1), glucose at 180 minutes (1)</w:t>
            </w:r>
          </w:p>
          <w:p w14:paraId="4FBA782B">
            <w:pPr>
              <w:spacing w:line="240" w:lineRule="auto"/>
              <w:jc w:val="left"/>
              <w:rPr>
                <w:rFonts w:hint="default"/>
                <w:lang w:val="en-US" w:eastAsia="zh-CN"/>
              </w:rPr>
            </w:pPr>
            <w:r>
              <w:rPr>
                <w:rFonts w:hint="default"/>
                <w:b/>
                <w:bCs/>
                <w:lang w:val="en-US" w:eastAsia="zh-CN"/>
              </w:rPr>
              <w:t>Lipid metabolism</w:t>
            </w:r>
            <w:r>
              <w:rPr>
                <w:rFonts w:hint="default"/>
                <w:lang w:val="en-US" w:eastAsia="zh-CN"/>
              </w:rPr>
              <w:t>: triglycerides (TG) (5), total cholesterol (TC) (4), high-density lipoprotein (HDL/HDL-c) (3), low-density lipoprotein (LDL/LDL-c) (4), 24-hour total fat intake (1)</w:t>
            </w:r>
          </w:p>
          <w:p w14:paraId="46C11463">
            <w:pPr>
              <w:spacing w:line="240" w:lineRule="auto"/>
              <w:jc w:val="left"/>
              <w:rPr>
                <w:rFonts w:hint="default"/>
                <w:lang w:val="en-US" w:eastAsia="zh-CN"/>
              </w:rPr>
            </w:pPr>
            <w:r>
              <w:rPr>
                <w:rFonts w:hint="default"/>
                <w:b/>
                <w:bCs/>
                <w:lang w:val="en-US" w:eastAsia="zh-CN"/>
              </w:rPr>
              <w:t>Renal function</w:t>
            </w:r>
            <w:r>
              <w:rPr>
                <w:rFonts w:hint="default"/>
                <w:lang w:val="en-US" w:eastAsia="zh-CN"/>
              </w:rPr>
              <w:t>: creatinine (Cr/Creatinine) (4), estimated glomerular filtration rate (eGFR) (2), serum bicarbonate (1), urinary albumin-to-creatinine ratio (UACR) (1), cystatin C (1)</w:t>
            </w:r>
          </w:p>
          <w:p w14:paraId="29A53A26">
            <w:pPr>
              <w:spacing w:line="240" w:lineRule="auto"/>
              <w:jc w:val="left"/>
              <w:rPr>
                <w:rFonts w:hint="default"/>
                <w:lang w:val="en-US" w:eastAsia="zh-CN"/>
              </w:rPr>
            </w:pPr>
            <w:r>
              <w:rPr>
                <w:rFonts w:hint="default"/>
                <w:b/>
                <w:bCs/>
                <w:lang w:val="en-US" w:eastAsia="zh-CN"/>
              </w:rPr>
              <w:t>Liver function</w:t>
            </w:r>
            <w:r>
              <w:rPr>
                <w:rFonts w:hint="default"/>
                <w:lang w:val="en-US" w:eastAsia="zh-CN"/>
              </w:rPr>
              <w:t>: alanine transaminase (ALT) (2), aspartate transaminase (AST) (1), gamma-glutamyl transferase (GGT) (1), AST/ALT ratio (1), prealbumin (1)</w:t>
            </w:r>
          </w:p>
          <w:p w14:paraId="3FB6CC6A">
            <w:pPr>
              <w:spacing w:line="240" w:lineRule="auto"/>
              <w:jc w:val="left"/>
              <w:rPr>
                <w:rFonts w:hint="default"/>
                <w:lang w:val="en-US" w:eastAsia="zh-CN"/>
              </w:rPr>
            </w:pPr>
            <w:r>
              <w:rPr>
                <w:rFonts w:hint="default"/>
                <w:b/>
                <w:bCs/>
                <w:lang w:val="en-US" w:eastAsia="zh-CN"/>
              </w:rPr>
              <w:t>Inflammation/nutrition/others</w:t>
            </w:r>
            <w:r>
              <w:rPr>
                <w:rFonts w:hint="default"/>
                <w:lang w:val="en-US" w:eastAsia="zh-CN"/>
              </w:rPr>
              <w:t>: C-reactive protein (CRP/serum CRP) (3), serum albumin (1), serum homocysteine (serum Hcy) (1), serum calcium (1), red blood cell folate concentration (1), vitamin D (VitD) (1), ferritin (1)</w:t>
            </w:r>
          </w:p>
          <w:p w14:paraId="1BB5483B">
            <w:pPr>
              <w:spacing w:line="240" w:lineRule="auto"/>
              <w:jc w:val="left"/>
              <w:rPr>
                <w:rFonts w:hint="default"/>
                <w:lang w:val="en-US" w:eastAsia="zh-CN"/>
              </w:rPr>
            </w:pPr>
            <w:r>
              <w:rPr>
                <w:rFonts w:hint="default"/>
                <w:b/>
                <w:bCs/>
                <w:lang w:val="en-US" w:eastAsia="zh-CN"/>
              </w:rPr>
              <w:t>Cardiovascular function (5)</w:t>
            </w:r>
            <w:r>
              <w:rPr>
                <w:rFonts w:hint="default"/>
                <w:lang w:val="en-US" w:eastAsia="zh-CN"/>
              </w:rPr>
              <w:t>: systolic blood pressure (SBP) (2), left ventricular ejection fraction (LVEF) (1), ankle-brachial index (ABI) (1), diastolic blood pressure (DBP) (1)</w:t>
            </w:r>
          </w:p>
          <w:p w14:paraId="1B24A1F3">
            <w:pPr>
              <w:spacing w:line="240" w:lineRule="auto"/>
              <w:jc w:val="left"/>
              <w:rPr>
                <w:rFonts w:hint="default"/>
                <w:lang w:val="en-US" w:eastAsia="zh-CN"/>
              </w:rPr>
            </w:pPr>
            <w:r>
              <w:rPr>
                <w:rFonts w:hint="default"/>
                <w:b/>
                <w:bCs/>
                <w:lang w:val="en-US" w:eastAsia="zh-CN"/>
              </w:rPr>
              <w:t>Thyroid function</w:t>
            </w:r>
            <w:r>
              <w:rPr>
                <w:rFonts w:hint="default"/>
                <w:lang w:val="en-US" w:eastAsia="zh-CN"/>
              </w:rPr>
              <w:t>: thyroid-stimulating hormone (TSH) (1), total thyroxine (total T4) (1), free thyroxine (free T4) (1)</w:t>
            </w:r>
          </w:p>
          <w:p w14:paraId="7942AC96">
            <w:pPr>
              <w:spacing w:line="240" w:lineRule="auto"/>
              <w:jc w:val="left"/>
              <w:rPr>
                <w:rFonts w:hint="eastAsia"/>
                <w:b w:val="0"/>
                <w:color w:val="000000"/>
                <w:vertAlign w:val="baseline"/>
                <w:lang w:val="en-US" w:eastAsia="zh-CN"/>
              </w:rPr>
            </w:pPr>
            <w:r>
              <w:rPr>
                <w:rFonts w:hint="default"/>
                <w:b/>
                <w:bCs/>
                <w:lang w:val="en-US" w:eastAsia="zh-CN"/>
              </w:rPr>
              <w:t>Others</w:t>
            </w:r>
            <w:r>
              <w:rPr>
                <w:rFonts w:hint="default"/>
                <w:lang w:val="en-US" w:eastAsia="zh-CN"/>
              </w:rPr>
              <w:t>: platelet (PLT) (1), mean blood oxygen saturation (SpO₂) (1), liver stiffness measurement (LSM) (1), respiratory function (peak expiratory flow) (1), grip strength (1)</w:t>
            </w:r>
          </w:p>
        </w:tc>
      </w:tr>
    </w:tbl>
    <w:p w14:paraId="5BA60AB5">
      <w:pPr>
        <w:spacing w:line="360" w:lineRule="auto"/>
        <w:rPr>
          <w:rFonts w:hint="eastAsia" w:cs="Times New Roman"/>
          <w:sz w:val="20"/>
          <w:szCs w:val="21"/>
          <w:lang w:val="en-US"/>
        </w:rPr>
      </w:pPr>
    </w:p>
    <w:p w14:paraId="3E591E2E">
      <w:pPr>
        <w:spacing w:line="360" w:lineRule="auto"/>
        <w:rPr>
          <w:rFonts w:hint="eastAsia" w:cs="Times New Roman"/>
          <w:sz w:val="20"/>
          <w:szCs w:val="21"/>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5E5451C3">
      <w:pPr>
        <w:pStyle w:val="4"/>
        <w:bidi w:val="0"/>
        <w:rPr>
          <w:rFonts w:hint="eastAsia"/>
          <w:lang w:val="en-US" w:eastAsia="zh-CN"/>
        </w:rPr>
      </w:pPr>
      <w:bookmarkStart w:id="45" w:name="_Toc259154754"/>
      <w:bookmarkStart w:id="46" w:name="_Toc1614759680"/>
      <w:bookmarkStart w:id="47" w:name="_Toc1148174186"/>
      <w:bookmarkStart w:id="48" w:name="_Toc28854"/>
      <w:r>
        <w:t>Table S</w:t>
      </w:r>
      <w:r>
        <w:fldChar w:fldCharType="begin"/>
      </w:r>
      <w:r>
        <w:instrText xml:space="preserve"> SEQ Table_S \* ARABIC </w:instrText>
      </w:r>
      <w:r>
        <w:fldChar w:fldCharType="separate"/>
      </w:r>
      <w:r>
        <w:t>11</w:t>
      </w:r>
      <w:r>
        <w:fldChar w:fldCharType="end"/>
      </w:r>
      <w:r>
        <w:rPr>
          <w:rFonts w:hint="default"/>
          <w:lang w:val="en-US" w:eastAsia="zh-CN"/>
        </w:rPr>
        <w:t xml:space="preserve"> </w:t>
      </w:r>
      <w:r>
        <w:rPr>
          <w:rFonts w:hint="eastAsia"/>
          <w:lang w:val="en-US" w:eastAsia="zh-CN"/>
        </w:rPr>
        <w:t>Risk of Bias and Applicability Assessment for Machine Learning Prediction Models Part I: Model Development Evaluation</w:t>
      </w:r>
      <w:bookmarkEnd w:id="45"/>
      <w:bookmarkEnd w:id="46"/>
    </w:p>
    <w:tbl>
      <w:tblPr>
        <w:tblStyle w:val="21"/>
        <w:tblW w:w="1407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6"/>
        <w:gridCol w:w="737"/>
        <w:gridCol w:w="506"/>
        <w:gridCol w:w="506"/>
        <w:gridCol w:w="507"/>
        <w:gridCol w:w="567"/>
        <w:gridCol w:w="567"/>
        <w:gridCol w:w="507"/>
        <w:gridCol w:w="507"/>
        <w:gridCol w:w="507"/>
        <w:gridCol w:w="507"/>
        <w:gridCol w:w="567"/>
        <w:gridCol w:w="567"/>
        <w:gridCol w:w="507"/>
        <w:gridCol w:w="507"/>
        <w:gridCol w:w="509"/>
        <w:gridCol w:w="507"/>
        <w:gridCol w:w="567"/>
        <w:gridCol w:w="567"/>
        <w:gridCol w:w="507"/>
        <w:gridCol w:w="507"/>
        <w:gridCol w:w="507"/>
        <w:gridCol w:w="508"/>
        <w:gridCol w:w="507"/>
        <w:gridCol w:w="794"/>
      </w:tblGrid>
      <w:tr w14:paraId="07FAE2C3">
        <w:trPr>
          <w:trHeight w:val="113" w:hRule="atLeast"/>
        </w:trPr>
        <w:tc>
          <w:tcPr>
            <w:tcW w:w="1026" w:type="dxa"/>
            <w:vMerge w:val="restart"/>
            <w:tcBorders>
              <w:top w:val="single" w:color="000000" w:sz="4" w:space="0"/>
              <w:left w:val="nil"/>
              <w:bottom w:val="single" w:color="000000" w:sz="4" w:space="0"/>
              <w:right w:val="nil"/>
              <w:tl2br w:val="nil"/>
            </w:tcBorders>
            <w:shd w:val="clear" w:color="auto" w:fill="FFFFFF"/>
            <w:noWrap/>
            <w:vAlign w:val="center"/>
          </w:tcPr>
          <w:p w14:paraId="722A27D8">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First author, publication year</w:t>
            </w:r>
          </w:p>
        </w:tc>
        <w:tc>
          <w:tcPr>
            <w:tcW w:w="737" w:type="dxa"/>
            <w:vMerge w:val="restart"/>
            <w:tcBorders>
              <w:top w:val="single" w:color="000000" w:sz="4" w:space="0"/>
              <w:left w:val="nil"/>
              <w:bottom w:val="single" w:color="000000" w:sz="4" w:space="0"/>
              <w:right w:val="nil"/>
            </w:tcBorders>
            <w:shd w:val="clear" w:color="auto" w:fill="FFFFFF"/>
            <w:noWrap/>
            <w:vAlign w:val="center"/>
          </w:tcPr>
          <w:p w14:paraId="7621AFB3">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Model Code</w:t>
            </w:r>
          </w:p>
        </w:tc>
        <w:tc>
          <w:tcPr>
            <w:tcW w:w="2653" w:type="dxa"/>
            <w:gridSpan w:val="5"/>
            <w:tcBorders>
              <w:top w:val="single" w:color="000000" w:sz="4" w:space="0"/>
              <w:left w:val="nil"/>
              <w:bottom w:val="single" w:color="000000" w:sz="4" w:space="0"/>
              <w:right w:val="nil"/>
            </w:tcBorders>
            <w:shd w:val="clear" w:color="auto" w:fill="FFFFFF"/>
            <w:vAlign w:val="center"/>
          </w:tcPr>
          <w:p w14:paraId="588B2EEA">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Domain 1 (Study Participants &amp; Data Source)</w:t>
            </w:r>
          </w:p>
        </w:tc>
        <w:tc>
          <w:tcPr>
            <w:tcW w:w="3162" w:type="dxa"/>
            <w:gridSpan w:val="6"/>
            <w:tcBorders>
              <w:top w:val="single" w:color="000000" w:sz="4" w:space="0"/>
              <w:left w:val="nil"/>
              <w:bottom w:val="single" w:color="000000" w:sz="4" w:space="0"/>
              <w:right w:val="nil"/>
            </w:tcBorders>
            <w:shd w:val="clear" w:color="auto" w:fill="FFFFFF"/>
            <w:vAlign w:val="center"/>
          </w:tcPr>
          <w:p w14:paraId="121DE2C6">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Domain 2 (Predictors)</w:t>
            </w:r>
          </w:p>
        </w:tc>
        <w:tc>
          <w:tcPr>
            <w:tcW w:w="3164" w:type="dxa"/>
            <w:gridSpan w:val="6"/>
            <w:tcBorders>
              <w:top w:val="single" w:color="000000" w:sz="4" w:space="0"/>
              <w:left w:val="nil"/>
              <w:bottom w:val="single" w:color="000000" w:sz="4" w:space="0"/>
              <w:right w:val="nil"/>
            </w:tcBorders>
            <w:shd w:val="clear" w:color="auto" w:fill="FFFFFF"/>
            <w:vAlign w:val="center"/>
          </w:tcPr>
          <w:p w14:paraId="0BAE396C">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Domain 3 (Outcome)</w:t>
            </w:r>
          </w:p>
        </w:tc>
        <w:tc>
          <w:tcPr>
            <w:tcW w:w="3330" w:type="dxa"/>
            <w:gridSpan w:val="6"/>
            <w:tcBorders>
              <w:top w:val="single" w:color="000000" w:sz="4" w:space="0"/>
              <w:left w:val="nil"/>
              <w:bottom w:val="single" w:color="000000" w:sz="4" w:space="0"/>
              <w:right w:val="nil"/>
            </w:tcBorders>
            <w:shd w:val="clear" w:color="auto" w:fill="FFFFFF"/>
            <w:vAlign w:val="center"/>
          </w:tcPr>
          <w:p w14:paraId="688E2BD6">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Domain 4 (Analysis)</w:t>
            </w:r>
          </w:p>
        </w:tc>
      </w:tr>
      <w:tr w14:paraId="757BCBD2">
        <w:trPr>
          <w:trHeight w:val="23" w:hRule="atLeast"/>
        </w:trPr>
        <w:tc>
          <w:tcPr>
            <w:tcW w:w="1026" w:type="dxa"/>
            <w:vMerge w:val="continue"/>
            <w:tcBorders>
              <w:top w:val="single" w:color="000000" w:sz="4" w:space="0"/>
              <w:left w:val="nil"/>
              <w:bottom w:val="single" w:color="000000" w:sz="4" w:space="0"/>
              <w:right w:val="nil"/>
            </w:tcBorders>
            <w:shd w:val="clear" w:color="auto" w:fill="FFFFFF"/>
            <w:noWrap/>
            <w:vAlign w:val="center"/>
          </w:tcPr>
          <w:p w14:paraId="7A4F33CD">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p>
        </w:tc>
        <w:tc>
          <w:tcPr>
            <w:tcW w:w="737" w:type="dxa"/>
            <w:vMerge w:val="continue"/>
            <w:tcBorders>
              <w:top w:val="single" w:color="000000" w:sz="4" w:space="0"/>
              <w:left w:val="nil"/>
              <w:bottom w:val="single" w:color="000000" w:sz="4" w:space="0"/>
              <w:right w:val="nil"/>
            </w:tcBorders>
            <w:shd w:val="clear" w:color="auto" w:fill="FFFFFF"/>
            <w:noWrap/>
            <w:vAlign w:val="center"/>
          </w:tcPr>
          <w:p w14:paraId="7CF663FB">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p>
        </w:tc>
        <w:tc>
          <w:tcPr>
            <w:tcW w:w="506" w:type="dxa"/>
            <w:tcBorders>
              <w:top w:val="single" w:color="000000" w:sz="4" w:space="0"/>
              <w:left w:val="nil"/>
              <w:bottom w:val="single" w:color="000000" w:sz="4" w:space="0"/>
              <w:right w:val="nil"/>
            </w:tcBorders>
            <w:shd w:val="clear" w:color="auto" w:fill="FFFFFF"/>
            <w:vAlign w:val="center"/>
          </w:tcPr>
          <w:p w14:paraId="3D5EEA7B">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1.1</w:t>
            </w:r>
          </w:p>
        </w:tc>
        <w:tc>
          <w:tcPr>
            <w:tcW w:w="506" w:type="dxa"/>
            <w:tcBorders>
              <w:top w:val="single" w:color="000000" w:sz="4" w:space="0"/>
              <w:left w:val="nil"/>
              <w:bottom w:val="single" w:color="000000" w:sz="4" w:space="0"/>
              <w:right w:val="nil"/>
            </w:tcBorders>
            <w:shd w:val="clear" w:color="auto" w:fill="FFFFFF"/>
            <w:vAlign w:val="center"/>
          </w:tcPr>
          <w:p w14:paraId="27941F41">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1.2</w:t>
            </w:r>
          </w:p>
        </w:tc>
        <w:tc>
          <w:tcPr>
            <w:tcW w:w="507" w:type="dxa"/>
            <w:tcBorders>
              <w:top w:val="single" w:color="000000" w:sz="4" w:space="0"/>
              <w:left w:val="nil"/>
              <w:bottom w:val="single" w:color="000000" w:sz="4" w:space="0"/>
              <w:right w:val="nil"/>
            </w:tcBorders>
            <w:shd w:val="clear" w:color="auto" w:fill="FFFFFF"/>
            <w:vAlign w:val="center"/>
          </w:tcPr>
          <w:p w14:paraId="59C84588">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1.3</w:t>
            </w:r>
          </w:p>
        </w:tc>
        <w:tc>
          <w:tcPr>
            <w:tcW w:w="567" w:type="dxa"/>
            <w:tcBorders>
              <w:top w:val="single" w:color="000000" w:sz="4" w:space="0"/>
              <w:left w:val="nil"/>
              <w:bottom w:val="single" w:color="000000" w:sz="4" w:space="0"/>
              <w:right w:val="nil"/>
            </w:tcBorders>
            <w:shd w:val="clear" w:color="auto" w:fill="FFFFFF"/>
            <w:vAlign w:val="center"/>
          </w:tcPr>
          <w:p w14:paraId="645E87EA">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OE1</w:t>
            </w:r>
          </w:p>
        </w:tc>
        <w:tc>
          <w:tcPr>
            <w:tcW w:w="567" w:type="dxa"/>
            <w:tcBorders>
              <w:top w:val="single" w:color="000000" w:sz="4" w:space="0"/>
              <w:left w:val="nil"/>
              <w:bottom w:val="single" w:color="000000" w:sz="4" w:space="0"/>
              <w:right w:val="nil"/>
            </w:tcBorders>
            <w:shd w:val="clear" w:color="auto" w:fill="FFFFFF"/>
            <w:vAlign w:val="center"/>
          </w:tcPr>
          <w:p w14:paraId="510A0985">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AE1</w:t>
            </w:r>
          </w:p>
        </w:tc>
        <w:tc>
          <w:tcPr>
            <w:tcW w:w="507" w:type="dxa"/>
            <w:tcBorders>
              <w:top w:val="single" w:color="000000" w:sz="4" w:space="0"/>
              <w:left w:val="nil"/>
              <w:bottom w:val="single" w:color="000000" w:sz="4" w:space="0"/>
              <w:right w:val="nil"/>
            </w:tcBorders>
            <w:shd w:val="clear" w:color="auto" w:fill="FFFFFF"/>
            <w:vAlign w:val="center"/>
          </w:tcPr>
          <w:p w14:paraId="23F9BDC5">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2.1</w:t>
            </w:r>
          </w:p>
        </w:tc>
        <w:tc>
          <w:tcPr>
            <w:tcW w:w="507" w:type="dxa"/>
            <w:tcBorders>
              <w:top w:val="single" w:color="000000" w:sz="4" w:space="0"/>
              <w:left w:val="nil"/>
              <w:bottom w:val="single" w:color="000000" w:sz="4" w:space="0"/>
              <w:right w:val="nil"/>
            </w:tcBorders>
            <w:shd w:val="clear" w:color="auto" w:fill="FFFFFF"/>
            <w:vAlign w:val="center"/>
          </w:tcPr>
          <w:p w14:paraId="1C9A1137">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2.2</w:t>
            </w:r>
          </w:p>
        </w:tc>
        <w:tc>
          <w:tcPr>
            <w:tcW w:w="507" w:type="dxa"/>
            <w:tcBorders>
              <w:top w:val="single" w:color="000000" w:sz="4" w:space="0"/>
              <w:left w:val="nil"/>
              <w:bottom w:val="single" w:color="000000" w:sz="4" w:space="0"/>
              <w:right w:val="nil"/>
            </w:tcBorders>
            <w:shd w:val="clear" w:color="auto" w:fill="FFFFFF"/>
            <w:vAlign w:val="center"/>
          </w:tcPr>
          <w:p w14:paraId="1D42525B">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2.3</w:t>
            </w:r>
          </w:p>
        </w:tc>
        <w:tc>
          <w:tcPr>
            <w:tcW w:w="507" w:type="dxa"/>
            <w:tcBorders>
              <w:top w:val="single" w:color="000000" w:sz="4" w:space="0"/>
              <w:left w:val="nil"/>
              <w:bottom w:val="single" w:color="000000" w:sz="4" w:space="0"/>
              <w:right w:val="nil"/>
            </w:tcBorders>
            <w:shd w:val="clear" w:color="auto" w:fill="FFFFFF"/>
            <w:vAlign w:val="center"/>
          </w:tcPr>
          <w:p w14:paraId="77FB1EED">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2.4</w:t>
            </w:r>
          </w:p>
        </w:tc>
        <w:tc>
          <w:tcPr>
            <w:tcW w:w="567" w:type="dxa"/>
            <w:tcBorders>
              <w:top w:val="single" w:color="000000" w:sz="4" w:space="0"/>
              <w:left w:val="nil"/>
              <w:bottom w:val="single" w:color="000000" w:sz="4" w:space="0"/>
              <w:right w:val="nil"/>
            </w:tcBorders>
            <w:shd w:val="clear" w:color="auto" w:fill="FFFFFF"/>
            <w:vAlign w:val="center"/>
          </w:tcPr>
          <w:p w14:paraId="6526254E">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OE2</w:t>
            </w:r>
          </w:p>
        </w:tc>
        <w:tc>
          <w:tcPr>
            <w:tcW w:w="567" w:type="dxa"/>
            <w:tcBorders>
              <w:top w:val="single" w:color="000000" w:sz="4" w:space="0"/>
              <w:left w:val="nil"/>
              <w:bottom w:val="single" w:color="000000" w:sz="4" w:space="0"/>
              <w:right w:val="nil"/>
            </w:tcBorders>
            <w:shd w:val="clear" w:color="auto" w:fill="FFFFFF"/>
            <w:vAlign w:val="center"/>
          </w:tcPr>
          <w:p w14:paraId="3D2CBDA8">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AE2</w:t>
            </w:r>
          </w:p>
        </w:tc>
        <w:tc>
          <w:tcPr>
            <w:tcW w:w="507" w:type="dxa"/>
            <w:tcBorders>
              <w:top w:val="single" w:color="000000" w:sz="4" w:space="0"/>
              <w:left w:val="nil"/>
              <w:bottom w:val="single" w:color="000000" w:sz="4" w:space="0"/>
              <w:right w:val="nil"/>
            </w:tcBorders>
            <w:shd w:val="clear" w:color="auto" w:fill="FFFFFF"/>
            <w:vAlign w:val="center"/>
          </w:tcPr>
          <w:p w14:paraId="53F38153">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3.1</w:t>
            </w:r>
          </w:p>
        </w:tc>
        <w:tc>
          <w:tcPr>
            <w:tcW w:w="507" w:type="dxa"/>
            <w:tcBorders>
              <w:top w:val="single" w:color="000000" w:sz="4" w:space="0"/>
              <w:left w:val="nil"/>
              <w:bottom w:val="single" w:color="000000" w:sz="4" w:space="0"/>
              <w:right w:val="nil"/>
            </w:tcBorders>
            <w:shd w:val="clear" w:color="auto" w:fill="FFFFFF"/>
            <w:vAlign w:val="center"/>
          </w:tcPr>
          <w:p w14:paraId="60F7E479">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3.2</w:t>
            </w:r>
          </w:p>
        </w:tc>
        <w:tc>
          <w:tcPr>
            <w:tcW w:w="509" w:type="dxa"/>
            <w:tcBorders>
              <w:top w:val="single" w:color="000000" w:sz="4" w:space="0"/>
              <w:left w:val="nil"/>
              <w:bottom w:val="single" w:color="000000" w:sz="4" w:space="0"/>
              <w:right w:val="nil"/>
            </w:tcBorders>
            <w:shd w:val="clear" w:color="auto" w:fill="FFFFFF"/>
            <w:vAlign w:val="center"/>
          </w:tcPr>
          <w:p w14:paraId="34ED28A8">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3.3.</w:t>
            </w:r>
          </w:p>
        </w:tc>
        <w:tc>
          <w:tcPr>
            <w:tcW w:w="507" w:type="dxa"/>
            <w:tcBorders>
              <w:top w:val="single" w:color="000000" w:sz="4" w:space="0"/>
              <w:left w:val="nil"/>
              <w:bottom w:val="single" w:color="000000" w:sz="4" w:space="0"/>
              <w:right w:val="nil"/>
            </w:tcBorders>
            <w:shd w:val="clear" w:color="auto" w:fill="FFFFFF"/>
            <w:vAlign w:val="center"/>
          </w:tcPr>
          <w:p w14:paraId="0A14A792">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3.4</w:t>
            </w:r>
          </w:p>
        </w:tc>
        <w:tc>
          <w:tcPr>
            <w:tcW w:w="567" w:type="dxa"/>
            <w:tcBorders>
              <w:top w:val="single" w:color="000000" w:sz="4" w:space="0"/>
              <w:left w:val="nil"/>
              <w:bottom w:val="single" w:color="000000" w:sz="4" w:space="0"/>
              <w:right w:val="nil"/>
            </w:tcBorders>
            <w:shd w:val="clear" w:color="auto" w:fill="FFFFFF"/>
            <w:vAlign w:val="center"/>
          </w:tcPr>
          <w:p w14:paraId="60F9B284">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OE3</w:t>
            </w:r>
          </w:p>
        </w:tc>
        <w:tc>
          <w:tcPr>
            <w:tcW w:w="567" w:type="dxa"/>
            <w:tcBorders>
              <w:top w:val="single" w:color="000000" w:sz="4" w:space="0"/>
              <w:left w:val="nil"/>
              <w:bottom w:val="single" w:color="000000" w:sz="4" w:space="0"/>
              <w:right w:val="nil"/>
            </w:tcBorders>
            <w:shd w:val="clear" w:color="auto" w:fill="FFFFFF"/>
            <w:vAlign w:val="center"/>
          </w:tcPr>
          <w:p w14:paraId="6208FA6D">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AE3</w:t>
            </w:r>
          </w:p>
        </w:tc>
        <w:tc>
          <w:tcPr>
            <w:tcW w:w="507" w:type="dxa"/>
            <w:tcBorders>
              <w:top w:val="single" w:color="000000" w:sz="4" w:space="0"/>
              <w:left w:val="nil"/>
              <w:bottom w:val="single" w:color="000000" w:sz="4" w:space="0"/>
              <w:right w:val="nil"/>
            </w:tcBorders>
            <w:shd w:val="clear" w:color="auto" w:fill="FFFFFF"/>
            <w:vAlign w:val="center"/>
          </w:tcPr>
          <w:p w14:paraId="05127790">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4.1</w:t>
            </w:r>
          </w:p>
        </w:tc>
        <w:tc>
          <w:tcPr>
            <w:tcW w:w="507" w:type="dxa"/>
            <w:tcBorders>
              <w:top w:val="single" w:color="000000" w:sz="4" w:space="0"/>
              <w:left w:val="nil"/>
              <w:bottom w:val="single" w:color="000000" w:sz="4" w:space="0"/>
              <w:right w:val="nil"/>
            </w:tcBorders>
            <w:shd w:val="clear" w:color="auto" w:fill="FFFFFF"/>
            <w:vAlign w:val="center"/>
          </w:tcPr>
          <w:p w14:paraId="7704CD29">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4.2</w:t>
            </w:r>
          </w:p>
        </w:tc>
        <w:tc>
          <w:tcPr>
            <w:tcW w:w="507" w:type="dxa"/>
            <w:tcBorders>
              <w:top w:val="single" w:color="000000" w:sz="4" w:space="0"/>
              <w:left w:val="nil"/>
              <w:bottom w:val="single" w:color="000000" w:sz="4" w:space="0"/>
              <w:right w:val="nil"/>
            </w:tcBorders>
            <w:shd w:val="clear" w:color="auto" w:fill="FFFFFF"/>
            <w:vAlign w:val="center"/>
          </w:tcPr>
          <w:p w14:paraId="78085006">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4.3</w:t>
            </w:r>
          </w:p>
        </w:tc>
        <w:tc>
          <w:tcPr>
            <w:tcW w:w="508" w:type="dxa"/>
            <w:tcBorders>
              <w:top w:val="single" w:color="000000" w:sz="4" w:space="0"/>
              <w:left w:val="nil"/>
              <w:bottom w:val="single" w:color="000000" w:sz="4" w:space="0"/>
              <w:right w:val="nil"/>
            </w:tcBorders>
            <w:shd w:val="clear" w:color="auto" w:fill="FFFFFF"/>
            <w:vAlign w:val="center"/>
          </w:tcPr>
          <w:p w14:paraId="4A144285">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4.4</w:t>
            </w:r>
          </w:p>
        </w:tc>
        <w:tc>
          <w:tcPr>
            <w:tcW w:w="507" w:type="dxa"/>
            <w:tcBorders>
              <w:top w:val="single" w:color="000000" w:sz="4" w:space="0"/>
              <w:left w:val="nil"/>
              <w:bottom w:val="single" w:color="000000" w:sz="4" w:space="0"/>
              <w:right w:val="nil"/>
            </w:tcBorders>
            <w:shd w:val="clear" w:color="auto" w:fill="FFFFFF"/>
            <w:vAlign w:val="center"/>
          </w:tcPr>
          <w:p w14:paraId="616406B9">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4.5</w:t>
            </w:r>
          </w:p>
        </w:tc>
        <w:tc>
          <w:tcPr>
            <w:tcW w:w="794" w:type="dxa"/>
            <w:tcBorders>
              <w:top w:val="single" w:color="000000" w:sz="4" w:space="0"/>
              <w:left w:val="nil"/>
              <w:bottom w:val="single" w:color="000000" w:sz="4" w:space="0"/>
              <w:right w:val="nil"/>
            </w:tcBorders>
            <w:shd w:val="clear" w:color="auto" w:fill="FFFFFF"/>
            <w:vAlign w:val="center"/>
          </w:tcPr>
          <w:p w14:paraId="37C6FE7B">
            <w:pPr>
              <w:spacing w:line="240" w:lineRule="auto"/>
              <w:jc w:val="center"/>
              <w:rPr>
                <w:rFonts w:hint="default" w:ascii="Times New Roman Bold" w:hAnsi="Times New Roman Bold" w:cs="Times New Roman Bold" w:eastAsiaTheme="minorEastAsia"/>
                <w:b/>
                <w:bCs w:val="0"/>
                <w:color w:val="000000"/>
                <w:kern w:val="0"/>
                <w:sz w:val="18"/>
                <w:szCs w:val="18"/>
                <w:lang w:val="en-US" w:eastAsia="zh-CN" w:bidi="ar-SA"/>
              </w:rPr>
            </w:pPr>
            <w:r>
              <w:rPr>
                <w:rFonts w:hint="default" w:ascii="Times New Roman Bold" w:hAnsi="Times New Roman Bold" w:cs="Times New Roman Bold" w:eastAsiaTheme="minorEastAsia"/>
                <w:b/>
                <w:bCs w:val="0"/>
                <w:color w:val="000000"/>
                <w:kern w:val="0"/>
                <w:sz w:val="18"/>
                <w:szCs w:val="18"/>
                <w:lang w:val="en-US" w:eastAsia="zh-CN" w:bidi="ar-SA"/>
              </w:rPr>
              <w:t>OE4</w:t>
            </w:r>
          </w:p>
        </w:tc>
      </w:tr>
      <w:tr w14:paraId="34B413F4">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09367B0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7DA5EEA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2A</w:t>
            </w:r>
          </w:p>
        </w:tc>
        <w:tc>
          <w:tcPr>
            <w:tcW w:w="506" w:type="dxa"/>
            <w:tcBorders>
              <w:top w:val="single" w:color="000000" w:sz="4" w:space="0"/>
              <w:left w:val="nil"/>
              <w:bottom w:val="single" w:color="000000" w:sz="4" w:space="0"/>
              <w:right w:val="nil"/>
            </w:tcBorders>
            <w:shd w:val="clear" w:color="auto" w:fill="FFFFFF"/>
            <w:vAlign w:val="center"/>
          </w:tcPr>
          <w:p w14:paraId="6C28163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70467F2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7F399B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043A5E0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DB467D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B2E2AF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E9E432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0C5687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A19357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200264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12740BA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0FED3B5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1A8A8B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1491199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E30120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419DB9E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08B0834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3AEE26E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B2CB35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CBF03C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02062DB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45A61A0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5DF3C33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717F2E02">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0CFD08C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0764EC1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2B</w:t>
            </w:r>
          </w:p>
        </w:tc>
        <w:tc>
          <w:tcPr>
            <w:tcW w:w="506" w:type="dxa"/>
            <w:tcBorders>
              <w:top w:val="single" w:color="000000" w:sz="4" w:space="0"/>
              <w:left w:val="nil"/>
              <w:bottom w:val="single" w:color="000000" w:sz="4" w:space="0"/>
              <w:right w:val="nil"/>
            </w:tcBorders>
            <w:shd w:val="clear" w:color="auto" w:fill="FFFFFF"/>
            <w:vAlign w:val="center"/>
          </w:tcPr>
          <w:p w14:paraId="48C7299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353956F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90022C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424EC1D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6457506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2AC1C6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448E70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338540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8F46E0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9EFFA9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F2474B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6A164F5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6298AF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34C0694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021AE7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71D3C5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67829AD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9E3C0E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D00E96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F9B066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1BCE96F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4B84F7B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49D6332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149AF802">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6483828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6C39148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2C</w:t>
            </w:r>
          </w:p>
        </w:tc>
        <w:tc>
          <w:tcPr>
            <w:tcW w:w="506" w:type="dxa"/>
            <w:tcBorders>
              <w:top w:val="single" w:color="000000" w:sz="4" w:space="0"/>
              <w:left w:val="nil"/>
              <w:bottom w:val="single" w:color="000000" w:sz="4" w:space="0"/>
              <w:right w:val="nil"/>
            </w:tcBorders>
            <w:shd w:val="clear" w:color="auto" w:fill="FFFFFF"/>
            <w:vAlign w:val="center"/>
          </w:tcPr>
          <w:p w14:paraId="4817FCC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7C96133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4CC529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592A65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13DD2B4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5A5C8EB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6FBFE1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CCF28D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3ED07C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59B6564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28DF97D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16F97AD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1261CE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41C1652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8824FB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E0D31C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1933C46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6A1908E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B24213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70B85B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3905CE5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10685EF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1CD3F22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31526F9A">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49E6326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0C11B18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2D</w:t>
            </w:r>
          </w:p>
        </w:tc>
        <w:tc>
          <w:tcPr>
            <w:tcW w:w="506" w:type="dxa"/>
            <w:tcBorders>
              <w:top w:val="single" w:color="000000" w:sz="4" w:space="0"/>
              <w:left w:val="nil"/>
              <w:bottom w:val="single" w:color="000000" w:sz="4" w:space="0"/>
              <w:right w:val="nil"/>
            </w:tcBorders>
            <w:shd w:val="clear" w:color="auto" w:fill="FFFFFF"/>
            <w:vAlign w:val="center"/>
          </w:tcPr>
          <w:p w14:paraId="0E17CB8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56637DF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770876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322099A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444898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5ED922D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01E177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F7A02A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F7EBD4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2E2F75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2613CFA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354169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52F94D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0523593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60EF2B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9C48F6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5F978BB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0FC6BA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945828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68D181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5F97C20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4A44FC8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603E136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4142E07A">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46CD10F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0F85236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2E</w:t>
            </w:r>
          </w:p>
        </w:tc>
        <w:tc>
          <w:tcPr>
            <w:tcW w:w="506" w:type="dxa"/>
            <w:tcBorders>
              <w:top w:val="single" w:color="000000" w:sz="4" w:space="0"/>
              <w:left w:val="nil"/>
              <w:bottom w:val="single" w:color="000000" w:sz="4" w:space="0"/>
              <w:right w:val="nil"/>
            </w:tcBorders>
            <w:shd w:val="clear" w:color="auto" w:fill="FFFFFF"/>
            <w:vAlign w:val="center"/>
          </w:tcPr>
          <w:p w14:paraId="560A28E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61FBF72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1D4BCA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B281FE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36D2362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3506CB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2566AE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E39AF6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60D02A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7820B11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3CB7A1D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D64C05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293207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50E1D4F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A91F2B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57BB4C3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F6B3A7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0DD2D5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E5C5C3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1B7C7B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53C19D4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60DBCCF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74222A2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582CC87E">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34C5E32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7A5F728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2F</w:t>
            </w:r>
          </w:p>
        </w:tc>
        <w:tc>
          <w:tcPr>
            <w:tcW w:w="506" w:type="dxa"/>
            <w:tcBorders>
              <w:top w:val="single" w:color="000000" w:sz="4" w:space="0"/>
              <w:left w:val="nil"/>
              <w:bottom w:val="single" w:color="000000" w:sz="4" w:space="0"/>
              <w:right w:val="nil"/>
            </w:tcBorders>
            <w:shd w:val="clear" w:color="auto" w:fill="FFFFFF"/>
            <w:vAlign w:val="center"/>
          </w:tcPr>
          <w:p w14:paraId="4029D6F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1A30773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CC861E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03BDBD9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361B975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60B8156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8616E1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8241BE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E6E5A0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6B1E7B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FFF3BE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6F1785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31593D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6A114B0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9B4D51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4556BA2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5033807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DC7E76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AB06B1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BC24EA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2D66065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671C8BF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7FF98D8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0AD33D11">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016AF67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122600B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2G</w:t>
            </w:r>
          </w:p>
        </w:tc>
        <w:tc>
          <w:tcPr>
            <w:tcW w:w="506" w:type="dxa"/>
            <w:tcBorders>
              <w:top w:val="single" w:color="000000" w:sz="4" w:space="0"/>
              <w:left w:val="nil"/>
              <w:bottom w:val="single" w:color="000000" w:sz="4" w:space="0"/>
              <w:right w:val="nil"/>
            </w:tcBorders>
            <w:shd w:val="clear" w:color="auto" w:fill="FFFFFF"/>
            <w:vAlign w:val="center"/>
          </w:tcPr>
          <w:p w14:paraId="6D0F4F0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15D3F4D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F0B41B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001EDB6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0815066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6A2152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727FB3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00CA7C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00587B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444B7DC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5A2C0C3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7BC97B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E8AA6F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1032BB8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B271D9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77D9123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225DCE0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186F0B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A0CF65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C1EB48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29D70D5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7C9CE63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3A61D24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36D40EF0">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2D014F6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Yang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(29)</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3592012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2H</w:t>
            </w:r>
          </w:p>
        </w:tc>
        <w:tc>
          <w:tcPr>
            <w:tcW w:w="506" w:type="dxa"/>
            <w:tcBorders>
              <w:top w:val="single" w:color="000000" w:sz="4" w:space="0"/>
              <w:left w:val="nil"/>
              <w:bottom w:val="single" w:color="000000" w:sz="4" w:space="0"/>
              <w:right w:val="nil"/>
            </w:tcBorders>
            <w:shd w:val="clear" w:color="auto" w:fill="FFFFFF"/>
            <w:vAlign w:val="center"/>
          </w:tcPr>
          <w:p w14:paraId="2819E9F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4EA6760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460D2E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F37422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320C9B9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7572C8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29C1B2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64A7C9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133549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37AFD2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141F3D8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362A2A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37E0E1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09CF6D4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3D4730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A632E0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04366B3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18E1FBF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4786B1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322E22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8" w:type="dxa"/>
            <w:tcBorders>
              <w:top w:val="single" w:color="000000" w:sz="4" w:space="0"/>
              <w:left w:val="nil"/>
              <w:bottom w:val="single" w:color="000000" w:sz="4" w:space="0"/>
              <w:right w:val="nil"/>
            </w:tcBorders>
            <w:shd w:val="clear" w:color="auto" w:fill="FFFFFF"/>
            <w:vAlign w:val="center"/>
          </w:tcPr>
          <w:p w14:paraId="6E23019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w:t>
            </w:r>
          </w:p>
        </w:tc>
        <w:tc>
          <w:tcPr>
            <w:tcW w:w="507" w:type="dxa"/>
            <w:tcBorders>
              <w:top w:val="single" w:color="000000" w:sz="4" w:space="0"/>
              <w:left w:val="nil"/>
              <w:bottom w:val="single" w:color="000000" w:sz="4" w:space="0"/>
              <w:right w:val="nil"/>
            </w:tcBorders>
            <w:shd w:val="clear" w:color="auto" w:fill="FFFFFF"/>
            <w:vAlign w:val="center"/>
          </w:tcPr>
          <w:p w14:paraId="12DC3A5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3932149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unclear</w:t>
            </w:r>
          </w:p>
        </w:tc>
      </w:tr>
      <w:tr w14:paraId="74861D30">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3A0629A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Garcia C, et al., 2020</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(30)</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742E774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3A</w:t>
            </w:r>
          </w:p>
        </w:tc>
        <w:tc>
          <w:tcPr>
            <w:tcW w:w="506" w:type="dxa"/>
            <w:tcBorders>
              <w:top w:val="single" w:color="000000" w:sz="4" w:space="0"/>
              <w:left w:val="nil"/>
              <w:bottom w:val="single" w:color="000000" w:sz="4" w:space="0"/>
              <w:right w:val="nil"/>
            </w:tcBorders>
            <w:shd w:val="clear" w:color="auto" w:fill="FFFFFF"/>
            <w:vAlign w:val="center"/>
          </w:tcPr>
          <w:p w14:paraId="2AF9305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27E7F55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69D0794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3C6B1E0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07EB59A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238A0C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ED3BEC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16AA84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C296CC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A85B1D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533FAD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119C269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5932BE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037C453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19CAE9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3B6280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9539DD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66C8CD0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03A1042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EFCE6B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8" w:type="dxa"/>
            <w:tcBorders>
              <w:top w:val="single" w:color="000000" w:sz="4" w:space="0"/>
              <w:left w:val="nil"/>
              <w:bottom w:val="single" w:color="000000" w:sz="4" w:space="0"/>
              <w:right w:val="nil"/>
            </w:tcBorders>
            <w:shd w:val="clear" w:color="auto" w:fill="FFFFFF"/>
            <w:vAlign w:val="center"/>
          </w:tcPr>
          <w:p w14:paraId="4E0BA35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25335AE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2146FD9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r w14:paraId="4410ED30">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1E455DF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Garcia C, et al., 2020</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(30)</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54F170D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3B</w:t>
            </w:r>
          </w:p>
        </w:tc>
        <w:tc>
          <w:tcPr>
            <w:tcW w:w="506" w:type="dxa"/>
            <w:tcBorders>
              <w:top w:val="single" w:color="000000" w:sz="4" w:space="0"/>
              <w:left w:val="nil"/>
              <w:bottom w:val="single" w:color="000000" w:sz="4" w:space="0"/>
              <w:right w:val="nil"/>
            </w:tcBorders>
            <w:shd w:val="clear" w:color="auto" w:fill="FFFFFF"/>
            <w:vAlign w:val="center"/>
          </w:tcPr>
          <w:p w14:paraId="68ADE6E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03BFE50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6FEAA0E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2640EB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52653AA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0BFA8F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2F7604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4193FA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9E8FA1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0D80591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2C22620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6010567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87F721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1D0CE42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3B5347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711EAD3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5B0B6B6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D723DF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3833CE8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8114F3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8" w:type="dxa"/>
            <w:tcBorders>
              <w:top w:val="single" w:color="000000" w:sz="4" w:space="0"/>
              <w:left w:val="nil"/>
              <w:bottom w:val="single" w:color="000000" w:sz="4" w:space="0"/>
              <w:right w:val="nil"/>
            </w:tcBorders>
            <w:shd w:val="clear" w:color="auto" w:fill="FFFFFF"/>
            <w:vAlign w:val="center"/>
          </w:tcPr>
          <w:p w14:paraId="49D75FF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6DFA492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7B046D2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r w14:paraId="2162F831">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45A824F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Garcia C, et al., 2020</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(30)</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5B47186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3C</w:t>
            </w:r>
          </w:p>
        </w:tc>
        <w:tc>
          <w:tcPr>
            <w:tcW w:w="506" w:type="dxa"/>
            <w:tcBorders>
              <w:top w:val="single" w:color="000000" w:sz="4" w:space="0"/>
              <w:left w:val="nil"/>
              <w:bottom w:val="single" w:color="000000" w:sz="4" w:space="0"/>
              <w:right w:val="nil"/>
            </w:tcBorders>
            <w:shd w:val="clear" w:color="auto" w:fill="FFFFFF"/>
            <w:vAlign w:val="center"/>
          </w:tcPr>
          <w:p w14:paraId="3784CC3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6F1A9CC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56EF545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7128CB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2B6EB81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E55807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EEBD56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83D8A7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6FEFC6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033DAD7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29C615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4C2171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AD87D1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3F0FB1D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022AF76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5950E02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17CBE86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DB693A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752EB06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4CAAC5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8" w:type="dxa"/>
            <w:tcBorders>
              <w:top w:val="single" w:color="000000" w:sz="4" w:space="0"/>
              <w:left w:val="nil"/>
              <w:bottom w:val="single" w:color="000000" w:sz="4" w:space="0"/>
              <w:right w:val="nil"/>
            </w:tcBorders>
            <w:shd w:val="clear" w:color="auto" w:fill="FFFFFF"/>
            <w:vAlign w:val="center"/>
          </w:tcPr>
          <w:p w14:paraId="256329C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1F8BBF6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32174C9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r w14:paraId="73D76766">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54B4EC0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Park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(32)</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37A5024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5A</w:t>
            </w:r>
          </w:p>
        </w:tc>
        <w:tc>
          <w:tcPr>
            <w:tcW w:w="506" w:type="dxa"/>
            <w:tcBorders>
              <w:top w:val="single" w:color="000000" w:sz="4" w:space="0"/>
              <w:left w:val="nil"/>
              <w:bottom w:val="single" w:color="000000" w:sz="4" w:space="0"/>
              <w:right w:val="nil"/>
            </w:tcBorders>
            <w:shd w:val="clear" w:color="auto" w:fill="FFFFFF"/>
            <w:vAlign w:val="center"/>
          </w:tcPr>
          <w:p w14:paraId="11CE1A3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6D1259B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53D7026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FACC4F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40F90F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07F00D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806701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060286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2B6DCE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0EC8EB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F9E1FD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333F5C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2DF44E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08DE4E8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B211D2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5A9164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B2F44B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0EB1012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F11A38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C879B8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NI</w:t>
            </w:r>
          </w:p>
        </w:tc>
        <w:tc>
          <w:tcPr>
            <w:tcW w:w="508" w:type="dxa"/>
            <w:tcBorders>
              <w:top w:val="single" w:color="000000" w:sz="4" w:space="0"/>
              <w:left w:val="nil"/>
              <w:bottom w:val="single" w:color="000000" w:sz="4" w:space="0"/>
              <w:right w:val="nil"/>
            </w:tcBorders>
            <w:shd w:val="clear" w:color="auto" w:fill="FFFFFF"/>
            <w:vAlign w:val="center"/>
          </w:tcPr>
          <w:p w14:paraId="368D48D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4997B64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529A2A3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r w14:paraId="375F0701">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5E39131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Park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(32)</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262BF39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5B</w:t>
            </w:r>
          </w:p>
        </w:tc>
        <w:tc>
          <w:tcPr>
            <w:tcW w:w="506" w:type="dxa"/>
            <w:tcBorders>
              <w:top w:val="single" w:color="000000" w:sz="4" w:space="0"/>
              <w:left w:val="nil"/>
              <w:bottom w:val="single" w:color="000000" w:sz="4" w:space="0"/>
              <w:right w:val="nil"/>
            </w:tcBorders>
            <w:shd w:val="clear" w:color="auto" w:fill="FFFFFF"/>
            <w:vAlign w:val="center"/>
          </w:tcPr>
          <w:p w14:paraId="14C67EA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0385A62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7DFFEC4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7233A85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729CF0E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52EA0CB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BF2CAF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3B6763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1F5C25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6BFCA5A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3A57A15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760E8357">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563EC1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284FF05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026F93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4DC156A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623CE672">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0EE899B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1D99E3D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3482841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NI</w:t>
            </w:r>
          </w:p>
        </w:tc>
        <w:tc>
          <w:tcPr>
            <w:tcW w:w="508" w:type="dxa"/>
            <w:tcBorders>
              <w:top w:val="single" w:color="000000" w:sz="4" w:space="0"/>
              <w:left w:val="nil"/>
              <w:bottom w:val="single" w:color="000000" w:sz="4" w:space="0"/>
              <w:right w:val="nil"/>
            </w:tcBorders>
            <w:shd w:val="clear" w:color="auto" w:fill="FFFFFF"/>
            <w:vAlign w:val="center"/>
          </w:tcPr>
          <w:p w14:paraId="63F521D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78042F8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16ED7B4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r w14:paraId="6332B004">
        <w:trPr>
          <w:trHeight w:val="23" w:hRule="atLeast"/>
        </w:trPr>
        <w:tc>
          <w:tcPr>
            <w:tcW w:w="1026" w:type="dxa"/>
            <w:tcBorders>
              <w:top w:val="single" w:color="000000" w:sz="4" w:space="0"/>
              <w:left w:val="nil"/>
              <w:bottom w:val="single" w:color="000000" w:sz="4" w:space="0"/>
              <w:right w:val="nil"/>
            </w:tcBorders>
            <w:shd w:val="clear" w:color="auto" w:fill="FFFFFF"/>
            <w:noWrap/>
            <w:vAlign w:val="center"/>
          </w:tcPr>
          <w:p w14:paraId="44E386E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Park J, et al., 2025</w:t>
            </w:r>
            <w:r>
              <w:rPr>
                <w:rFonts w:hint="eastAsia" w:ascii="Times New Roman" w:hAnsi="Times New Roman" w:cs="Times New Roman" w:eastAsiaTheme="minorEastAsia"/>
                <w:b w:val="0"/>
                <w:bCs/>
                <w:color w:val="000000"/>
                <w:kern w:val="0"/>
                <w:sz w:val="18"/>
                <w:szCs w:val="18"/>
                <w:lang w:val="en-US" w:eastAsia="zh-CN" w:bidi="ar-SA"/>
              </w:rPr>
              <w:fldChar w:fldCharType="begin"/>
            </w:r>
            <w:r>
              <w:rPr>
                <w:rFonts w:hint="eastAsia" w:cs="Times New Roman" w:eastAsiaTheme="minorEastAsia"/>
                <w:b w:val="0"/>
                <w:bCs/>
                <w:color w:val="000000"/>
                <w:kern w:val="0"/>
                <w:sz w:val="18"/>
                <w:szCs w:val="18"/>
                <w:lang w:val="en-US" w:eastAsia="zh-CN" w:bidi="ar-SA"/>
              </w:rPr>
              <w:instrText xml:space="preserve"> ADDIN EN.CITE </w:instrText>
            </w:r>
            <w:r>
              <w:rPr>
                <w:rFonts w:hint="eastAsia" w:cs="Times New Roman" w:eastAsiaTheme="minorEastAsia"/>
                <w:b w:val="0"/>
                <w:bCs/>
                <w:color w:val="000000"/>
                <w:kern w:val="0"/>
                <w:sz w:val="18"/>
                <w:szCs w:val="18"/>
                <w:lang w:val="en-US" w:eastAsia="zh-CN" w:bidi="ar-SA"/>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cs="Times New Roman" w:eastAsiaTheme="minorEastAsia"/>
                <w:b w:val="0"/>
                <w:bCs/>
                <w:color w:val="000000"/>
                <w:kern w:val="0"/>
                <w:sz w:val="18"/>
                <w:szCs w:val="18"/>
                <w:lang w:val="en-US" w:eastAsia="zh-CN" w:bidi="ar-SA"/>
              </w:rPr>
              <w:instrText xml:space="preserve"> ADDIN EN.CITE.DATA </w:instrText>
            </w:r>
            <w:r>
              <w:rPr>
                <w:rFonts w:hint="eastAsia" w:cs="Times New Roman" w:eastAsiaTheme="minorEastAsia"/>
                <w:b w:val="0"/>
                <w:bCs/>
                <w:color w:val="000000"/>
                <w:kern w:val="0"/>
                <w:sz w:val="18"/>
                <w:szCs w:val="18"/>
                <w:lang w:val="en-US" w:eastAsia="zh-CN" w:bidi="ar-SA"/>
              </w:rPr>
              <w:fldChar w:fldCharType="separate"/>
            </w:r>
            <w:r>
              <w:rPr>
                <w:rFonts w:hint="eastAsia" w:cs="Times New Roman" w:eastAsiaTheme="minorEastAsia"/>
                <w:b w:val="0"/>
                <w:bCs/>
                <w:color w:val="000000"/>
                <w:kern w:val="0"/>
                <w:sz w:val="18"/>
                <w:szCs w:val="18"/>
                <w:lang w:val="en-US" w:eastAsia="zh-CN" w:bidi="ar-SA"/>
              </w:rPr>
              <w:fldChar w:fldCharType="end"/>
            </w:r>
            <w:r>
              <w:rPr>
                <w:rFonts w:hint="eastAsia" w:ascii="Times New Roman" w:hAnsi="Times New Roman" w:cs="Times New Roman" w:eastAsiaTheme="minorEastAsia"/>
                <w:b w:val="0"/>
                <w:bCs/>
                <w:color w:val="000000"/>
                <w:kern w:val="0"/>
                <w:sz w:val="18"/>
                <w:szCs w:val="18"/>
                <w:lang w:val="en-US" w:eastAsia="zh-CN" w:bidi="ar-SA"/>
              </w:rPr>
              <w:fldChar w:fldCharType="separate"/>
            </w:r>
            <w:r>
              <w:rPr>
                <w:rFonts w:hint="eastAsia" w:ascii="Times New Roman" w:hAnsi="Times New Roman" w:cs="Times New Roman" w:eastAsiaTheme="minorEastAsia"/>
                <w:b w:val="0"/>
                <w:bCs/>
                <w:color w:val="000000"/>
                <w:kern w:val="0"/>
                <w:sz w:val="18"/>
                <w:szCs w:val="18"/>
                <w:lang w:val="en-US" w:eastAsia="zh-CN" w:bidi="ar-SA"/>
              </w:rPr>
              <w:t>(32)</w:t>
            </w:r>
            <w:r>
              <w:rPr>
                <w:rFonts w:hint="eastAsia" w:ascii="Times New Roman" w:hAnsi="Times New Roman" w:cs="Times New Roman" w:eastAsiaTheme="minorEastAsia"/>
                <w:b w:val="0"/>
                <w:bCs/>
                <w:color w:val="000000"/>
                <w:kern w:val="0"/>
                <w:sz w:val="18"/>
                <w:szCs w:val="18"/>
                <w:lang w:val="en-US" w:eastAsia="zh-CN" w:bidi="ar-SA"/>
              </w:rPr>
              <w:fldChar w:fldCharType="end"/>
            </w:r>
          </w:p>
        </w:tc>
        <w:tc>
          <w:tcPr>
            <w:tcW w:w="737" w:type="dxa"/>
            <w:tcBorders>
              <w:top w:val="single" w:color="000000" w:sz="4" w:space="0"/>
              <w:left w:val="nil"/>
              <w:bottom w:val="single" w:color="000000" w:sz="4" w:space="0"/>
              <w:right w:val="nil"/>
            </w:tcBorders>
            <w:shd w:val="clear" w:color="auto" w:fill="FFFFFF"/>
            <w:noWrap/>
            <w:vAlign w:val="center"/>
          </w:tcPr>
          <w:p w14:paraId="6AE7958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5C</w:t>
            </w:r>
          </w:p>
        </w:tc>
        <w:tc>
          <w:tcPr>
            <w:tcW w:w="506" w:type="dxa"/>
            <w:tcBorders>
              <w:top w:val="single" w:color="000000" w:sz="4" w:space="0"/>
              <w:left w:val="nil"/>
              <w:bottom w:val="single" w:color="000000" w:sz="4" w:space="0"/>
              <w:right w:val="nil"/>
            </w:tcBorders>
            <w:shd w:val="clear" w:color="auto" w:fill="FFFFFF"/>
            <w:vAlign w:val="center"/>
          </w:tcPr>
          <w:p w14:paraId="1B8793D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6" w:type="dxa"/>
            <w:tcBorders>
              <w:top w:val="single" w:color="000000" w:sz="4" w:space="0"/>
              <w:left w:val="nil"/>
              <w:bottom w:val="single" w:color="000000" w:sz="4" w:space="0"/>
              <w:right w:val="nil"/>
            </w:tcBorders>
            <w:shd w:val="clear" w:color="auto" w:fill="FFFFFF"/>
            <w:vAlign w:val="center"/>
          </w:tcPr>
          <w:p w14:paraId="000589F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PY</w:t>
            </w:r>
          </w:p>
        </w:tc>
        <w:tc>
          <w:tcPr>
            <w:tcW w:w="507" w:type="dxa"/>
            <w:tcBorders>
              <w:top w:val="single" w:color="000000" w:sz="4" w:space="0"/>
              <w:left w:val="nil"/>
              <w:bottom w:val="single" w:color="000000" w:sz="4" w:space="0"/>
              <w:right w:val="nil"/>
            </w:tcBorders>
            <w:shd w:val="clear" w:color="auto" w:fill="FFFFFF"/>
            <w:vAlign w:val="center"/>
          </w:tcPr>
          <w:p w14:paraId="45C2559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592F3B1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6F5B191E">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213C2AF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74D38F6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28B3CE7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69D55821">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23A16FE6">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69B4634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4407772C">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BB25E18">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9" w:type="dxa"/>
            <w:tcBorders>
              <w:top w:val="single" w:color="000000" w:sz="4" w:space="0"/>
              <w:left w:val="nil"/>
              <w:bottom w:val="single" w:color="000000" w:sz="4" w:space="0"/>
              <w:right w:val="nil"/>
            </w:tcBorders>
            <w:shd w:val="clear" w:color="auto" w:fill="FFFFFF"/>
            <w:vAlign w:val="center"/>
          </w:tcPr>
          <w:p w14:paraId="56BF9F1A">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DC4CFD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67" w:type="dxa"/>
            <w:tcBorders>
              <w:top w:val="single" w:color="000000" w:sz="4" w:space="0"/>
              <w:left w:val="nil"/>
              <w:bottom w:val="single" w:color="000000" w:sz="4" w:space="0"/>
              <w:right w:val="nil"/>
            </w:tcBorders>
            <w:shd w:val="clear" w:color="auto" w:fill="FFFFFF"/>
            <w:vAlign w:val="center"/>
          </w:tcPr>
          <w:p w14:paraId="196EEFD3">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67" w:type="dxa"/>
            <w:tcBorders>
              <w:top w:val="single" w:color="000000" w:sz="4" w:space="0"/>
              <w:left w:val="nil"/>
              <w:bottom w:val="single" w:color="000000" w:sz="4" w:space="0"/>
              <w:right w:val="nil"/>
            </w:tcBorders>
            <w:shd w:val="clear" w:color="auto" w:fill="FFFFFF"/>
            <w:vAlign w:val="center"/>
          </w:tcPr>
          <w:p w14:paraId="49CF8ABB">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c>
          <w:tcPr>
            <w:tcW w:w="507" w:type="dxa"/>
            <w:tcBorders>
              <w:top w:val="single" w:color="000000" w:sz="4" w:space="0"/>
              <w:left w:val="nil"/>
              <w:bottom w:val="single" w:color="000000" w:sz="4" w:space="0"/>
              <w:right w:val="nil"/>
            </w:tcBorders>
            <w:shd w:val="clear" w:color="auto" w:fill="FFFFFF"/>
            <w:vAlign w:val="center"/>
          </w:tcPr>
          <w:p w14:paraId="025048E4">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5AA8EBEF">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507" w:type="dxa"/>
            <w:tcBorders>
              <w:top w:val="single" w:color="000000" w:sz="4" w:space="0"/>
              <w:left w:val="nil"/>
              <w:bottom w:val="single" w:color="000000" w:sz="4" w:space="0"/>
              <w:right w:val="nil"/>
            </w:tcBorders>
            <w:shd w:val="clear" w:color="auto" w:fill="FFFFFF"/>
            <w:vAlign w:val="center"/>
          </w:tcPr>
          <w:p w14:paraId="4524B33D">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NI</w:t>
            </w:r>
          </w:p>
        </w:tc>
        <w:tc>
          <w:tcPr>
            <w:tcW w:w="508" w:type="dxa"/>
            <w:tcBorders>
              <w:top w:val="single" w:color="000000" w:sz="4" w:space="0"/>
              <w:left w:val="nil"/>
              <w:bottom w:val="single" w:color="000000" w:sz="4" w:space="0"/>
              <w:right w:val="nil"/>
            </w:tcBorders>
            <w:shd w:val="clear" w:color="auto" w:fill="FFFFFF"/>
            <w:vAlign w:val="center"/>
          </w:tcPr>
          <w:p w14:paraId="1869FE95">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NA</w:t>
            </w:r>
          </w:p>
        </w:tc>
        <w:tc>
          <w:tcPr>
            <w:tcW w:w="507" w:type="dxa"/>
            <w:tcBorders>
              <w:top w:val="single" w:color="000000" w:sz="4" w:space="0"/>
              <w:left w:val="nil"/>
              <w:bottom w:val="single" w:color="000000" w:sz="4" w:space="0"/>
              <w:right w:val="nil"/>
            </w:tcBorders>
            <w:shd w:val="clear" w:color="auto" w:fill="FFFFFF"/>
            <w:vAlign w:val="center"/>
          </w:tcPr>
          <w:p w14:paraId="601972F0">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Y</w:t>
            </w:r>
          </w:p>
        </w:tc>
        <w:tc>
          <w:tcPr>
            <w:tcW w:w="794" w:type="dxa"/>
            <w:tcBorders>
              <w:top w:val="single" w:color="000000" w:sz="4" w:space="0"/>
              <w:left w:val="nil"/>
              <w:bottom w:val="single" w:color="000000" w:sz="4" w:space="0"/>
              <w:right w:val="nil"/>
            </w:tcBorders>
            <w:shd w:val="clear" w:color="auto" w:fill="FFFFFF"/>
            <w:vAlign w:val="center"/>
          </w:tcPr>
          <w:p w14:paraId="07CC3129">
            <w:pPr>
              <w:spacing w:line="240" w:lineRule="auto"/>
              <w:jc w:val="center"/>
              <w:rPr>
                <w:rFonts w:hint="eastAsia" w:ascii="Times New Roman" w:hAnsi="Times New Roman" w:cs="Times New Roman" w:eastAsiaTheme="minorEastAsia"/>
                <w:b w:val="0"/>
                <w:bCs/>
                <w:color w:val="000000"/>
                <w:kern w:val="0"/>
                <w:sz w:val="18"/>
                <w:szCs w:val="18"/>
                <w:lang w:val="en-US" w:eastAsia="zh-CN" w:bidi="ar-SA"/>
              </w:rPr>
            </w:pPr>
            <w:r>
              <w:rPr>
                <w:rFonts w:hint="eastAsia" w:ascii="Times New Roman" w:hAnsi="Times New Roman" w:cs="Times New Roman" w:eastAsiaTheme="minorEastAsia"/>
                <w:b w:val="0"/>
                <w:bCs/>
                <w:color w:val="000000"/>
                <w:kern w:val="0"/>
                <w:sz w:val="18"/>
                <w:szCs w:val="18"/>
                <w:lang w:val="en-US" w:eastAsia="zh-CN" w:bidi="ar-SA"/>
              </w:rPr>
              <w:t>low</w:t>
            </w:r>
          </w:p>
        </w:tc>
      </w:tr>
    </w:tbl>
    <w:p w14:paraId="08763389">
      <w:pPr>
        <w:spacing w:line="240" w:lineRule="auto"/>
        <w:rPr>
          <w:rFonts w:hint="eastAsia" w:cs="Times New Roman" w:eastAsiaTheme="minorEastAsia"/>
          <w:b w:val="0"/>
          <w:bCs/>
          <w:kern w:val="0"/>
          <w:sz w:val="18"/>
          <w:szCs w:val="21"/>
          <w:lang w:val="en-US" w:eastAsia="zh-CN" w:bidi="ar-SA"/>
        </w:rPr>
      </w:pPr>
      <w:r>
        <w:rPr>
          <w:rFonts w:hint="default" w:ascii="Times New Roman Bold" w:hAnsi="Times New Roman Bold" w:cs="Times New Roman Bold" w:eastAsiaTheme="minorEastAsia"/>
          <w:b/>
          <w:bCs w:val="0"/>
          <w:kern w:val="0"/>
          <w:sz w:val="18"/>
          <w:szCs w:val="21"/>
          <w:lang w:val="en-US" w:eastAsia="zh-CN" w:bidi="ar-SA"/>
        </w:rPr>
        <w:t>Note: Domain 1</w:t>
      </w:r>
      <w:r>
        <w:rPr>
          <w:rFonts w:hint="eastAsia" w:cs="Times New Roman" w:eastAsiaTheme="minorEastAsia"/>
          <w:b/>
          <w:bCs w:val="0"/>
          <w:kern w:val="0"/>
          <w:sz w:val="18"/>
          <w:szCs w:val="21"/>
          <w:lang w:val="en-US" w:eastAsia="zh-CN" w:bidi="ar-SA"/>
        </w:rPr>
        <w:t xml:space="preserve"> (Study Participants &amp; Data Source) </w:t>
      </w:r>
      <w:r>
        <w:rPr>
          <w:rFonts w:hint="eastAsia" w:cs="Times New Roman" w:eastAsiaTheme="minorEastAsia"/>
          <w:b w:val="0"/>
          <w:bCs/>
          <w:kern w:val="0"/>
          <w:sz w:val="18"/>
          <w:szCs w:val="21"/>
          <w:lang w:val="en-US" w:eastAsia="zh-CN" w:bidi="ar-SA"/>
        </w:rPr>
        <w:t xml:space="preserve">(Columns: 1.1-1.3, Overall Evaluation1, Applicability Evaluation1): 1.1 Appropriateness of data source; 1.2 Appropriateness of study design; 1.3 Representativeness of study population ensured by inclusion/exclusion criteria; </w:t>
      </w:r>
      <w:r>
        <w:rPr>
          <w:rFonts w:hint="default" w:cs="Times New Roman" w:eastAsiaTheme="minorEastAsia"/>
          <w:b w:val="0"/>
          <w:bCs/>
          <w:kern w:val="0"/>
          <w:sz w:val="18"/>
          <w:szCs w:val="21"/>
          <w:lang w:val="en-US" w:eastAsia="zh-CN" w:bidi="ar-SA"/>
        </w:rPr>
        <w:t xml:space="preserve">OE1, </w:t>
      </w:r>
      <w:r>
        <w:rPr>
          <w:rFonts w:hint="eastAsia" w:cs="Times New Roman" w:eastAsiaTheme="minorEastAsia"/>
          <w:b w:val="0"/>
          <w:bCs/>
          <w:kern w:val="0"/>
          <w:sz w:val="18"/>
          <w:szCs w:val="21"/>
          <w:lang w:val="en-US" w:eastAsia="zh-CN" w:bidi="ar-SA"/>
        </w:rPr>
        <w:t xml:space="preserve">Overall Evaluation1 </w:t>
      </w:r>
      <w:r>
        <w:rPr>
          <w:rFonts w:hint="default" w:cs="Times New Roman" w:eastAsiaTheme="minorEastAsia"/>
          <w:b w:val="0"/>
          <w:bCs/>
          <w:kern w:val="0"/>
          <w:sz w:val="18"/>
          <w:szCs w:val="21"/>
          <w:lang w:val="en-US" w:eastAsia="zh-CN" w:bidi="ar-SA"/>
        </w:rPr>
        <w:t>:</w:t>
      </w:r>
      <w:r>
        <w:rPr>
          <w:rFonts w:hint="eastAsia" w:cs="Times New Roman" w:eastAsiaTheme="minorEastAsia"/>
          <w:b w:val="0"/>
          <w:bCs/>
          <w:kern w:val="0"/>
          <w:sz w:val="18"/>
          <w:szCs w:val="21"/>
          <w:lang w:val="en-US" w:eastAsia="zh-CN" w:bidi="ar-SA"/>
        </w:rPr>
        <w:t xml:space="preserve"> Concerns regarding the quality of participant selection and data source; </w:t>
      </w:r>
      <w:r>
        <w:rPr>
          <w:rFonts w:hint="default" w:cs="Times New Roman" w:eastAsiaTheme="minorEastAsia"/>
          <w:b w:val="0"/>
          <w:bCs/>
          <w:kern w:val="0"/>
          <w:sz w:val="18"/>
          <w:szCs w:val="21"/>
          <w:lang w:val="en-US" w:eastAsia="zh-CN" w:bidi="ar-SA"/>
        </w:rPr>
        <w:t xml:space="preserve">AE1, </w:t>
      </w:r>
      <w:r>
        <w:rPr>
          <w:rFonts w:hint="eastAsia" w:cs="Times New Roman" w:eastAsiaTheme="minorEastAsia"/>
          <w:b w:val="0"/>
          <w:bCs/>
          <w:kern w:val="0"/>
          <w:sz w:val="18"/>
          <w:szCs w:val="21"/>
          <w:lang w:val="en-US" w:eastAsia="zh-CN" w:bidi="ar-SA"/>
        </w:rPr>
        <w:t xml:space="preserve">Applicability Evaluation1: Concerns regarding mismatch between included participants and the research question or the model’s intended use. </w:t>
      </w:r>
    </w:p>
    <w:p w14:paraId="0F3230CA">
      <w:pPr>
        <w:spacing w:line="240" w:lineRule="auto"/>
        <w:rPr>
          <w:rFonts w:hint="eastAsia" w:cs="Times New Roman" w:eastAsiaTheme="minorEastAsia"/>
          <w:b w:val="0"/>
          <w:bCs/>
          <w:kern w:val="0"/>
          <w:sz w:val="18"/>
          <w:szCs w:val="21"/>
          <w:lang w:val="en-US" w:eastAsia="zh-CN" w:bidi="ar-SA"/>
        </w:rPr>
      </w:pPr>
      <w:r>
        <w:rPr>
          <w:rFonts w:hint="default" w:ascii="Times New Roman Bold" w:hAnsi="Times New Roman Bold" w:cs="Times New Roman Bold" w:eastAsiaTheme="minorEastAsia"/>
          <w:b/>
          <w:bCs w:val="0"/>
          <w:kern w:val="0"/>
          <w:sz w:val="18"/>
          <w:szCs w:val="21"/>
          <w:lang w:val="en-US" w:eastAsia="zh-CN" w:bidi="ar-SA"/>
        </w:rPr>
        <w:t xml:space="preserve">Domain 2 (Predictors) </w:t>
      </w:r>
      <w:r>
        <w:rPr>
          <w:rFonts w:hint="eastAsia" w:cs="Times New Roman" w:eastAsiaTheme="minorEastAsia"/>
          <w:b w:val="0"/>
          <w:bCs/>
          <w:kern w:val="0"/>
          <w:sz w:val="18"/>
          <w:szCs w:val="21"/>
          <w:lang w:val="en-US" w:eastAsia="zh-CN" w:bidi="ar-SA"/>
        </w:rPr>
        <w:t xml:space="preserve">(Columns: 2.1-2.4, Overall Evaluation2, Applicability Evaluation2): 2.1 Consistency of predictor definition and assessment across all participants; 2.2 Consistency of predictor preprocessing across all participants; 2.3 Blinding of predictor assessment to outcome data; 2.4 Availability of predictors included in the model at the model’s intended time of use; </w:t>
      </w:r>
      <w:r>
        <w:rPr>
          <w:rFonts w:hint="default" w:cs="Times New Roman" w:eastAsiaTheme="minorEastAsia"/>
          <w:b w:val="0"/>
          <w:bCs/>
          <w:kern w:val="0"/>
          <w:sz w:val="18"/>
          <w:szCs w:val="21"/>
          <w:lang w:val="en-US" w:eastAsia="zh-CN" w:bidi="ar-SA"/>
        </w:rPr>
        <w:t xml:space="preserve">OE2, </w:t>
      </w:r>
      <w:r>
        <w:rPr>
          <w:rFonts w:hint="eastAsia" w:cs="Times New Roman" w:eastAsiaTheme="minorEastAsia"/>
          <w:b w:val="0"/>
          <w:bCs/>
          <w:kern w:val="0"/>
          <w:sz w:val="18"/>
          <w:szCs w:val="21"/>
          <w:lang w:val="en-US" w:eastAsia="zh-CN" w:bidi="ar-SA"/>
        </w:rPr>
        <w:t xml:space="preserve">Overall Evaluation2: Concerns regarding the quality of predictors or their assessment; </w:t>
      </w:r>
      <w:r>
        <w:rPr>
          <w:rFonts w:hint="default" w:cs="Times New Roman" w:eastAsiaTheme="minorEastAsia"/>
          <w:b w:val="0"/>
          <w:bCs/>
          <w:kern w:val="0"/>
          <w:sz w:val="18"/>
          <w:szCs w:val="21"/>
          <w:lang w:val="en-US" w:eastAsia="zh-CN" w:bidi="ar-SA"/>
        </w:rPr>
        <w:t xml:space="preserve">AE2, </w:t>
      </w:r>
      <w:r>
        <w:rPr>
          <w:rFonts w:hint="eastAsia" w:cs="Times New Roman" w:eastAsiaTheme="minorEastAsia"/>
          <w:b w:val="0"/>
          <w:bCs/>
          <w:kern w:val="0"/>
          <w:sz w:val="18"/>
          <w:szCs w:val="21"/>
          <w:lang w:val="en-US" w:eastAsia="zh-CN" w:bidi="ar-SA"/>
        </w:rPr>
        <w:t xml:space="preserve">Applicability Evaluation2: Concerns regarding mismatch between predictor definition, preprocessing, assessment, or timing and the research question or the model’s intended use. </w:t>
      </w:r>
    </w:p>
    <w:p w14:paraId="3A0F40C6">
      <w:pPr>
        <w:spacing w:line="240" w:lineRule="auto"/>
        <w:rPr>
          <w:rFonts w:hint="eastAsia" w:cs="Times New Roman" w:eastAsiaTheme="minorEastAsia"/>
          <w:b w:val="0"/>
          <w:bCs/>
          <w:kern w:val="0"/>
          <w:sz w:val="18"/>
          <w:szCs w:val="21"/>
          <w:lang w:val="en-US" w:eastAsia="zh-CN" w:bidi="ar-SA"/>
        </w:rPr>
      </w:pPr>
      <w:r>
        <w:rPr>
          <w:rFonts w:hint="default" w:ascii="Times New Roman Bold" w:hAnsi="Times New Roman Bold" w:cs="Times New Roman Bold" w:eastAsiaTheme="minorEastAsia"/>
          <w:b/>
          <w:bCs w:val="0"/>
          <w:kern w:val="0"/>
          <w:sz w:val="18"/>
          <w:szCs w:val="21"/>
          <w:lang w:val="en-US" w:eastAsia="zh-CN" w:bidi="ar-SA"/>
        </w:rPr>
        <w:t xml:space="preserve">Domain 3 (Outcome) </w:t>
      </w:r>
      <w:r>
        <w:rPr>
          <w:rFonts w:hint="eastAsia" w:cs="Times New Roman" w:eastAsiaTheme="minorEastAsia"/>
          <w:b w:val="0"/>
          <w:bCs/>
          <w:kern w:val="0"/>
          <w:sz w:val="18"/>
          <w:szCs w:val="21"/>
          <w:lang w:val="en-US" w:eastAsia="zh-CN" w:bidi="ar-SA"/>
        </w:rPr>
        <w:t xml:space="preserve">(Columns: 3.1-3.4, Overall Evaluation3, Applicability Evaluation3): 3.1 Appropriateness of outcome definition and assessment; 3.2 Consistency of outcome definition and assessment across all participants; 3.3 Blinding of outcome assessment to predictor data; 3.4 Appropriateness of the time interval between predictor assessment and outcome assessment; </w:t>
      </w:r>
      <w:r>
        <w:rPr>
          <w:rFonts w:hint="default" w:cs="Times New Roman" w:eastAsiaTheme="minorEastAsia"/>
          <w:b w:val="0"/>
          <w:bCs/>
          <w:kern w:val="0"/>
          <w:sz w:val="18"/>
          <w:szCs w:val="21"/>
          <w:lang w:val="en-US" w:eastAsia="zh-CN" w:bidi="ar-SA"/>
        </w:rPr>
        <w:t xml:space="preserve">OE3, </w:t>
      </w:r>
      <w:r>
        <w:rPr>
          <w:rFonts w:hint="eastAsia" w:cs="Times New Roman" w:eastAsiaTheme="minorEastAsia"/>
          <w:b w:val="0"/>
          <w:bCs/>
          <w:kern w:val="0"/>
          <w:sz w:val="18"/>
          <w:szCs w:val="21"/>
          <w:lang w:val="en-US" w:eastAsia="zh-CN" w:bidi="ar-SA"/>
        </w:rPr>
        <w:t xml:space="preserve">Overall Evaluation3: Concerns regarding the quality of outcome or its ascertainment; </w:t>
      </w:r>
      <w:r>
        <w:rPr>
          <w:rFonts w:hint="default" w:cs="Times New Roman" w:eastAsiaTheme="minorEastAsia"/>
          <w:b w:val="0"/>
          <w:bCs/>
          <w:kern w:val="0"/>
          <w:sz w:val="18"/>
          <w:szCs w:val="21"/>
          <w:lang w:val="en-US" w:eastAsia="zh-CN" w:bidi="ar-SA"/>
        </w:rPr>
        <w:t xml:space="preserve">AE3, </w:t>
      </w:r>
      <w:r>
        <w:rPr>
          <w:rFonts w:hint="eastAsia" w:cs="Times New Roman" w:eastAsiaTheme="minorEastAsia"/>
          <w:b w:val="0"/>
          <w:bCs/>
          <w:kern w:val="0"/>
          <w:sz w:val="18"/>
          <w:szCs w:val="21"/>
          <w:lang w:val="en-US" w:eastAsia="zh-CN" w:bidi="ar-SA"/>
        </w:rPr>
        <w:t xml:space="preserve">Applicability Evaluation3: Concerns regarding mismatch between outcome definition, assessment, or timing and the research question or the model’s intended use. </w:t>
      </w:r>
    </w:p>
    <w:p w14:paraId="1C490AE8">
      <w:pPr>
        <w:spacing w:line="240" w:lineRule="auto"/>
        <w:rPr>
          <w:rFonts w:hint="eastAsia" w:cs="Times New Roman" w:eastAsiaTheme="minorEastAsia"/>
          <w:b w:val="0"/>
          <w:bCs/>
          <w:kern w:val="0"/>
          <w:sz w:val="18"/>
          <w:szCs w:val="21"/>
          <w:lang w:val="en-US" w:eastAsia="zh-CN" w:bidi="ar-SA"/>
        </w:rPr>
      </w:pPr>
      <w:r>
        <w:rPr>
          <w:rFonts w:hint="default" w:ascii="Times New Roman Bold" w:hAnsi="Times New Roman Bold" w:cs="Times New Roman Bold" w:eastAsiaTheme="minorEastAsia"/>
          <w:b/>
          <w:bCs w:val="0"/>
          <w:kern w:val="0"/>
          <w:sz w:val="18"/>
          <w:szCs w:val="21"/>
          <w:lang w:val="en-US" w:eastAsia="zh-CN" w:bidi="ar-SA"/>
        </w:rPr>
        <w:t xml:space="preserve">Domain 4 (Analysis) </w:t>
      </w:r>
      <w:r>
        <w:rPr>
          <w:rFonts w:hint="eastAsia" w:cs="Times New Roman" w:eastAsiaTheme="minorEastAsia"/>
          <w:b w:val="0"/>
          <w:bCs/>
          <w:kern w:val="0"/>
          <w:sz w:val="18"/>
          <w:szCs w:val="21"/>
          <w:lang w:val="en-US" w:eastAsia="zh-CN" w:bidi="ar-SA"/>
        </w:rPr>
        <w:t xml:space="preserve">(Columns: 4.1-4.5, Overall Evaluation4): 4.1 Adequacy of evidence for sample size rationality; 4.2 Appropriate handling of continuous and categorical predictors; 4.3 Appropriate handling of participants with missing or censored data in the analysis; 4.4 Re-calibration of models or model predictions if methods for handling class imbalance are applied; 4.5 Use of methods to address potential model overfitting; </w:t>
      </w:r>
      <w:r>
        <w:rPr>
          <w:rFonts w:hint="default" w:cs="Times New Roman" w:eastAsiaTheme="minorEastAsia"/>
          <w:b w:val="0"/>
          <w:bCs/>
          <w:kern w:val="0"/>
          <w:sz w:val="18"/>
          <w:szCs w:val="21"/>
          <w:lang w:val="en-US" w:eastAsia="zh-CN" w:bidi="ar-SA"/>
        </w:rPr>
        <w:t xml:space="preserve">OE4, </w:t>
      </w:r>
      <w:r>
        <w:rPr>
          <w:rFonts w:hint="eastAsia" w:cs="Times New Roman" w:eastAsiaTheme="minorEastAsia"/>
          <w:b w:val="0"/>
          <w:bCs/>
          <w:kern w:val="0"/>
          <w:sz w:val="18"/>
          <w:szCs w:val="21"/>
          <w:lang w:val="en-US" w:eastAsia="zh-CN" w:bidi="ar-SA"/>
        </w:rPr>
        <w:t xml:space="preserve">Overall Evaluation4 : Concerns regarding the quality of data analysis. </w:t>
      </w:r>
    </w:p>
    <w:p w14:paraId="1A1FCBC9">
      <w:pPr>
        <w:spacing w:line="360" w:lineRule="auto"/>
        <w:rPr>
          <w:rFonts w:hint="default" w:eastAsia="宋体"/>
          <w:sz w:val="21"/>
          <w:lang w:val="en-US" w:eastAsia="zh-CN" w:bidi="ar-SA"/>
        </w:rPr>
      </w:pPr>
      <w:r>
        <w:rPr>
          <w:rFonts w:hint="default" w:eastAsia="宋体"/>
          <w:sz w:val="21"/>
          <w:lang w:val="en-US" w:eastAsia="zh-CN" w:bidi="ar-SA"/>
        </w:rPr>
        <w:br w:type="page"/>
      </w:r>
    </w:p>
    <w:p w14:paraId="32EBD3FA">
      <w:pPr>
        <w:pStyle w:val="4"/>
        <w:bidi w:val="0"/>
        <w:rPr>
          <w:rFonts w:hint="eastAsia"/>
          <w:lang w:val="en-US" w:eastAsia="zh-CN"/>
        </w:rPr>
      </w:pPr>
      <w:bookmarkStart w:id="49" w:name="_Toc1515094621"/>
      <w:bookmarkStart w:id="50" w:name="_Toc567273905"/>
      <w:bookmarkStart w:id="51" w:name="_Toc517114362"/>
      <w:r>
        <w:t>Table S</w:t>
      </w:r>
      <w:r>
        <w:fldChar w:fldCharType="begin"/>
      </w:r>
      <w:r>
        <w:instrText xml:space="preserve"> SEQ Table_S \* ARABIC </w:instrText>
      </w:r>
      <w:r>
        <w:fldChar w:fldCharType="separate"/>
      </w:r>
      <w:r>
        <w:t>12</w:t>
      </w:r>
      <w:r>
        <w:fldChar w:fldCharType="end"/>
      </w:r>
      <w:r>
        <w:rPr>
          <w:rFonts w:hint="default"/>
          <w:lang w:val="en-US"/>
        </w:rPr>
        <w:t xml:space="preserve"> </w:t>
      </w:r>
      <w:r>
        <w:rPr>
          <w:rFonts w:hint="eastAsia"/>
          <w:lang w:val="en-US" w:eastAsia="zh-CN"/>
        </w:rPr>
        <w:t>Risk of Bias and Applicability Assessment for Machine Learning Prediction Models Part II: Model Validation Evaluation</w:t>
      </w:r>
      <w:bookmarkEnd w:id="49"/>
      <w:bookmarkEnd w:id="50"/>
      <w:bookmarkEnd w:id="51"/>
    </w:p>
    <w:tbl>
      <w:tblPr>
        <w:tblStyle w:val="21"/>
        <w:tblW w:w="154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0"/>
        <w:gridCol w:w="727"/>
        <w:gridCol w:w="510"/>
        <w:gridCol w:w="510"/>
        <w:gridCol w:w="510"/>
        <w:gridCol w:w="567"/>
        <w:gridCol w:w="567"/>
        <w:gridCol w:w="510"/>
        <w:gridCol w:w="510"/>
        <w:gridCol w:w="510"/>
        <w:gridCol w:w="510"/>
        <w:gridCol w:w="567"/>
        <w:gridCol w:w="567"/>
        <w:gridCol w:w="510"/>
        <w:gridCol w:w="510"/>
        <w:gridCol w:w="510"/>
        <w:gridCol w:w="510"/>
        <w:gridCol w:w="567"/>
        <w:gridCol w:w="567"/>
        <w:gridCol w:w="510"/>
        <w:gridCol w:w="510"/>
        <w:gridCol w:w="510"/>
        <w:gridCol w:w="510"/>
        <w:gridCol w:w="510"/>
        <w:gridCol w:w="510"/>
        <w:gridCol w:w="510"/>
        <w:gridCol w:w="510"/>
        <w:gridCol w:w="564"/>
        <w:gridCol w:w="3"/>
      </w:tblGrid>
      <w:tr w14:paraId="3A1A76E0">
        <w:trPr>
          <w:gridAfter w:val="1"/>
          <w:wAfter w:w="3" w:type="dxa"/>
          <w:trHeight w:val="396" w:hRule="atLeast"/>
          <w:jc w:val="center"/>
        </w:trPr>
        <w:tc>
          <w:tcPr>
            <w:tcW w:w="1030" w:type="dxa"/>
            <w:vMerge w:val="restart"/>
            <w:tcBorders>
              <w:top w:val="single" w:color="000000" w:sz="4" w:space="0"/>
              <w:left w:val="nil"/>
              <w:bottom w:val="single" w:color="000000" w:sz="4" w:space="0"/>
              <w:right w:val="nil"/>
              <w:tl2br w:val="nil"/>
            </w:tcBorders>
            <w:shd w:val="clear" w:color="auto" w:fill="FFFFFF"/>
            <w:noWrap/>
            <w:vAlign w:val="center"/>
          </w:tcPr>
          <w:p w14:paraId="76639AD3">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First author, publication year</w:t>
            </w:r>
          </w:p>
        </w:tc>
        <w:tc>
          <w:tcPr>
            <w:tcW w:w="727" w:type="dxa"/>
            <w:vMerge w:val="restart"/>
            <w:tcBorders>
              <w:top w:val="single" w:color="000000" w:sz="4" w:space="0"/>
              <w:left w:val="nil"/>
              <w:bottom w:val="single" w:color="000000" w:sz="4" w:space="0"/>
              <w:right w:val="nil"/>
            </w:tcBorders>
            <w:shd w:val="clear" w:color="auto" w:fill="FFFFFF"/>
            <w:noWrap/>
            <w:vAlign w:val="center"/>
          </w:tcPr>
          <w:p w14:paraId="055DAAD2">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Model Code</w:t>
            </w:r>
          </w:p>
        </w:tc>
        <w:tc>
          <w:tcPr>
            <w:tcW w:w="2664" w:type="dxa"/>
            <w:gridSpan w:val="5"/>
            <w:tcBorders>
              <w:top w:val="single" w:color="000000" w:sz="4" w:space="0"/>
              <w:left w:val="nil"/>
              <w:bottom w:val="single" w:color="000000" w:sz="4" w:space="0"/>
              <w:right w:val="nil"/>
            </w:tcBorders>
            <w:shd w:val="clear" w:color="auto" w:fill="FFFFFF"/>
            <w:vAlign w:val="center"/>
          </w:tcPr>
          <w:p w14:paraId="7DC1D9EE">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Domain 1 (Study Participants &amp; Data Source)</w:t>
            </w:r>
          </w:p>
        </w:tc>
        <w:tc>
          <w:tcPr>
            <w:tcW w:w="3174" w:type="dxa"/>
            <w:gridSpan w:val="6"/>
            <w:tcBorders>
              <w:top w:val="single" w:color="000000" w:sz="4" w:space="0"/>
              <w:left w:val="nil"/>
              <w:bottom w:val="single" w:color="000000" w:sz="4" w:space="0"/>
              <w:right w:val="nil"/>
            </w:tcBorders>
            <w:shd w:val="clear" w:color="auto" w:fill="FFFFFF"/>
            <w:vAlign w:val="center"/>
          </w:tcPr>
          <w:p w14:paraId="3382AFAF">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Domain 2 (Predictors)</w:t>
            </w:r>
          </w:p>
        </w:tc>
        <w:tc>
          <w:tcPr>
            <w:tcW w:w="3174" w:type="dxa"/>
            <w:gridSpan w:val="6"/>
            <w:tcBorders>
              <w:top w:val="single" w:color="000000" w:sz="4" w:space="0"/>
              <w:left w:val="nil"/>
              <w:bottom w:val="single" w:color="000000" w:sz="4" w:space="0"/>
              <w:right w:val="nil"/>
            </w:tcBorders>
            <w:shd w:val="clear" w:color="auto" w:fill="FFFFFF"/>
            <w:vAlign w:val="center"/>
          </w:tcPr>
          <w:p w14:paraId="30BB88E5">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Domain 3 (Outcome)</w:t>
            </w:r>
          </w:p>
        </w:tc>
        <w:tc>
          <w:tcPr>
            <w:tcW w:w="4644" w:type="dxa"/>
            <w:gridSpan w:val="9"/>
            <w:tcBorders>
              <w:top w:val="single" w:color="000000" w:sz="4" w:space="0"/>
              <w:left w:val="nil"/>
              <w:bottom w:val="single" w:color="000000" w:sz="4" w:space="0"/>
              <w:right w:val="nil"/>
            </w:tcBorders>
            <w:shd w:val="clear" w:color="auto" w:fill="FFFFFF"/>
            <w:vAlign w:val="center"/>
          </w:tcPr>
          <w:p w14:paraId="6015D238">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Domain 4 (Analysis)</w:t>
            </w:r>
          </w:p>
        </w:tc>
      </w:tr>
      <w:tr w14:paraId="6558DA67">
        <w:trPr>
          <w:trHeight w:val="350" w:hRule="atLeast"/>
          <w:jc w:val="center"/>
        </w:trPr>
        <w:tc>
          <w:tcPr>
            <w:tcW w:w="1030" w:type="dxa"/>
            <w:vMerge w:val="continue"/>
            <w:tcBorders>
              <w:top w:val="single" w:color="000000" w:sz="4" w:space="0"/>
              <w:left w:val="nil"/>
              <w:bottom w:val="single" w:color="000000" w:sz="4" w:space="0"/>
              <w:right w:val="nil"/>
            </w:tcBorders>
            <w:shd w:val="clear" w:color="auto" w:fill="FFFFFF"/>
            <w:noWrap/>
            <w:vAlign w:val="center"/>
          </w:tcPr>
          <w:p w14:paraId="2DF5DBB7">
            <w:pPr>
              <w:jc w:val="center"/>
              <w:rPr>
                <w:rFonts w:hint="default" w:ascii="Times New Roman Bold" w:hAnsi="Times New Roman Bold" w:cs="Times New Roman Bold"/>
                <w:b/>
                <w:bCs/>
                <w:color w:val="000000"/>
                <w:sz w:val="18"/>
                <w:szCs w:val="18"/>
                <w:lang w:val="en-US" w:eastAsia="zh-CN"/>
              </w:rPr>
            </w:pPr>
          </w:p>
        </w:tc>
        <w:tc>
          <w:tcPr>
            <w:tcW w:w="727" w:type="dxa"/>
            <w:vMerge w:val="continue"/>
            <w:tcBorders>
              <w:top w:val="single" w:color="000000" w:sz="4" w:space="0"/>
              <w:left w:val="nil"/>
              <w:bottom w:val="single" w:color="000000" w:sz="4" w:space="0"/>
              <w:right w:val="nil"/>
            </w:tcBorders>
            <w:shd w:val="clear" w:color="auto" w:fill="FFFFFF"/>
            <w:noWrap/>
            <w:vAlign w:val="center"/>
          </w:tcPr>
          <w:p w14:paraId="0F47117A">
            <w:pPr>
              <w:jc w:val="center"/>
              <w:rPr>
                <w:rFonts w:hint="default" w:ascii="Times New Roman Bold" w:hAnsi="Times New Roman Bold" w:cs="Times New Roman Bold"/>
                <w:b/>
                <w:bCs/>
                <w:color w:val="000000"/>
                <w:sz w:val="18"/>
                <w:szCs w:val="18"/>
                <w:lang w:val="en-US" w:eastAsia="zh-CN"/>
              </w:rPr>
            </w:pPr>
          </w:p>
        </w:tc>
        <w:tc>
          <w:tcPr>
            <w:tcW w:w="510" w:type="dxa"/>
            <w:tcBorders>
              <w:top w:val="single" w:color="000000" w:sz="4" w:space="0"/>
              <w:left w:val="nil"/>
              <w:bottom w:val="single" w:color="000000" w:sz="4" w:space="0"/>
              <w:right w:val="nil"/>
            </w:tcBorders>
            <w:shd w:val="clear" w:color="auto" w:fill="FFFFFF"/>
            <w:vAlign w:val="center"/>
          </w:tcPr>
          <w:p w14:paraId="64D14BEF">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1.1</w:t>
            </w:r>
          </w:p>
        </w:tc>
        <w:tc>
          <w:tcPr>
            <w:tcW w:w="510" w:type="dxa"/>
            <w:tcBorders>
              <w:top w:val="single" w:color="000000" w:sz="4" w:space="0"/>
              <w:left w:val="nil"/>
              <w:bottom w:val="single" w:color="000000" w:sz="4" w:space="0"/>
              <w:right w:val="nil"/>
            </w:tcBorders>
            <w:shd w:val="clear" w:color="auto" w:fill="FFFFFF"/>
            <w:vAlign w:val="center"/>
          </w:tcPr>
          <w:p w14:paraId="744DFEE7">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1.2</w:t>
            </w:r>
          </w:p>
        </w:tc>
        <w:tc>
          <w:tcPr>
            <w:tcW w:w="510" w:type="dxa"/>
            <w:tcBorders>
              <w:top w:val="single" w:color="000000" w:sz="4" w:space="0"/>
              <w:left w:val="nil"/>
              <w:bottom w:val="single" w:color="000000" w:sz="4" w:space="0"/>
              <w:right w:val="nil"/>
            </w:tcBorders>
            <w:shd w:val="clear" w:color="auto" w:fill="FFFFFF"/>
            <w:vAlign w:val="center"/>
          </w:tcPr>
          <w:p w14:paraId="0BD8B4E8">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1.3</w:t>
            </w:r>
          </w:p>
        </w:tc>
        <w:tc>
          <w:tcPr>
            <w:tcW w:w="567" w:type="dxa"/>
            <w:tcBorders>
              <w:top w:val="single" w:color="000000" w:sz="4" w:space="0"/>
              <w:left w:val="nil"/>
              <w:bottom w:val="single" w:color="000000" w:sz="4" w:space="0"/>
              <w:right w:val="nil"/>
            </w:tcBorders>
            <w:shd w:val="clear" w:color="auto" w:fill="FFFFFF"/>
            <w:vAlign w:val="center"/>
          </w:tcPr>
          <w:p w14:paraId="0086D425">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OE1</w:t>
            </w:r>
          </w:p>
        </w:tc>
        <w:tc>
          <w:tcPr>
            <w:tcW w:w="567" w:type="dxa"/>
            <w:tcBorders>
              <w:top w:val="single" w:color="000000" w:sz="4" w:space="0"/>
              <w:left w:val="nil"/>
              <w:bottom w:val="single" w:color="000000" w:sz="4" w:space="0"/>
              <w:right w:val="nil"/>
            </w:tcBorders>
            <w:shd w:val="clear" w:color="auto" w:fill="FFFFFF"/>
            <w:vAlign w:val="center"/>
          </w:tcPr>
          <w:p w14:paraId="6C33C594">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AE1</w:t>
            </w:r>
          </w:p>
        </w:tc>
        <w:tc>
          <w:tcPr>
            <w:tcW w:w="510" w:type="dxa"/>
            <w:tcBorders>
              <w:top w:val="single" w:color="000000" w:sz="4" w:space="0"/>
              <w:left w:val="nil"/>
              <w:bottom w:val="single" w:color="000000" w:sz="4" w:space="0"/>
              <w:right w:val="nil"/>
            </w:tcBorders>
            <w:shd w:val="clear" w:color="auto" w:fill="FFFFFF"/>
            <w:vAlign w:val="center"/>
          </w:tcPr>
          <w:p w14:paraId="056B4FEC">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2.1</w:t>
            </w:r>
          </w:p>
        </w:tc>
        <w:tc>
          <w:tcPr>
            <w:tcW w:w="510" w:type="dxa"/>
            <w:tcBorders>
              <w:top w:val="single" w:color="000000" w:sz="4" w:space="0"/>
              <w:left w:val="nil"/>
              <w:bottom w:val="single" w:color="000000" w:sz="4" w:space="0"/>
              <w:right w:val="nil"/>
            </w:tcBorders>
            <w:shd w:val="clear" w:color="auto" w:fill="FFFFFF"/>
            <w:vAlign w:val="center"/>
          </w:tcPr>
          <w:p w14:paraId="0F186BAE">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2.2</w:t>
            </w:r>
          </w:p>
        </w:tc>
        <w:tc>
          <w:tcPr>
            <w:tcW w:w="510" w:type="dxa"/>
            <w:tcBorders>
              <w:top w:val="single" w:color="000000" w:sz="4" w:space="0"/>
              <w:left w:val="nil"/>
              <w:bottom w:val="single" w:color="000000" w:sz="4" w:space="0"/>
              <w:right w:val="nil"/>
            </w:tcBorders>
            <w:shd w:val="clear" w:color="auto" w:fill="FFFFFF"/>
            <w:vAlign w:val="center"/>
          </w:tcPr>
          <w:p w14:paraId="480F2E6A">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2.3</w:t>
            </w:r>
          </w:p>
        </w:tc>
        <w:tc>
          <w:tcPr>
            <w:tcW w:w="510" w:type="dxa"/>
            <w:tcBorders>
              <w:top w:val="single" w:color="000000" w:sz="4" w:space="0"/>
              <w:left w:val="nil"/>
              <w:bottom w:val="single" w:color="000000" w:sz="4" w:space="0"/>
              <w:right w:val="nil"/>
            </w:tcBorders>
            <w:shd w:val="clear" w:color="auto" w:fill="FFFFFF"/>
            <w:vAlign w:val="center"/>
          </w:tcPr>
          <w:p w14:paraId="172D4D0E">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2.4</w:t>
            </w:r>
          </w:p>
        </w:tc>
        <w:tc>
          <w:tcPr>
            <w:tcW w:w="567" w:type="dxa"/>
            <w:tcBorders>
              <w:top w:val="single" w:color="000000" w:sz="4" w:space="0"/>
              <w:left w:val="nil"/>
              <w:bottom w:val="single" w:color="000000" w:sz="4" w:space="0"/>
              <w:right w:val="nil"/>
            </w:tcBorders>
            <w:shd w:val="clear" w:color="auto" w:fill="FFFFFF"/>
            <w:vAlign w:val="center"/>
          </w:tcPr>
          <w:p w14:paraId="67765DD1">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OE2</w:t>
            </w:r>
          </w:p>
        </w:tc>
        <w:tc>
          <w:tcPr>
            <w:tcW w:w="567" w:type="dxa"/>
            <w:tcBorders>
              <w:top w:val="single" w:color="000000" w:sz="4" w:space="0"/>
              <w:left w:val="nil"/>
              <w:bottom w:val="single" w:color="000000" w:sz="4" w:space="0"/>
              <w:right w:val="nil"/>
            </w:tcBorders>
            <w:shd w:val="clear" w:color="auto" w:fill="FFFFFF"/>
            <w:vAlign w:val="center"/>
          </w:tcPr>
          <w:p w14:paraId="16216CC7">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AE2</w:t>
            </w:r>
          </w:p>
        </w:tc>
        <w:tc>
          <w:tcPr>
            <w:tcW w:w="510" w:type="dxa"/>
            <w:tcBorders>
              <w:top w:val="single" w:color="000000" w:sz="4" w:space="0"/>
              <w:left w:val="nil"/>
              <w:bottom w:val="single" w:color="000000" w:sz="4" w:space="0"/>
              <w:right w:val="nil"/>
            </w:tcBorders>
            <w:shd w:val="clear" w:color="auto" w:fill="FFFFFF"/>
            <w:vAlign w:val="center"/>
          </w:tcPr>
          <w:p w14:paraId="20133679">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3.1</w:t>
            </w:r>
          </w:p>
        </w:tc>
        <w:tc>
          <w:tcPr>
            <w:tcW w:w="510" w:type="dxa"/>
            <w:tcBorders>
              <w:top w:val="single" w:color="000000" w:sz="4" w:space="0"/>
              <w:left w:val="nil"/>
              <w:bottom w:val="single" w:color="000000" w:sz="4" w:space="0"/>
              <w:right w:val="nil"/>
            </w:tcBorders>
            <w:shd w:val="clear" w:color="auto" w:fill="FFFFFF"/>
            <w:vAlign w:val="center"/>
          </w:tcPr>
          <w:p w14:paraId="101C62D2">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3.2</w:t>
            </w:r>
          </w:p>
        </w:tc>
        <w:tc>
          <w:tcPr>
            <w:tcW w:w="510" w:type="dxa"/>
            <w:tcBorders>
              <w:top w:val="single" w:color="000000" w:sz="4" w:space="0"/>
              <w:left w:val="nil"/>
              <w:bottom w:val="single" w:color="000000" w:sz="4" w:space="0"/>
              <w:right w:val="nil"/>
            </w:tcBorders>
            <w:shd w:val="clear" w:color="auto" w:fill="FFFFFF"/>
            <w:vAlign w:val="center"/>
          </w:tcPr>
          <w:p w14:paraId="5A49A921">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3.3.</w:t>
            </w:r>
          </w:p>
        </w:tc>
        <w:tc>
          <w:tcPr>
            <w:tcW w:w="510" w:type="dxa"/>
            <w:tcBorders>
              <w:top w:val="single" w:color="000000" w:sz="4" w:space="0"/>
              <w:left w:val="nil"/>
              <w:bottom w:val="single" w:color="000000" w:sz="4" w:space="0"/>
              <w:right w:val="nil"/>
            </w:tcBorders>
            <w:shd w:val="clear" w:color="auto" w:fill="FFFFFF"/>
            <w:vAlign w:val="center"/>
          </w:tcPr>
          <w:p w14:paraId="787E8C5D">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3.4</w:t>
            </w:r>
          </w:p>
        </w:tc>
        <w:tc>
          <w:tcPr>
            <w:tcW w:w="567" w:type="dxa"/>
            <w:tcBorders>
              <w:top w:val="single" w:color="000000" w:sz="4" w:space="0"/>
              <w:left w:val="nil"/>
              <w:bottom w:val="single" w:color="000000" w:sz="4" w:space="0"/>
              <w:right w:val="nil"/>
            </w:tcBorders>
            <w:shd w:val="clear" w:color="auto" w:fill="FFFFFF"/>
            <w:vAlign w:val="center"/>
          </w:tcPr>
          <w:p w14:paraId="4D857364">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OE3</w:t>
            </w:r>
          </w:p>
        </w:tc>
        <w:tc>
          <w:tcPr>
            <w:tcW w:w="567" w:type="dxa"/>
            <w:tcBorders>
              <w:top w:val="single" w:color="000000" w:sz="4" w:space="0"/>
              <w:left w:val="nil"/>
              <w:bottom w:val="single" w:color="000000" w:sz="4" w:space="0"/>
              <w:right w:val="nil"/>
            </w:tcBorders>
            <w:shd w:val="clear" w:color="auto" w:fill="FFFFFF"/>
            <w:vAlign w:val="center"/>
          </w:tcPr>
          <w:p w14:paraId="620BC59C">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AE3</w:t>
            </w:r>
          </w:p>
        </w:tc>
        <w:tc>
          <w:tcPr>
            <w:tcW w:w="510" w:type="dxa"/>
            <w:tcBorders>
              <w:top w:val="single" w:color="000000" w:sz="4" w:space="0"/>
              <w:left w:val="nil"/>
              <w:bottom w:val="single" w:color="000000" w:sz="4" w:space="0"/>
              <w:right w:val="nil"/>
            </w:tcBorders>
            <w:shd w:val="clear" w:color="auto" w:fill="FFFFFF"/>
            <w:vAlign w:val="center"/>
          </w:tcPr>
          <w:p w14:paraId="5BC46390">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ME</w:t>
            </w:r>
          </w:p>
        </w:tc>
        <w:tc>
          <w:tcPr>
            <w:tcW w:w="510" w:type="dxa"/>
            <w:tcBorders>
              <w:top w:val="single" w:color="000000" w:sz="4" w:space="0"/>
              <w:left w:val="nil"/>
              <w:bottom w:val="single" w:color="000000" w:sz="4" w:space="0"/>
              <w:right w:val="nil"/>
            </w:tcBorders>
            <w:shd w:val="clear" w:color="auto" w:fill="FFFFFF"/>
            <w:vAlign w:val="center"/>
          </w:tcPr>
          <w:p w14:paraId="5129F403">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4.1</w:t>
            </w:r>
          </w:p>
        </w:tc>
        <w:tc>
          <w:tcPr>
            <w:tcW w:w="510" w:type="dxa"/>
            <w:tcBorders>
              <w:top w:val="single" w:color="000000" w:sz="4" w:space="0"/>
              <w:left w:val="nil"/>
              <w:bottom w:val="single" w:color="000000" w:sz="4" w:space="0"/>
              <w:right w:val="nil"/>
            </w:tcBorders>
            <w:shd w:val="clear" w:color="auto" w:fill="FFFFFF"/>
            <w:vAlign w:val="center"/>
          </w:tcPr>
          <w:p w14:paraId="329EB7D9">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4.2</w:t>
            </w:r>
          </w:p>
        </w:tc>
        <w:tc>
          <w:tcPr>
            <w:tcW w:w="510" w:type="dxa"/>
            <w:tcBorders>
              <w:top w:val="single" w:color="000000" w:sz="4" w:space="0"/>
              <w:left w:val="nil"/>
              <w:bottom w:val="single" w:color="000000" w:sz="4" w:space="0"/>
              <w:right w:val="nil"/>
            </w:tcBorders>
            <w:shd w:val="clear" w:color="auto" w:fill="FFFFFF"/>
            <w:vAlign w:val="center"/>
          </w:tcPr>
          <w:p w14:paraId="298D196E">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4.3</w:t>
            </w:r>
          </w:p>
        </w:tc>
        <w:tc>
          <w:tcPr>
            <w:tcW w:w="510" w:type="dxa"/>
            <w:tcBorders>
              <w:top w:val="single" w:color="000000" w:sz="4" w:space="0"/>
              <w:left w:val="nil"/>
              <w:bottom w:val="single" w:color="000000" w:sz="4" w:space="0"/>
              <w:right w:val="nil"/>
            </w:tcBorders>
            <w:shd w:val="clear" w:color="auto" w:fill="FFFFFF"/>
            <w:vAlign w:val="center"/>
          </w:tcPr>
          <w:p w14:paraId="019A1D71">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4.4</w:t>
            </w:r>
          </w:p>
        </w:tc>
        <w:tc>
          <w:tcPr>
            <w:tcW w:w="510" w:type="dxa"/>
            <w:tcBorders>
              <w:top w:val="single" w:color="000000" w:sz="4" w:space="0"/>
              <w:left w:val="nil"/>
              <w:bottom w:val="single" w:color="000000" w:sz="4" w:space="0"/>
              <w:right w:val="nil"/>
            </w:tcBorders>
            <w:shd w:val="clear" w:color="auto" w:fill="FFFFFF"/>
            <w:vAlign w:val="center"/>
          </w:tcPr>
          <w:p w14:paraId="3F2A15DD">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4.5</w:t>
            </w:r>
          </w:p>
        </w:tc>
        <w:tc>
          <w:tcPr>
            <w:tcW w:w="510" w:type="dxa"/>
            <w:tcBorders>
              <w:top w:val="single" w:color="000000" w:sz="4" w:space="0"/>
              <w:left w:val="nil"/>
              <w:bottom w:val="single" w:color="000000" w:sz="4" w:space="0"/>
              <w:right w:val="nil"/>
            </w:tcBorders>
            <w:shd w:val="clear" w:color="auto" w:fill="FFFFFF"/>
            <w:vAlign w:val="center"/>
          </w:tcPr>
          <w:p w14:paraId="5AC493B4">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4.6</w:t>
            </w:r>
          </w:p>
        </w:tc>
        <w:tc>
          <w:tcPr>
            <w:tcW w:w="510" w:type="dxa"/>
            <w:tcBorders>
              <w:top w:val="single" w:color="000000" w:sz="4" w:space="0"/>
              <w:left w:val="nil"/>
              <w:bottom w:val="single" w:color="000000" w:sz="4" w:space="0"/>
              <w:right w:val="nil"/>
            </w:tcBorders>
            <w:shd w:val="clear" w:color="auto" w:fill="FFFFFF"/>
            <w:vAlign w:val="center"/>
          </w:tcPr>
          <w:p w14:paraId="73D304D3">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4.7</w:t>
            </w:r>
          </w:p>
        </w:tc>
        <w:tc>
          <w:tcPr>
            <w:tcW w:w="567" w:type="dxa"/>
            <w:gridSpan w:val="2"/>
            <w:tcBorders>
              <w:top w:val="single" w:color="000000" w:sz="4" w:space="0"/>
              <w:left w:val="nil"/>
              <w:bottom w:val="single" w:color="000000" w:sz="4" w:space="0"/>
              <w:right w:val="nil"/>
            </w:tcBorders>
            <w:shd w:val="clear" w:color="auto" w:fill="FFFFFF"/>
            <w:vAlign w:val="center"/>
          </w:tcPr>
          <w:p w14:paraId="69232ABA">
            <w:pPr>
              <w:jc w:val="center"/>
              <w:rPr>
                <w:rFonts w:hint="default" w:ascii="Times New Roman Bold" w:hAnsi="Times New Roman Bold" w:cs="Times New Roman Bold"/>
                <w:b/>
                <w:bCs/>
                <w:color w:val="000000"/>
                <w:sz w:val="18"/>
                <w:szCs w:val="18"/>
                <w:lang w:val="en-US" w:eastAsia="zh-CN"/>
              </w:rPr>
            </w:pPr>
            <w:r>
              <w:rPr>
                <w:rFonts w:hint="default" w:ascii="Times New Roman Bold" w:hAnsi="Times New Roman Bold" w:cs="Times New Roman Bold"/>
                <w:b/>
                <w:bCs/>
                <w:color w:val="000000"/>
                <w:sz w:val="18"/>
                <w:szCs w:val="18"/>
                <w:lang w:val="en-US" w:eastAsia="zh-CN"/>
              </w:rPr>
              <w:t>OE4</w:t>
            </w:r>
          </w:p>
        </w:tc>
      </w:tr>
      <w:tr w14:paraId="3FE33DBB">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4DD99715">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702902E0">
            <w:pPr>
              <w:jc w:val="center"/>
              <w:rPr>
                <w:rFonts w:hint="eastAsia"/>
                <w:b w:val="0"/>
                <w:color w:val="000000"/>
                <w:sz w:val="18"/>
                <w:szCs w:val="18"/>
                <w:lang w:val="en-US" w:eastAsia="zh-CN"/>
              </w:rPr>
            </w:pPr>
            <w:r>
              <w:rPr>
                <w:rFonts w:hint="eastAsia"/>
                <w:b w:val="0"/>
                <w:color w:val="000000"/>
                <w:sz w:val="18"/>
                <w:szCs w:val="18"/>
                <w:lang w:val="en-US" w:eastAsia="zh-CN"/>
              </w:rPr>
              <w:t>2A</w:t>
            </w:r>
          </w:p>
        </w:tc>
        <w:tc>
          <w:tcPr>
            <w:tcW w:w="510" w:type="dxa"/>
            <w:tcBorders>
              <w:top w:val="single" w:color="000000" w:sz="4" w:space="0"/>
              <w:left w:val="nil"/>
              <w:bottom w:val="single" w:color="000000" w:sz="4" w:space="0"/>
              <w:right w:val="nil"/>
            </w:tcBorders>
            <w:shd w:val="clear" w:color="auto" w:fill="FFFFFF"/>
            <w:vAlign w:val="center"/>
          </w:tcPr>
          <w:p w14:paraId="4C1AEC0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E5CAF6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9B85E6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30A266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289A75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66773B0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BC0C7E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571C54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8FAA49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5B700F4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E2816A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5186DCF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D1F5DD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06DB22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28F9FF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1CB9F1B5">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3B0EF8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588E0957">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290FCA6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6AA7DA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201FBF6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A7329E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B0780C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D6CCEF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D6CB089">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18FCDD16">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7D93B99A">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6B40523F">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4A6DE66E">
            <w:pPr>
              <w:jc w:val="center"/>
              <w:rPr>
                <w:rFonts w:hint="eastAsia"/>
                <w:b w:val="0"/>
                <w:color w:val="000000"/>
                <w:sz w:val="18"/>
                <w:szCs w:val="18"/>
                <w:lang w:val="en-US" w:eastAsia="zh-CN"/>
              </w:rPr>
            </w:pPr>
            <w:r>
              <w:rPr>
                <w:rFonts w:hint="eastAsia"/>
                <w:b w:val="0"/>
                <w:color w:val="000000"/>
                <w:sz w:val="18"/>
                <w:szCs w:val="18"/>
                <w:lang w:val="en-US" w:eastAsia="zh-CN"/>
              </w:rPr>
              <w:t>2B</w:t>
            </w:r>
          </w:p>
        </w:tc>
        <w:tc>
          <w:tcPr>
            <w:tcW w:w="510" w:type="dxa"/>
            <w:tcBorders>
              <w:top w:val="single" w:color="000000" w:sz="4" w:space="0"/>
              <w:left w:val="nil"/>
              <w:bottom w:val="single" w:color="000000" w:sz="4" w:space="0"/>
              <w:right w:val="nil"/>
            </w:tcBorders>
            <w:shd w:val="clear" w:color="auto" w:fill="FFFFFF"/>
            <w:vAlign w:val="center"/>
          </w:tcPr>
          <w:p w14:paraId="675A510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E62F25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CE1D52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36976E58">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3E4D229B">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22797AD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3F60FF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20DCF8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E7A68A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15545A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13A6B0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0CFCC8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46898E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38FDEF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08E204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70A2B5A">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54BC41C">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79B9008">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6A0347D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79E8DA3">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69A3073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E7DF0D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0DE4F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A4DB5C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766D38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7F6133DB">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5CEBA1C6">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54DD57E2">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5BCA9AC6">
            <w:pPr>
              <w:jc w:val="center"/>
              <w:rPr>
                <w:rFonts w:hint="eastAsia"/>
                <w:b w:val="0"/>
                <w:color w:val="000000"/>
                <w:sz w:val="18"/>
                <w:szCs w:val="18"/>
                <w:lang w:val="en-US" w:eastAsia="zh-CN"/>
              </w:rPr>
            </w:pPr>
            <w:r>
              <w:rPr>
                <w:rFonts w:hint="eastAsia"/>
                <w:b w:val="0"/>
                <w:color w:val="000000"/>
                <w:sz w:val="18"/>
                <w:szCs w:val="18"/>
                <w:lang w:val="en-US" w:eastAsia="zh-CN"/>
              </w:rPr>
              <w:t>2C</w:t>
            </w:r>
          </w:p>
        </w:tc>
        <w:tc>
          <w:tcPr>
            <w:tcW w:w="510" w:type="dxa"/>
            <w:tcBorders>
              <w:top w:val="single" w:color="000000" w:sz="4" w:space="0"/>
              <w:left w:val="nil"/>
              <w:bottom w:val="single" w:color="000000" w:sz="4" w:space="0"/>
              <w:right w:val="nil"/>
            </w:tcBorders>
            <w:shd w:val="clear" w:color="auto" w:fill="FFFFFF"/>
            <w:vAlign w:val="center"/>
          </w:tcPr>
          <w:p w14:paraId="65D4D48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C8E7F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8F2452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91260AB">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6C8803F">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DF0026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FE29C8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09839A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480AF6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5D893D23">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E201AC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FDCF90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4C41A0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D4C58B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BECD3E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B50C9C9">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051CE52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3F92E98">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709CFC6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B4FA7DE">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559ABC1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95EDC4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AAFD6B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F665ED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25F7EB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112D4A4D">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069AD482">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4C8AB521">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529E7C6A">
            <w:pPr>
              <w:jc w:val="center"/>
              <w:rPr>
                <w:rFonts w:hint="eastAsia"/>
                <w:b w:val="0"/>
                <w:color w:val="000000"/>
                <w:sz w:val="18"/>
                <w:szCs w:val="18"/>
                <w:lang w:val="en-US" w:eastAsia="zh-CN"/>
              </w:rPr>
            </w:pPr>
            <w:r>
              <w:rPr>
                <w:rFonts w:hint="eastAsia"/>
                <w:b w:val="0"/>
                <w:color w:val="000000"/>
                <w:sz w:val="18"/>
                <w:szCs w:val="18"/>
                <w:lang w:val="en-US" w:eastAsia="zh-CN"/>
              </w:rPr>
              <w:t>2D</w:t>
            </w:r>
          </w:p>
        </w:tc>
        <w:tc>
          <w:tcPr>
            <w:tcW w:w="510" w:type="dxa"/>
            <w:tcBorders>
              <w:top w:val="single" w:color="000000" w:sz="4" w:space="0"/>
              <w:left w:val="nil"/>
              <w:bottom w:val="single" w:color="000000" w:sz="4" w:space="0"/>
              <w:right w:val="nil"/>
            </w:tcBorders>
            <w:shd w:val="clear" w:color="auto" w:fill="FFFFFF"/>
            <w:vAlign w:val="center"/>
          </w:tcPr>
          <w:p w14:paraId="12C146D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871DB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4F2629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392CB60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8B587E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7A1A203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AF7601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8C9E93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E95202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4EC2C2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5004646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650FE1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0F53BE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6C36C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079E63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CAEC7F8">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0755CE76">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0B1E1798">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007480C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BB3805A">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0A9542F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3453E2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06E77B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13E56A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38ECED7">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72FAD7EA">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66275905">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1C2D6100">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459C4DEA">
            <w:pPr>
              <w:jc w:val="center"/>
              <w:rPr>
                <w:rFonts w:hint="eastAsia"/>
                <w:b w:val="0"/>
                <w:color w:val="000000"/>
                <w:sz w:val="18"/>
                <w:szCs w:val="18"/>
                <w:lang w:val="en-US" w:eastAsia="zh-CN"/>
              </w:rPr>
            </w:pPr>
            <w:r>
              <w:rPr>
                <w:rFonts w:hint="eastAsia"/>
                <w:b w:val="0"/>
                <w:color w:val="000000"/>
                <w:sz w:val="18"/>
                <w:szCs w:val="18"/>
                <w:lang w:val="en-US" w:eastAsia="zh-CN"/>
              </w:rPr>
              <w:t>2E</w:t>
            </w:r>
          </w:p>
        </w:tc>
        <w:tc>
          <w:tcPr>
            <w:tcW w:w="510" w:type="dxa"/>
            <w:tcBorders>
              <w:top w:val="single" w:color="000000" w:sz="4" w:space="0"/>
              <w:left w:val="nil"/>
              <w:bottom w:val="single" w:color="000000" w:sz="4" w:space="0"/>
              <w:right w:val="nil"/>
            </w:tcBorders>
            <w:shd w:val="clear" w:color="auto" w:fill="FFFFFF"/>
            <w:vAlign w:val="center"/>
          </w:tcPr>
          <w:p w14:paraId="0DEBBC1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4A8460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D1E585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AD3190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E73EABA">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B27148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448E51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20FAA5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31DE2B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5BFA5EA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F19CD0A">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2995C2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C3A3D2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ADF2EA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D39647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4D1FE8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58D6959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5D140DA6">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47C1B56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A715E5">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1FB5E46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B326DB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7B359F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9BBF98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325E78D">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1DF4CE46">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170781A0">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1862EBF0">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3F7967AD">
            <w:pPr>
              <w:jc w:val="center"/>
              <w:rPr>
                <w:rFonts w:hint="eastAsia"/>
                <w:b w:val="0"/>
                <w:color w:val="000000"/>
                <w:sz w:val="18"/>
                <w:szCs w:val="18"/>
                <w:lang w:val="en-US" w:eastAsia="zh-CN"/>
              </w:rPr>
            </w:pPr>
            <w:r>
              <w:rPr>
                <w:rFonts w:hint="eastAsia"/>
                <w:b w:val="0"/>
                <w:color w:val="000000"/>
                <w:sz w:val="18"/>
                <w:szCs w:val="18"/>
                <w:lang w:val="en-US" w:eastAsia="zh-CN"/>
              </w:rPr>
              <w:t>2F</w:t>
            </w:r>
          </w:p>
        </w:tc>
        <w:tc>
          <w:tcPr>
            <w:tcW w:w="510" w:type="dxa"/>
            <w:tcBorders>
              <w:top w:val="single" w:color="000000" w:sz="4" w:space="0"/>
              <w:left w:val="nil"/>
              <w:bottom w:val="single" w:color="000000" w:sz="4" w:space="0"/>
              <w:right w:val="nil"/>
            </w:tcBorders>
            <w:shd w:val="clear" w:color="auto" w:fill="FFFFFF"/>
            <w:vAlign w:val="center"/>
          </w:tcPr>
          <w:p w14:paraId="401AC23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549105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6C973C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27904C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0D02955">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5612EA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F572A1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9F25A8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C89E09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9DFF30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BF6EBC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71C1B25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FD0CFA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B15C52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F1639C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F9B1A9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CCBBC6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757E8630">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68EA400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E06B7AB">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60B9BBA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4BC1FD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D0E07D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6042EF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53A998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7C6D2E92">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41C08CB2">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39BA0A98">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0C04F85C">
            <w:pPr>
              <w:jc w:val="center"/>
              <w:rPr>
                <w:rFonts w:hint="eastAsia"/>
                <w:b w:val="0"/>
                <w:color w:val="000000"/>
                <w:sz w:val="18"/>
                <w:szCs w:val="18"/>
                <w:lang w:val="en-US" w:eastAsia="zh-CN"/>
              </w:rPr>
            </w:pPr>
            <w:r>
              <w:rPr>
                <w:rFonts w:hint="eastAsia"/>
                <w:b w:val="0"/>
                <w:color w:val="000000"/>
                <w:sz w:val="18"/>
                <w:szCs w:val="18"/>
                <w:lang w:val="en-US" w:eastAsia="zh-CN"/>
              </w:rPr>
              <w:t>2G</w:t>
            </w:r>
          </w:p>
        </w:tc>
        <w:tc>
          <w:tcPr>
            <w:tcW w:w="510" w:type="dxa"/>
            <w:tcBorders>
              <w:top w:val="single" w:color="000000" w:sz="4" w:space="0"/>
              <w:left w:val="nil"/>
              <w:bottom w:val="single" w:color="000000" w:sz="4" w:space="0"/>
              <w:right w:val="nil"/>
            </w:tcBorders>
            <w:shd w:val="clear" w:color="auto" w:fill="FFFFFF"/>
            <w:vAlign w:val="center"/>
          </w:tcPr>
          <w:p w14:paraId="7A4446F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0CB4F1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698B62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B3A27F9">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193AD5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2B95DEC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DE1139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4F8213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7C0F68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4443A98">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5C4ACD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29BAC55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C59830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250CF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9F045C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43E3D05">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492DD7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7E0D4F1F">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078308C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134BEAF">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3DE1B06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A1AA35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AB25DE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A64517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A616FD">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0F4BD4D1">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4EF5675F">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0AF23CB4">
            <w:pPr>
              <w:jc w:val="center"/>
              <w:rPr>
                <w:rFonts w:hint="eastAsia"/>
                <w:b w:val="0"/>
                <w:color w:val="000000"/>
                <w:sz w:val="18"/>
                <w:szCs w:val="18"/>
                <w:lang w:val="en-US" w:eastAsia="zh-CN"/>
              </w:rPr>
            </w:pPr>
            <w:r>
              <w:rPr>
                <w:rFonts w:hint="eastAsia"/>
                <w:b w:val="0"/>
                <w:color w:val="000000"/>
                <w:sz w:val="18"/>
                <w:szCs w:val="18"/>
                <w:lang w:val="en-US" w:eastAsia="zh-CN"/>
              </w:rPr>
              <w:t>Yang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PEVuZE5vdGU+PENpdGU+PEF1dGhvcj5ZYW5nPC9BdXRob3I+PFllYXI+MjAyNTwvWWVhcj48UmVj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QzEyMzcwNDc5PC9jdXN0b20yPjxlbGVjdHJvbmljLXJlc291cmNlLW51bT4xMC4zMzg5L2ZlbmRv
LjIwMjUuMTY0OTk4ODwvZWxlY3Ryb25pYy1yZXNvdXJjZS1udW0+PHJlbW90ZS1kYXRhYmFzZS1w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(29)</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258371D4">
            <w:pPr>
              <w:jc w:val="center"/>
              <w:rPr>
                <w:rFonts w:hint="eastAsia"/>
                <w:b w:val="0"/>
                <w:color w:val="000000"/>
                <w:sz w:val="18"/>
                <w:szCs w:val="18"/>
                <w:lang w:val="en-US" w:eastAsia="zh-CN"/>
              </w:rPr>
            </w:pPr>
            <w:r>
              <w:rPr>
                <w:rFonts w:hint="eastAsia"/>
                <w:b w:val="0"/>
                <w:color w:val="000000"/>
                <w:sz w:val="18"/>
                <w:szCs w:val="18"/>
                <w:lang w:val="en-US" w:eastAsia="zh-CN"/>
              </w:rPr>
              <w:t>2H</w:t>
            </w:r>
          </w:p>
        </w:tc>
        <w:tc>
          <w:tcPr>
            <w:tcW w:w="510" w:type="dxa"/>
            <w:tcBorders>
              <w:top w:val="single" w:color="000000" w:sz="4" w:space="0"/>
              <w:left w:val="nil"/>
              <w:bottom w:val="single" w:color="000000" w:sz="4" w:space="0"/>
              <w:right w:val="nil"/>
            </w:tcBorders>
            <w:shd w:val="clear" w:color="auto" w:fill="FFFFFF"/>
            <w:vAlign w:val="center"/>
          </w:tcPr>
          <w:p w14:paraId="7C9A7F1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5E09BA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D9E0F2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43BB2F5">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D408E8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08146AA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E19AB9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4D65B3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A394A2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5832F9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5F2A9CBF">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7B8411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E1788E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57BECF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D5EA21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EA42669">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FD577B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3C41326">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2A4E7D9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9B77E54">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58F776A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061BEC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D98681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720246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A84F51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4D25C7CF">
            <w:pPr>
              <w:jc w:val="center"/>
              <w:rPr>
                <w:rFonts w:hint="eastAsia"/>
                <w:b w:val="0"/>
                <w:color w:val="000000"/>
                <w:sz w:val="18"/>
                <w:szCs w:val="18"/>
                <w:lang w:val="en-US" w:eastAsia="zh-CN"/>
              </w:rPr>
            </w:pPr>
            <w:r>
              <w:rPr>
                <w:rFonts w:hint="eastAsia"/>
                <w:b w:val="0"/>
                <w:color w:val="000000"/>
                <w:sz w:val="18"/>
                <w:szCs w:val="18"/>
                <w:lang w:val="en-US" w:eastAsia="zh-CN"/>
              </w:rPr>
              <w:t>unclear</w:t>
            </w:r>
          </w:p>
        </w:tc>
      </w:tr>
      <w:tr w14:paraId="61239369">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29251DFF">
            <w:pPr>
              <w:jc w:val="center"/>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662EB771">
            <w:pPr>
              <w:jc w:val="center"/>
              <w:rPr>
                <w:rFonts w:hint="eastAsia"/>
                <w:b w:val="0"/>
                <w:color w:val="000000"/>
                <w:sz w:val="18"/>
                <w:szCs w:val="18"/>
                <w:lang w:val="en-US" w:eastAsia="zh-CN"/>
              </w:rPr>
            </w:pPr>
            <w:r>
              <w:rPr>
                <w:rFonts w:hint="eastAsia"/>
                <w:b w:val="0"/>
                <w:color w:val="000000"/>
                <w:sz w:val="18"/>
                <w:szCs w:val="18"/>
                <w:lang w:val="en-US" w:eastAsia="zh-CN"/>
              </w:rPr>
              <w:t>3A</w:t>
            </w:r>
          </w:p>
        </w:tc>
        <w:tc>
          <w:tcPr>
            <w:tcW w:w="510" w:type="dxa"/>
            <w:tcBorders>
              <w:top w:val="single" w:color="000000" w:sz="4" w:space="0"/>
              <w:left w:val="nil"/>
              <w:bottom w:val="single" w:color="000000" w:sz="4" w:space="0"/>
              <w:right w:val="nil"/>
            </w:tcBorders>
            <w:shd w:val="clear" w:color="auto" w:fill="FFFFFF"/>
            <w:vAlign w:val="center"/>
          </w:tcPr>
          <w:p w14:paraId="1766341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7886F0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928DABF">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tcBorders>
              <w:top w:val="single" w:color="000000" w:sz="4" w:space="0"/>
              <w:left w:val="nil"/>
              <w:bottom w:val="single" w:color="000000" w:sz="4" w:space="0"/>
              <w:right w:val="nil"/>
            </w:tcBorders>
            <w:shd w:val="clear" w:color="auto" w:fill="FFFFFF"/>
            <w:vAlign w:val="center"/>
          </w:tcPr>
          <w:p w14:paraId="739A7C3A">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9AF7DE5">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0CDEAC3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C786A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63C682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8911EC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305E59A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3062062E">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677CBBF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817A5F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88EB79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E29D2C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6EFB1DC">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1B27C6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C01EB9F">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7845EB5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67F3EEC">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33516DD2">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7C2C5F69">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2C2D989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92C573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89D4A6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gridSpan w:val="2"/>
            <w:tcBorders>
              <w:top w:val="single" w:color="000000" w:sz="4" w:space="0"/>
              <w:left w:val="nil"/>
              <w:bottom w:val="single" w:color="000000" w:sz="4" w:space="0"/>
              <w:right w:val="nil"/>
            </w:tcBorders>
            <w:shd w:val="clear" w:color="auto" w:fill="FFFFFF"/>
            <w:vAlign w:val="center"/>
          </w:tcPr>
          <w:p w14:paraId="0435A33E">
            <w:pPr>
              <w:jc w:val="center"/>
              <w:rPr>
                <w:rFonts w:hint="eastAsia"/>
                <w:b w:val="0"/>
                <w:color w:val="000000"/>
                <w:sz w:val="18"/>
                <w:szCs w:val="18"/>
                <w:lang w:val="en-US" w:eastAsia="zh-CN"/>
              </w:rPr>
            </w:pPr>
            <w:r>
              <w:rPr>
                <w:rFonts w:hint="eastAsia"/>
                <w:b w:val="0"/>
                <w:color w:val="000000"/>
                <w:sz w:val="18"/>
                <w:szCs w:val="18"/>
                <w:lang w:val="en-US" w:eastAsia="zh-CN"/>
              </w:rPr>
              <w:t>low</w:t>
            </w:r>
          </w:p>
        </w:tc>
      </w:tr>
      <w:tr w14:paraId="388390F5">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15891602">
            <w:pPr>
              <w:jc w:val="center"/>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38AE69EA">
            <w:pPr>
              <w:jc w:val="center"/>
              <w:rPr>
                <w:rFonts w:hint="eastAsia"/>
                <w:b w:val="0"/>
                <w:color w:val="000000"/>
                <w:sz w:val="18"/>
                <w:szCs w:val="18"/>
                <w:lang w:val="en-US" w:eastAsia="zh-CN"/>
              </w:rPr>
            </w:pPr>
            <w:r>
              <w:rPr>
                <w:rFonts w:hint="eastAsia"/>
                <w:b w:val="0"/>
                <w:color w:val="000000"/>
                <w:sz w:val="18"/>
                <w:szCs w:val="18"/>
                <w:lang w:val="en-US" w:eastAsia="zh-CN"/>
              </w:rPr>
              <w:t>3B</w:t>
            </w:r>
          </w:p>
        </w:tc>
        <w:tc>
          <w:tcPr>
            <w:tcW w:w="510" w:type="dxa"/>
            <w:tcBorders>
              <w:top w:val="single" w:color="000000" w:sz="4" w:space="0"/>
              <w:left w:val="nil"/>
              <w:bottom w:val="single" w:color="000000" w:sz="4" w:space="0"/>
              <w:right w:val="nil"/>
            </w:tcBorders>
            <w:shd w:val="clear" w:color="auto" w:fill="FFFFFF"/>
            <w:vAlign w:val="center"/>
          </w:tcPr>
          <w:p w14:paraId="0BF5F72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ABC15B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8D450E">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tcBorders>
              <w:top w:val="single" w:color="000000" w:sz="4" w:space="0"/>
              <w:left w:val="nil"/>
              <w:bottom w:val="single" w:color="000000" w:sz="4" w:space="0"/>
              <w:right w:val="nil"/>
            </w:tcBorders>
            <w:shd w:val="clear" w:color="auto" w:fill="FFFFFF"/>
            <w:vAlign w:val="center"/>
          </w:tcPr>
          <w:p w14:paraId="08E3834C">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B29A0D0">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913B40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E7AB1D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F77D0D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8788D1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1D45AF1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09F9DFCC">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2C836B0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00EA3D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AE1E43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03A013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2572BB6">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1A0F38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523D69F5">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49E0ED3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1F2BB7D">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33E26920">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05E6F5BF">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12B1EE2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AF6C34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0A6737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gridSpan w:val="2"/>
            <w:tcBorders>
              <w:top w:val="single" w:color="000000" w:sz="4" w:space="0"/>
              <w:left w:val="nil"/>
              <w:bottom w:val="single" w:color="000000" w:sz="4" w:space="0"/>
              <w:right w:val="nil"/>
            </w:tcBorders>
            <w:shd w:val="clear" w:color="auto" w:fill="FFFFFF"/>
            <w:vAlign w:val="center"/>
          </w:tcPr>
          <w:p w14:paraId="72105D66">
            <w:pPr>
              <w:jc w:val="center"/>
              <w:rPr>
                <w:rFonts w:hint="eastAsia"/>
                <w:b w:val="0"/>
                <w:color w:val="000000"/>
                <w:sz w:val="18"/>
                <w:szCs w:val="18"/>
                <w:lang w:val="en-US" w:eastAsia="zh-CN"/>
              </w:rPr>
            </w:pPr>
            <w:r>
              <w:rPr>
                <w:rFonts w:hint="eastAsia"/>
                <w:b w:val="0"/>
                <w:color w:val="000000"/>
                <w:sz w:val="18"/>
                <w:szCs w:val="18"/>
                <w:lang w:val="en-US" w:eastAsia="zh-CN"/>
              </w:rPr>
              <w:t>low</w:t>
            </w:r>
          </w:p>
        </w:tc>
      </w:tr>
      <w:tr w14:paraId="6974D75D">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2F9CEFB0">
            <w:pPr>
              <w:jc w:val="center"/>
              <w:rPr>
                <w:rFonts w:hint="eastAsia"/>
                <w:b w:val="0"/>
                <w:color w:val="000000"/>
                <w:sz w:val="18"/>
                <w:szCs w:val="18"/>
                <w:lang w:val="en-US" w:eastAsia="zh-CN"/>
              </w:rPr>
            </w:pPr>
            <w:r>
              <w:rPr>
                <w:rFonts w:hint="eastAsia"/>
                <w:b w:val="0"/>
                <w:color w:val="000000"/>
                <w:sz w:val="18"/>
                <w:szCs w:val="18"/>
                <w:lang w:val="en-US" w:eastAsia="zh-CN"/>
              </w:rPr>
              <w:t>Garcia C, et al., 2020</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PEVuZE5vdGU+PENpdGU+PEF1dGhvcj5HYXJjaWEtQ2FycmV0ZXJvPC9BdXRob3I+PFllYXI+MjAy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(30)</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511CB9EE">
            <w:pPr>
              <w:jc w:val="center"/>
              <w:rPr>
                <w:rFonts w:hint="eastAsia"/>
                <w:b w:val="0"/>
                <w:color w:val="000000"/>
                <w:sz w:val="18"/>
                <w:szCs w:val="18"/>
                <w:lang w:val="en-US" w:eastAsia="zh-CN"/>
              </w:rPr>
            </w:pPr>
            <w:r>
              <w:rPr>
                <w:rFonts w:hint="eastAsia"/>
                <w:b w:val="0"/>
                <w:color w:val="000000"/>
                <w:sz w:val="18"/>
                <w:szCs w:val="18"/>
                <w:lang w:val="en-US" w:eastAsia="zh-CN"/>
              </w:rPr>
              <w:t>3C</w:t>
            </w:r>
          </w:p>
        </w:tc>
        <w:tc>
          <w:tcPr>
            <w:tcW w:w="510" w:type="dxa"/>
            <w:tcBorders>
              <w:top w:val="single" w:color="000000" w:sz="4" w:space="0"/>
              <w:left w:val="nil"/>
              <w:bottom w:val="single" w:color="000000" w:sz="4" w:space="0"/>
              <w:right w:val="nil"/>
            </w:tcBorders>
            <w:shd w:val="clear" w:color="auto" w:fill="FFFFFF"/>
            <w:vAlign w:val="center"/>
          </w:tcPr>
          <w:p w14:paraId="115BE48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34D5C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2B5BFB4">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tcBorders>
              <w:top w:val="single" w:color="000000" w:sz="4" w:space="0"/>
              <w:left w:val="nil"/>
              <w:bottom w:val="single" w:color="000000" w:sz="4" w:space="0"/>
              <w:right w:val="nil"/>
            </w:tcBorders>
            <w:shd w:val="clear" w:color="auto" w:fill="FFFFFF"/>
            <w:vAlign w:val="center"/>
          </w:tcPr>
          <w:p w14:paraId="6021C901">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702789F">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B79E16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22BCAC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E94E8C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742D71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195AB2B">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5B3B696">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8857B7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87A040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89426D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45EC3B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1B110F81">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278066D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723E047">
            <w:pPr>
              <w:jc w:val="center"/>
              <w:rPr>
                <w:rFonts w:hint="eastAsia"/>
                <w:b w:val="0"/>
                <w:color w:val="000000"/>
                <w:sz w:val="18"/>
                <w:szCs w:val="18"/>
                <w:lang w:val="en-US" w:eastAsia="zh-CN"/>
              </w:rPr>
            </w:pPr>
            <w:r>
              <w:rPr>
                <w:rFonts w:hint="eastAsia"/>
                <w:b w:val="0"/>
                <w:color w:val="000000"/>
                <w:sz w:val="18"/>
                <w:szCs w:val="18"/>
                <w:lang w:val="en-US" w:eastAsia="zh-CN"/>
              </w:rPr>
              <w:t>A/I</w:t>
            </w:r>
          </w:p>
        </w:tc>
        <w:tc>
          <w:tcPr>
            <w:tcW w:w="510" w:type="dxa"/>
            <w:tcBorders>
              <w:top w:val="single" w:color="000000" w:sz="4" w:space="0"/>
              <w:left w:val="nil"/>
              <w:bottom w:val="single" w:color="000000" w:sz="4" w:space="0"/>
              <w:right w:val="nil"/>
            </w:tcBorders>
            <w:shd w:val="clear" w:color="auto" w:fill="FFFFFF"/>
            <w:vAlign w:val="center"/>
          </w:tcPr>
          <w:p w14:paraId="1B79BB9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6CF278C">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025F7D1F">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10" w:type="dxa"/>
            <w:tcBorders>
              <w:top w:val="single" w:color="000000" w:sz="4" w:space="0"/>
              <w:left w:val="nil"/>
              <w:bottom w:val="single" w:color="000000" w:sz="4" w:space="0"/>
              <w:right w:val="nil"/>
            </w:tcBorders>
            <w:shd w:val="clear" w:color="auto" w:fill="FFFFFF"/>
            <w:vAlign w:val="center"/>
          </w:tcPr>
          <w:p w14:paraId="6F18EF2E">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65CC284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634C12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11D4263">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gridSpan w:val="2"/>
            <w:tcBorders>
              <w:top w:val="single" w:color="000000" w:sz="4" w:space="0"/>
              <w:left w:val="nil"/>
              <w:bottom w:val="single" w:color="000000" w:sz="4" w:space="0"/>
              <w:right w:val="nil"/>
            </w:tcBorders>
            <w:shd w:val="clear" w:color="auto" w:fill="FFFFFF"/>
            <w:vAlign w:val="center"/>
          </w:tcPr>
          <w:p w14:paraId="4670796A">
            <w:pPr>
              <w:jc w:val="center"/>
              <w:rPr>
                <w:rFonts w:hint="eastAsia"/>
                <w:b w:val="0"/>
                <w:color w:val="000000"/>
                <w:sz w:val="18"/>
                <w:szCs w:val="18"/>
                <w:lang w:val="en-US" w:eastAsia="zh-CN"/>
              </w:rPr>
            </w:pPr>
            <w:r>
              <w:rPr>
                <w:rFonts w:hint="eastAsia"/>
                <w:b w:val="0"/>
                <w:color w:val="000000"/>
                <w:sz w:val="18"/>
                <w:szCs w:val="18"/>
                <w:lang w:val="en-US" w:eastAsia="zh-CN"/>
              </w:rPr>
              <w:t>low</w:t>
            </w:r>
          </w:p>
        </w:tc>
      </w:tr>
      <w:tr w14:paraId="179947C7">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4969F218">
            <w:pPr>
              <w:jc w:val="center"/>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3F657BE0">
            <w:pPr>
              <w:jc w:val="center"/>
              <w:rPr>
                <w:rFonts w:hint="eastAsia"/>
                <w:b w:val="0"/>
                <w:color w:val="000000"/>
                <w:sz w:val="18"/>
                <w:szCs w:val="18"/>
                <w:lang w:val="en-US" w:eastAsia="zh-CN"/>
              </w:rPr>
            </w:pPr>
            <w:r>
              <w:rPr>
                <w:rFonts w:hint="eastAsia"/>
                <w:b w:val="0"/>
                <w:color w:val="000000"/>
                <w:sz w:val="18"/>
                <w:szCs w:val="18"/>
                <w:lang w:val="en-US" w:eastAsia="zh-CN"/>
              </w:rPr>
              <w:t>5A</w:t>
            </w:r>
          </w:p>
        </w:tc>
        <w:tc>
          <w:tcPr>
            <w:tcW w:w="510" w:type="dxa"/>
            <w:tcBorders>
              <w:top w:val="single" w:color="000000" w:sz="4" w:space="0"/>
              <w:left w:val="nil"/>
              <w:bottom w:val="single" w:color="000000" w:sz="4" w:space="0"/>
              <w:right w:val="nil"/>
            </w:tcBorders>
            <w:shd w:val="clear" w:color="auto" w:fill="FFFFFF"/>
            <w:vAlign w:val="center"/>
          </w:tcPr>
          <w:p w14:paraId="467A48C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5AF6BD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E8FD5E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29DA03A1">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25C5DEF">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5B6B4E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F6EF69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E14206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AEA8A3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08782963">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22175BF">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4E4521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E9A8DE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C195F4B">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4516D7E">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4DB521EB">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9C31D24">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C8DE2BD">
            <w:pPr>
              <w:jc w:val="center"/>
              <w:rPr>
                <w:rFonts w:hint="eastAsia"/>
                <w:b w:val="0"/>
                <w:color w:val="000000"/>
                <w:sz w:val="18"/>
                <w:szCs w:val="18"/>
                <w:lang w:val="en-US" w:eastAsia="zh-CN"/>
              </w:rPr>
            </w:pPr>
            <w:r>
              <w:rPr>
                <w:rFonts w:hint="eastAsia"/>
                <w:b w:val="0"/>
                <w:color w:val="000000"/>
                <w:sz w:val="18"/>
                <w:szCs w:val="18"/>
                <w:lang w:val="en-US" w:eastAsia="zh-CN"/>
              </w:rPr>
              <w:t>A/I/E</w:t>
            </w:r>
          </w:p>
        </w:tc>
        <w:tc>
          <w:tcPr>
            <w:tcW w:w="510" w:type="dxa"/>
            <w:tcBorders>
              <w:top w:val="single" w:color="000000" w:sz="4" w:space="0"/>
              <w:left w:val="nil"/>
              <w:bottom w:val="single" w:color="000000" w:sz="4" w:space="0"/>
              <w:right w:val="nil"/>
            </w:tcBorders>
            <w:shd w:val="clear" w:color="auto" w:fill="FFFFFF"/>
            <w:vAlign w:val="center"/>
          </w:tcPr>
          <w:p w14:paraId="2319C19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D3E1EB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0014DB1">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40184AD">
            <w:pPr>
              <w:jc w:val="center"/>
              <w:rPr>
                <w:rFonts w:hint="eastAsia"/>
                <w:b w:val="0"/>
                <w:color w:val="000000"/>
                <w:sz w:val="18"/>
                <w:szCs w:val="18"/>
                <w:lang w:val="en-US" w:eastAsia="zh-CN"/>
              </w:rPr>
            </w:pPr>
            <w:r>
              <w:rPr>
                <w:rFonts w:hint="eastAsia"/>
                <w:b w:val="0"/>
                <w:color w:val="000000"/>
                <w:sz w:val="18"/>
                <w:szCs w:val="18"/>
                <w:lang w:val="en-US" w:eastAsia="zh-CN"/>
              </w:rPr>
              <w:t>NI</w:t>
            </w:r>
          </w:p>
        </w:tc>
        <w:tc>
          <w:tcPr>
            <w:tcW w:w="510" w:type="dxa"/>
            <w:tcBorders>
              <w:top w:val="single" w:color="000000" w:sz="4" w:space="0"/>
              <w:left w:val="nil"/>
              <w:bottom w:val="single" w:color="000000" w:sz="4" w:space="0"/>
              <w:right w:val="nil"/>
            </w:tcBorders>
            <w:shd w:val="clear" w:color="auto" w:fill="FFFFFF"/>
            <w:vAlign w:val="center"/>
          </w:tcPr>
          <w:p w14:paraId="112111B1">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0058C0AD">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1AD33D6B">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633BF423">
            <w:pPr>
              <w:jc w:val="center"/>
              <w:rPr>
                <w:rFonts w:hint="eastAsia"/>
                <w:b w:val="0"/>
                <w:color w:val="000000"/>
                <w:sz w:val="18"/>
                <w:szCs w:val="18"/>
                <w:lang w:val="en-US" w:eastAsia="zh-CN"/>
              </w:rPr>
            </w:pPr>
            <w:r>
              <w:rPr>
                <w:rFonts w:hint="eastAsia"/>
                <w:b w:val="0"/>
                <w:color w:val="000000"/>
                <w:sz w:val="18"/>
                <w:szCs w:val="18"/>
                <w:lang w:val="en-US" w:eastAsia="zh-CN"/>
              </w:rPr>
              <w:t>low</w:t>
            </w:r>
          </w:p>
        </w:tc>
      </w:tr>
      <w:tr w14:paraId="0FC737C3">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519AEF43">
            <w:pPr>
              <w:jc w:val="center"/>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224F4C2F">
            <w:pPr>
              <w:jc w:val="center"/>
              <w:rPr>
                <w:rFonts w:hint="eastAsia"/>
                <w:b w:val="0"/>
                <w:color w:val="000000"/>
                <w:sz w:val="18"/>
                <w:szCs w:val="18"/>
                <w:lang w:val="en-US" w:eastAsia="zh-CN"/>
              </w:rPr>
            </w:pPr>
            <w:r>
              <w:rPr>
                <w:rFonts w:hint="eastAsia"/>
                <w:b w:val="0"/>
                <w:color w:val="000000"/>
                <w:sz w:val="18"/>
                <w:szCs w:val="18"/>
                <w:lang w:val="en-US" w:eastAsia="zh-CN"/>
              </w:rPr>
              <w:t>5B</w:t>
            </w:r>
          </w:p>
        </w:tc>
        <w:tc>
          <w:tcPr>
            <w:tcW w:w="510" w:type="dxa"/>
            <w:tcBorders>
              <w:top w:val="single" w:color="000000" w:sz="4" w:space="0"/>
              <w:left w:val="nil"/>
              <w:bottom w:val="single" w:color="000000" w:sz="4" w:space="0"/>
              <w:right w:val="nil"/>
            </w:tcBorders>
            <w:shd w:val="clear" w:color="auto" w:fill="FFFFFF"/>
            <w:vAlign w:val="center"/>
          </w:tcPr>
          <w:p w14:paraId="31F6DE1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1890154">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160493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703B1743">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140CF939">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3ABB72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AB7FC6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2A9C8BC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D71C83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1BB5076B">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3332109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617D6CC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4A386F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AD5EDED">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7E4FA27">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6B2F9FB7">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7DA5A342">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3E07904B">
            <w:pPr>
              <w:jc w:val="center"/>
              <w:rPr>
                <w:rFonts w:hint="eastAsia"/>
                <w:b w:val="0"/>
                <w:color w:val="000000"/>
                <w:sz w:val="18"/>
                <w:szCs w:val="18"/>
                <w:lang w:val="en-US" w:eastAsia="zh-CN"/>
              </w:rPr>
            </w:pPr>
            <w:r>
              <w:rPr>
                <w:rFonts w:hint="eastAsia"/>
                <w:b w:val="0"/>
                <w:color w:val="000000"/>
                <w:sz w:val="18"/>
                <w:szCs w:val="18"/>
                <w:lang w:val="en-US" w:eastAsia="zh-CN"/>
              </w:rPr>
              <w:t>A/I/E</w:t>
            </w:r>
          </w:p>
        </w:tc>
        <w:tc>
          <w:tcPr>
            <w:tcW w:w="510" w:type="dxa"/>
            <w:tcBorders>
              <w:top w:val="single" w:color="000000" w:sz="4" w:space="0"/>
              <w:left w:val="nil"/>
              <w:bottom w:val="single" w:color="000000" w:sz="4" w:space="0"/>
              <w:right w:val="nil"/>
            </w:tcBorders>
            <w:shd w:val="clear" w:color="auto" w:fill="FFFFFF"/>
            <w:vAlign w:val="center"/>
          </w:tcPr>
          <w:p w14:paraId="27F05F80">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76A6DF4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9A081F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F540FA3">
            <w:pPr>
              <w:jc w:val="center"/>
              <w:rPr>
                <w:rFonts w:hint="eastAsia"/>
                <w:b w:val="0"/>
                <w:color w:val="000000"/>
                <w:sz w:val="18"/>
                <w:szCs w:val="18"/>
                <w:lang w:val="en-US" w:eastAsia="zh-CN"/>
              </w:rPr>
            </w:pPr>
            <w:r>
              <w:rPr>
                <w:rFonts w:hint="eastAsia"/>
                <w:b w:val="0"/>
                <w:color w:val="000000"/>
                <w:sz w:val="18"/>
                <w:szCs w:val="18"/>
                <w:lang w:val="en-US" w:eastAsia="zh-CN"/>
              </w:rPr>
              <w:t>NI</w:t>
            </w:r>
          </w:p>
        </w:tc>
        <w:tc>
          <w:tcPr>
            <w:tcW w:w="510" w:type="dxa"/>
            <w:tcBorders>
              <w:top w:val="single" w:color="000000" w:sz="4" w:space="0"/>
              <w:left w:val="nil"/>
              <w:bottom w:val="single" w:color="000000" w:sz="4" w:space="0"/>
              <w:right w:val="nil"/>
            </w:tcBorders>
            <w:shd w:val="clear" w:color="auto" w:fill="FFFFFF"/>
            <w:vAlign w:val="center"/>
          </w:tcPr>
          <w:p w14:paraId="01233651">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0E2559BC">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388FDFC1">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0255A811">
            <w:pPr>
              <w:jc w:val="center"/>
              <w:rPr>
                <w:rFonts w:hint="eastAsia"/>
                <w:b w:val="0"/>
                <w:color w:val="000000"/>
                <w:sz w:val="18"/>
                <w:szCs w:val="18"/>
                <w:lang w:val="en-US" w:eastAsia="zh-CN"/>
              </w:rPr>
            </w:pPr>
            <w:r>
              <w:rPr>
                <w:rFonts w:hint="eastAsia"/>
                <w:b w:val="0"/>
                <w:color w:val="000000"/>
                <w:sz w:val="18"/>
                <w:szCs w:val="18"/>
                <w:lang w:val="en-US" w:eastAsia="zh-CN"/>
              </w:rPr>
              <w:t>low</w:t>
            </w:r>
          </w:p>
        </w:tc>
      </w:tr>
      <w:tr w14:paraId="243AA903">
        <w:trPr>
          <w:trHeight w:val="351" w:hRule="atLeast"/>
          <w:jc w:val="center"/>
        </w:trPr>
        <w:tc>
          <w:tcPr>
            <w:tcW w:w="1030" w:type="dxa"/>
            <w:tcBorders>
              <w:top w:val="single" w:color="000000" w:sz="4" w:space="0"/>
              <w:left w:val="nil"/>
              <w:bottom w:val="single" w:color="000000" w:sz="4" w:space="0"/>
              <w:right w:val="nil"/>
            </w:tcBorders>
            <w:shd w:val="clear" w:color="auto" w:fill="FFFFFF"/>
            <w:noWrap/>
            <w:vAlign w:val="center"/>
          </w:tcPr>
          <w:p w14:paraId="0731ED61">
            <w:pPr>
              <w:jc w:val="center"/>
              <w:rPr>
                <w:rFonts w:hint="eastAsia"/>
                <w:b w:val="0"/>
                <w:color w:val="000000"/>
                <w:sz w:val="18"/>
                <w:szCs w:val="18"/>
                <w:lang w:val="en-US" w:eastAsia="zh-CN"/>
              </w:rPr>
            </w:pPr>
            <w:r>
              <w:rPr>
                <w:rFonts w:hint="eastAsia"/>
                <w:b w:val="0"/>
                <w:color w:val="000000"/>
                <w:sz w:val="18"/>
                <w:szCs w:val="18"/>
                <w:lang w:val="en-US" w:eastAsia="zh-CN"/>
              </w:rPr>
              <w:t>Park J, et al., 2025</w:t>
            </w:r>
            <w:r>
              <w:rPr>
                <w:rFonts w:hint="eastAsia"/>
                <w:b w:val="0"/>
                <w:color w:val="000000"/>
                <w:sz w:val="18"/>
                <w:szCs w:val="18"/>
                <w:lang w:val="en-US" w:eastAsia="zh-CN"/>
              </w:rPr>
              <w:fldChar w:fldCharType="begin"/>
            </w:r>
            <w:r>
              <w:rPr>
                <w:rFonts w:hint="eastAsia"/>
                <w:b w:val="0"/>
                <w:color w:val="000000"/>
                <w:sz w:val="18"/>
                <w:szCs w:val="18"/>
                <w:lang w:val="en-US" w:eastAsia="zh-CN"/>
              </w:rPr>
              <w:instrText xml:space="preserve"> ADDIN EN.CITE </w:instrText>
            </w:r>
            <w:r>
              <w:rPr>
                <w:rFonts w:hint="eastAsia"/>
                <w:b w:val="0"/>
                <w:color w:val="000000"/>
                <w:sz w:val="18"/>
                <w:szCs w:val="18"/>
                <w:lang w:val="en-US" w:eastAsia="zh-CN"/>
              </w:rPr>
              <w:fldChar w:fldCharType="begin">
                <w:fldData xml:space="preserve">PEVuZE5vdGU+PENpdGU+PEF1dGhvcj5QYXJrPC9BdXRob3I+PFllYXI+MjAyNTwvWWVhcj48UmVj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</w:fldData>
              </w:fldChar>
            </w:r>
            <w:r>
              <w:rPr>
                <w:rFonts w:hint="eastAsia"/>
                <w:b w:val="0"/>
                <w:color w:val="000000"/>
                <w:sz w:val="18"/>
                <w:szCs w:val="18"/>
                <w:lang w:val="en-US" w:eastAsia="zh-CN"/>
              </w:rPr>
              <w:instrText xml:space="preserve"> ADDIN EN.CITE.DATA </w:instrText>
            </w:r>
            <w:r>
              <w:rPr>
                <w:rFonts w:hint="eastAsia"/>
                <w:b w:val="0"/>
                <w:color w:val="000000"/>
                <w:sz w:val="18"/>
                <w:szCs w:val="18"/>
                <w:lang w:val="en-US" w:eastAsia="zh-CN"/>
              </w:rPr>
              <w:fldChar w:fldCharType="separate"/>
            </w:r>
            <w:r>
              <w:rPr>
                <w:rFonts w:hint="eastAsia"/>
                <w:b w:val="0"/>
                <w:color w:val="000000"/>
                <w:sz w:val="18"/>
                <w:szCs w:val="18"/>
                <w:lang w:val="en-US" w:eastAsia="zh-CN"/>
              </w:rPr>
              <w:fldChar w:fldCharType="end"/>
            </w:r>
            <w:r>
              <w:rPr>
                <w:rFonts w:hint="eastAsia"/>
                <w:b w:val="0"/>
                <w:color w:val="000000"/>
                <w:sz w:val="18"/>
                <w:szCs w:val="18"/>
                <w:lang w:val="en-US" w:eastAsia="zh-CN"/>
              </w:rPr>
              <w:fldChar w:fldCharType="separate"/>
            </w:r>
            <w:r>
              <w:rPr>
                <w:rFonts w:hint="eastAsia" w:ascii="Times New Roman" w:hAnsi="Times New Roman" w:eastAsia="KaiTi_GB2312" w:cstheme="minorBidi"/>
                <w:b w:val="0"/>
                <w:color w:val="000000"/>
                <w:sz w:val="18"/>
                <w:szCs w:val="18"/>
                <w:lang w:val="en-US" w:eastAsia="zh-CN" w:bidi="ar-SA"/>
              </w:rPr>
              <w:t>(32)</w:t>
            </w:r>
            <w:r>
              <w:rPr>
                <w:rFonts w:hint="eastAsia"/>
                <w:b w:val="0"/>
                <w:color w:val="000000"/>
                <w:sz w:val="18"/>
                <w:szCs w:val="18"/>
                <w:lang w:val="en-US" w:eastAsia="zh-CN"/>
              </w:rPr>
              <w:fldChar w:fldCharType="end"/>
            </w:r>
          </w:p>
        </w:tc>
        <w:tc>
          <w:tcPr>
            <w:tcW w:w="727" w:type="dxa"/>
            <w:tcBorders>
              <w:top w:val="single" w:color="000000" w:sz="4" w:space="0"/>
              <w:left w:val="nil"/>
              <w:bottom w:val="single" w:color="000000" w:sz="4" w:space="0"/>
              <w:right w:val="nil"/>
            </w:tcBorders>
            <w:shd w:val="clear" w:color="auto" w:fill="FFFFFF"/>
            <w:noWrap/>
            <w:vAlign w:val="center"/>
          </w:tcPr>
          <w:p w14:paraId="51E46D91">
            <w:pPr>
              <w:jc w:val="center"/>
              <w:rPr>
                <w:rFonts w:hint="eastAsia"/>
                <w:b w:val="0"/>
                <w:color w:val="000000"/>
                <w:sz w:val="18"/>
                <w:szCs w:val="18"/>
                <w:lang w:val="en-US" w:eastAsia="zh-CN"/>
              </w:rPr>
            </w:pPr>
            <w:r>
              <w:rPr>
                <w:rFonts w:hint="eastAsia"/>
                <w:b w:val="0"/>
                <w:color w:val="000000"/>
                <w:sz w:val="18"/>
                <w:szCs w:val="18"/>
                <w:lang w:val="en-US" w:eastAsia="zh-CN"/>
              </w:rPr>
              <w:t>5C</w:t>
            </w:r>
          </w:p>
        </w:tc>
        <w:tc>
          <w:tcPr>
            <w:tcW w:w="510" w:type="dxa"/>
            <w:tcBorders>
              <w:top w:val="single" w:color="000000" w:sz="4" w:space="0"/>
              <w:left w:val="nil"/>
              <w:bottom w:val="single" w:color="000000" w:sz="4" w:space="0"/>
              <w:right w:val="nil"/>
            </w:tcBorders>
            <w:shd w:val="clear" w:color="auto" w:fill="FFFFFF"/>
            <w:vAlign w:val="center"/>
          </w:tcPr>
          <w:p w14:paraId="39C36CE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5F4BB736">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E48787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2B1C047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64673256">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2EF8550C">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FE7633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0790F01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C8148A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30166B83">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4280C6CD">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472B2488">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7B1CFD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3A15782">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4B11F625">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67" w:type="dxa"/>
            <w:tcBorders>
              <w:top w:val="single" w:color="000000" w:sz="4" w:space="0"/>
              <w:left w:val="nil"/>
              <w:bottom w:val="single" w:color="000000" w:sz="4" w:space="0"/>
              <w:right w:val="nil"/>
            </w:tcBorders>
            <w:shd w:val="clear" w:color="auto" w:fill="FFFFFF"/>
            <w:vAlign w:val="center"/>
          </w:tcPr>
          <w:p w14:paraId="24C32C88">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67" w:type="dxa"/>
            <w:tcBorders>
              <w:top w:val="single" w:color="000000" w:sz="4" w:space="0"/>
              <w:left w:val="nil"/>
              <w:bottom w:val="single" w:color="000000" w:sz="4" w:space="0"/>
              <w:right w:val="nil"/>
            </w:tcBorders>
            <w:shd w:val="clear" w:color="auto" w:fill="FFFFFF"/>
            <w:vAlign w:val="center"/>
          </w:tcPr>
          <w:p w14:paraId="5D06F5CC">
            <w:pPr>
              <w:jc w:val="center"/>
              <w:rPr>
                <w:rFonts w:hint="eastAsia"/>
                <w:b w:val="0"/>
                <w:color w:val="000000"/>
                <w:sz w:val="18"/>
                <w:szCs w:val="18"/>
                <w:lang w:val="en-US" w:eastAsia="zh-CN"/>
              </w:rPr>
            </w:pPr>
            <w:r>
              <w:rPr>
                <w:rFonts w:hint="eastAsia"/>
                <w:b w:val="0"/>
                <w:color w:val="000000"/>
                <w:sz w:val="18"/>
                <w:szCs w:val="18"/>
                <w:lang w:val="en-US" w:eastAsia="zh-CN"/>
              </w:rPr>
              <w:t>low</w:t>
            </w:r>
          </w:p>
        </w:tc>
        <w:tc>
          <w:tcPr>
            <w:tcW w:w="510" w:type="dxa"/>
            <w:tcBorders>
              <w:top w:val="single" w:color="000000" w:sz="4" w:space="0"/>
              <w:left w:val="nil"/>
              <w:bottom w:val="single" w:color="000000" w:sz="4" w:space="0"/>
              <w:right w:val="nil"/>
            </w:tcBorders>
            <w:shd w:val="clear" w:color="auto" w:fill="FFFFFF"/>
            <w:vAlign w:val="center"/>
          </w:tcPr>
          <w:p w14:paraId="149C912B">
            <w:pPr>
              <w:jc w:val="center"/>
              <w:rPr>
                <w:rFonts w:hint="eastAsia"/>
                <w:b w:val="0"/>
                <w:color w:val="000000"/>
                <w:sz w:val="18"/>
                <w:szCs w:val="18"/>
                <w:lang w:val="en-US" w:eastAsia="zh-CN"/>
              </w:rPr>
            </w:pPr>
            <w:r>
              <w:rPr>
                <w:rFonts w:hint="eastAsia"/>
                <w:b w:val="0"/>
                <w:color w:val="000000"/>
                <w:sz w:val="18"/>
                <w:szCs w:val="18"/>
                <w:lang w:val="en-US" w:eastAsia="zh-CN"/>
              </w:rPr>
              <w:t>A/I/E</w:t>
            </w:r>
          </w:p>
        </w:tc>
        <w:tc>
          <w:tcPr>
            <w:tcW w:w="510" w:type="dxa"/>
            <w:tcBorders>
              <w:top w:val="single" w:color="000000" w:sz="4" w:space="0"/>
              <w:left w:val="nil"/>
              <w:bottom w:val="single" w:color="000000" w:sz="4" w:space="0"/>
              <w:right w:val="nil"/>
            </w:tcBorders>
            <w:shd w:val="clear" w:color="auto" w:fill="FFFFFF"/>
            <w:vAlign w:val="center"/>
          </w:tcPr>
          <w:p w14:paraId="044395FA">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1EB4FE3F">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64634579">
            <w:pPr>
              <w:jc w:val="center"/>
              <w:rPr>
                <w:rFonts w:hint="eastAsia"/>
                <w:b w:val="0"/>
                <w:color w:val="000000"/>
                <w:sz w:val="18"/>
                <w:szCs w:val="18"/>
                <w:lang w:val="en-US" w:eastAsia="zh-CN"/>
              </w:rPr>
            </w:pPr>
            <w:r>
              <w:rPr>
                <w:rFonts w:hint="eastAsia"/>
                <w:b w:val="0"/>
                <w:color w:val="000000"/>
                <w:sz w:val="18"/>
                <w:szCs w:val="18"/>
                <w:lang w:val="en-US" w:eastAsia="zh-CN"/>
              </w:rPr>
              <w:t>Y</w:t>
            </w:r>
          </w:p>
        </w:tc>
        <w:tc>
          <w:tcPr>
            <w:tcW w:w="510" w:type="dxa"/>
            <w:tcBorders>
              <w:top w:val="single" w:color="000000" w:sz="4" w:space="0"/>
              <w:left w:val="nil"/>
              <w:bottom w:val="single" w:color="000000" w:sz="4" w:space="0"/>
              <w:right w:val="nil"/>
            </w:tcBorders>
            <w:shd w:val="clear" w:color="auto" w:fill="FFFFFF"/>
            <w:vAlign w:val="center"/>
          </w:tcPr>
          <w:p w14:paraId="39EFB805">
            <w:pPr>
              <w:jc w:val="center"/>
              <w:rPr>
                <w:rFonts w:hint="eastAsia"/>
                <w:b w:val="0"/>
                <w:color w:val="000000"/>
                <w:sz w:val="18"/>
                <w:szCs w:val="18"/>
                <w:lang w:val="en-US" w:eastAsia="zh-CN"/>
              </w:rPr>
            </w:pPr>
            <w:r>
              <w:rPr>
                <w:rFonts w:hint="eastAsia"/>
                <w:b w:val="0"/>
                <w:color w:val="000000"/>
                <w:sz w:val="18"/>
                <w:szCs w:val="18"/>
                <w:lang w:val="en-US" w:eastAsia="zh-CN"/>
              </w:rPr>
              <w:t>NI</w:t>
            </w:r>
          </w:p>
        </w:tc>
        <w:tc>
          <w:tcPr>
            <w:tcW w:w="510" w:type="dxa"/>
            <w:tcBorders>
              <w:top w:val="single" w:color="000000" w:sz="4" w:space="0"/>
              <w:left w:val="nil"/>
              <w:bottom w:val="single" w:color="000000" w:sz="4" w:space="0"/>
              <w:right w:val="nil"/>
            </w:tcBorders>
            <w:shd w:val="clear" w:color="auto" w:fill="FFFFFF"/>
            <w:vAlign w:val="center"/>
          </w:tcPr>
          <w:p w14:paraId="1B5060BA">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20BE225E">
            <w:pPr>
              <w:jc w:val="center"/>
              <w:rPr>
                <w:rFonts w:hint="eastAsia"/>
                <w:b w:val="0"/>
                <w:color w:val="000000"/>
                <w:sz w:val="18"/>
                <w:szCs w:val="18"/>
                <w:lang w:val="en-US" w:eastAsia="zh-CN"/>
              </w:rPr>
            </w:pPr>
            <w:r>
              <w:rPr>
                <w:rFonts w:hint="eastAsia"/>
                <w:b w:val="0"/>
                <w:color w:val="000000"/>
                <w:sz w:val="18"/>
                <w:szCs w:val="18"/>
                <w:lang w:val="en-US" w:eastAsia="zh-CN"/>
              </w:rPr>
              <w:t>NA</w:t>
            </w:r>
          </w:p>
        </w:tc>
        <w:tc>
          <w:tcPr>
            <w:tcW w:w="510" w:type="dxa"/>
            <w:tcBorders>
              <w:top w:val="single" w:color="000000" w:sz="4" w:space="0"/>
              <w:left w:val="nil"/>
              <w:bottom w:val="single" w:color="000000" w:sz="4" w:space="0"/>
              <w:right w:val="nil"/>
            </w:tcBorders>
            <w:shd w:val="clear" w:color="auto" w:fill="FFFFFF"/>
            <w:vAlign w:val="center"/>
          </w:tcPr>
          <w:p w14:paraId="191F7C2D">
            <w:pPr>
              <w:jc w:val="center"/>
              <w:rPr>
                <w:rFonts w:hint="eastAsia"/>
                <w:b w:val="0"/>
                <w:color w:val="000000"/>
                <w:sz w:val="18"/>
                <w:szCs w:val="18"/>
                <w:lang w:val="en-US" w:eastAsia="zh-CN"/>
              </w:rPr>
            </w:pPr>
            <w:r>
              <w:rPr>
                <w:rFonts w:hint="eastAsia"/>
                <w:b w:val="0"/>
                <w:color w:val="000000"/>
                <w:sz w:val="18"/>
                <w:szCs w:val="18"/>
                <w:lang w:val="en-US" w:eastAsia="zh-CN"/>
              </w:rPr>
              <w:t>PY</w:t>
            </w:r>
          </w:p>
        </w:tc>
        <w:tc>
          <w:tcPr>
            <w:tcW w:w="567" w:type="dxa"/>
            <w:gridSpan w:val="2"/>
            <w:tcBorders>
              <w:top w:val="single" w:color="000000" w:sz="4" w:space="0"/>
              <w:left w:val="nil"/>
              <w:bottom w:val="single" w:color="000000" w:sz="4" w:space="0"/>
              <w:right w:val="nil"/>
            </w:tcBorders>
            <w:shd w:val="clear" w:color="auto" w:fill="FFFFFF"/>
            <w:vAlign w:val="center"/>
          </w:tcPr>
          <w:p w14:paraId="66D5682E">
            <w:pPr>
              <w:jc w:val="center"/>
              <w:rPr>
                <w:rFonts w:hint="eastAsia"/>
                <w:b w:val="0"/>
                <w:color w:val="000000"/>
                <w:sz w:val="18"/>
                <w:szCs w:val="18"/>
                <w:lang w:val="en-US" w:eastAsia="zh-CN"/>
              </w:rPr>
            </w:pPr>
            <w:r>
              <w:rPr>
                <w:rFonts w:hint="eastAsia"/>
                <w:b w:val="0"/>
                <w:color w:val="000000"/>
                <w:sz w:val="18"/>
                <w:szCs w:val="18"/>
                <w:lang w:val="en-US" w:eastAsia="zh-CN"/>
              </w:rPr>
              <w:t>low</w:t>
            </w:r>
          </w:p>
        </w:tc>
      </w:tr>
    </w:tbl>
    <w:p w14:paraId="59D5EBE6">
      <w:pPr>
        <w:spacing w:line="240" w:lineRule="auto"/>
        <w:rPr>
          <w:rFonts w:hint="eastAsia" w:ascii="Times New Roman" w:hAnsi="Times New Roman" w:cs="Times New Roman" w:eastAsiaTheme="minorEastAsia"/>
          <w:b w:val="0"/>
          <w:bCs/>
          <w:kern w:val="0"/>
          <w:sz w:val="18"/>
          <w:szCs w:val="18"/>
          <w:lang w:val="en-US" w:eastAsia="zh-CN" w:bidi="ar-SA"/>
        </w:rPr>
      </w:pPr>
      <w:r>
        <w:rPr>
          <w:rFonts w:hint="default" w:ascii="Times New Roman Bold" w:hAnsi="Times New Roman Bold" w:cs="Times New Roman Bold" w:eastAsiaTheme="minorEastAsia"/>
          <w:b/>
          <w:bCs w:val="0"/>
          <w:kern w:val="0"/>
          <w:sz w:val="18"/>
          <w:szCs w:val="18"/>
          <w:lang w:val="en-US" w:eastAsia="zh-CN" w:bidi="ar-SA"/>
        </w:rPr>
        <w:t>Note: Domain 1 (Study Participants &amp; Data Source)</w:t>
      </w:r>
      <w:r>
        <w:rPr>
          <w:rFonts w:hint="eastAsia" w:ascii="Times New Roman" w:hAnsi="Times New Roman" w:cs="Times New Roman" w:eastAsiaTheme="minorEastAsia"/>
          <w:b w:val="0"/>
          <w:bCs/>
          <w:kern w:val="0"/>
          <w:sz w:val="18"/>
          <w:szCs w:val="18"/>
          <w:lang w:val="en-US" w:eastAsia="zh-CN" w:bidi="ar-SA"/>
        </w:rPr>
        <w:t xml:space="preserve"> (1.1</w:t>
      </w:r>
      <w:r>
        <w:rPr>
          <w:rFonts w:hint="eastAsia" w:cs="Times New Roman" w:eastAsiaTheme="minorEastAsia"/>
          <w:b w:val="0"/>
          <w:bCs/>
          <w:kern w:val="0"/>
          <w:sz w:val="18"/>
          <w:szCs w:val="18"/>
          <w:lang w:val="en-US" w:eastAsia="zh-CN" w:bidi="ar-SA"/>
        </w:rPr>
        <w:t>-</w:t>
      </w:r>
      <w:r>
        <w:rPr>
          <w:rFonts w:hint="eastAsia" w:ascii="Times New Roman" w:hAnsi="Times New Roman" w:cs="Times New Roman" w:eastAsiaTheme="minorEastAsia"/>
          <w:b w:val="0"/>
          <w:bCs/>
          <w:kern w:val="0"/>
          <w:sz w:val="18"/>
          <w:szCs w:val="18"/>
          <w:lang w:val="en-US" w:eastAsia="zh-CN" w:bidi="ar-SA"/>
        </w:rPr>
        <w:t xml:space="preserve">1.3, Overall Evaluation1, Applicability Evaluation1): 1.1 Appropriateness of data source; 1.2 Appropriateness of study design; 1.3 Representativeness via inclusion/exclusion criteria; </w:t>
      </w:r>
      <w:r>
        <w:rPr>
          <w:rFonts w:hint="eastAsia" w:cs="Times New Roman" w:eastAsiaTheme="minorEastAsia"/>
          <w:b w:val="0"/>
          <w:bCs/>
          <w:kern w:val="0"/>
          <w:sz w:val="18"/>
          <w:szCs w:val="18"/>
          <w:lang w:val="en-US" w:eastAsia="zh-CN" w:bidi="ar-SA"/>
        </w:rPr>
        <w:t>OE1</w:t>
      </w:r>
      <w:r>
        <w:rPr>
          <w:rFonts w:hint="default" w:cs="Times New Roman" w:eastAsiaTheme="minorEastAsia"/>
          <w:b w:val="0"/>
          <w:bCs/>
          <w:kern w:val="0"/>
          <w:sz w:val="18"/>
          <w:szCs w:val="18"/>
          <w:lang w:val="en-US" w:eastAsia="zh-CN" w:bidi="ar-SA"/>
        </w:rPr>
        <w:t xml:space="preserve">, </w:t>
      </w:r>
      <w:r>
        <w:rPr>
          <w:rFonts w:hint="eastAsia" w:ascii="Times New Roman" w:hAnsi="Times New Roman" w:cs="Times New Roman" w:eastAsiaTheme="minorEastAsia"/>
          <w:b w:val="0"/>
          <w:bCs/>
          <w:kern w:val="0"/>
          <w:sz w:val="18"/>
          <w:szCs w:val="18"/>
          <w:lang w:val="en-US" w:eastAsia="zh-CN" w:bidi="ar-SA"/>
        </w:rPr>
        <w:t xml:space="preserve">Overall Evaluation1: Participant/data quality concerns; </w:t>
      </w:r>
      <w:r>
        <w:rPr>
          <w:rFonts w:hint="default" w:cs="Times New Roman" w:eastAsiaTheme="minorEastAsia"/>
          <w:b w:val="0"/>
          <w:bCs/>
          <w:kern w:val="0"/>
          <w:sz w:val="18"/>
          <w:szCs w:val="18"/>
          <w:lang w:val="en-US" w:eastAsia="zh-CN" w:bidi="ar-SA"/>
        </w:rPr>
        <w:t xml:space="preserve">AE1, </w:t>
      </w:r>
      <w:r>
        <w:rPr>
          <w:rFonts w:hint="eastAsia" w:ascii="Times New Roman" w:hAnsi="Times New Roman" w:cs="Times New Roman" w:eastAsiaTheme="minorEastAsia"/>
          <w:b w:val="0"/>
          <w:bCs/>
          <w:kern w:val="0"/>
          <w:sz w:val="18"/>
          <w:szCs w:val="18"/>
          <w:lang w:val="en-US" w:eastAsia="zh-CN" w:bidi="ar-SA"/>
        </w:rPr>
        <w:t xml:space="preserve">Applicability Evaluation1: Mismatch with intended use. </w:t>
      </w:r>
    </w:p>
    <w:p w14:paraId="0D237B84">
      <w:pPr>
        <w:spacing w:line="240" w:lineRule="auto"/>
        <w:rPr>
          <w:rFonts w:hint="eastAsia" w:ascii="Times New Roman" w:hAnsi="Times New Roman" w:cs="Times New Roman" w:eastAsiaTheme="minorEastAsia"/>
          <w:b w:val="0"/>
          <w:bCs/>
          <w:kern w:val="0"/>
          <w:sz w:val="18"/>
          <w:szCs w:val="18"/>
          <w:lang w:val="en-US" w:eastAsia="zh-CN" w:bidi="ar-SA"/>
        </w:rPr>
      </w:pPr>
      <w:r>
        <w:rPr>
          <w:rFonts w:hint="default" w:ascii="Times New Roman Bold" w:hAnsi="Times New Roman Bold" w:cs="Times New Roman Bold" w:eastAsiaTheme="minorEastAsia"/>
          <w:b/>
          <w:bCs w:val="0"/>
          <w:kern w:val="0"/>
          <w:sz w:val="18"/>
          <w:szCs w:val="18"/>
          <w:lang w:val="en-US" w:eastAsia="zh-CN" w:bidi="ar-SA"/>
        </w:rPr>
        <w:t xml:space="preserve">Domain 2 (Predictors) </w:t>
      </w:r>
      <w:r>
        <w:rPr>
          <w:rFonts w:hint="eastAsia" w:ascii="Times New Roman" w:hAnsi="Times New Roman" w:cs="Times New Roman" w:eastAsiaTheme="minorEastAsia"/>
          <w:b w:val="0"/>
          <w:bCs/>
          <w:kern w:val="0"/>
          <w:sz w:val="18"/>
          <w:szCs w:val="18"/>
          <w:lang w:val="en-US" w:eastAsia="zh-CN" w:bidi="ar-SA"/>
        </w:rPr>
        <w:t>(2.1</w:t>
      </w:r>
      <w:r>
        <w:rPr>
          <w:rFonts w:hint="eastAsia" w:cs="Times New Roman" w:eastAsiaTheme="minorEastAsia"/>
          <w:b w:val="0"/>
          <w:bCs/>
          <w:kern w:val="0"/>
          <w:sz w:val="18"/>
          <w:szCs w:val="18"/>
          <w:lang w:val="en-US" w:eastAsia="zh-CN" w:bidi="ar-SA"/>
        </w:rPr>
        <w:t>-</w:t>
      </w:r>
      <w:r>
        <w:rPr>
          <w:rFonts w:hint="eastAsia" w:ascii="Times New Roman" w:hAnsi="Times New Roman" w:cs="Times New Roman" w:eastAsiaTheme="minorEastAsia"/>
          <w:b w:val="0"/>
          <w:bCs/>
          <w:kern w:val="0"/>
          <w:sz w:val="18"/>
          <w:szCs w:val="18"/>
          <w:lang w:val="en-US" w:eastAsia="zh-CN" w:bidi="ar-SA"/>
        </w:rPr>
        <w:t>2.4, Overall Evaluation2, Applicability Evaluation2): 2.1 Predictor definition/assessment consistency; 2.2 Preprocessing consistency; 2.3 Blinding to outcome data; 2.4 Predictor availability;</w:t>
      </w:r>
      <w:r>
        <w:rPr>
          <w:rFonts w:hint="default" w:cs="Times New Roman" w:eastAsiaTheme="minorEastAsia"/>
          <w:b w:val="0"/>
          <w:bCs/>
          <w:kern w:val="0"/>
          <w:sz w:val="18"/>
          <w:szCs w:val="18"/>
          <w:lang w:val="en-US" w:eastAsia="zh-CN" w:bidi="ar-SA"/>
        </w:rPr>
        <w:t xml:space="preserve"> OE2,</w:t>
      </w:r>
      <w:r>
        <w:rPr>
          <w:rFonts w:hint="eastAsia" w:ascii="Times New Roman" w:hAnsi="Times New Roman" w:cs="Times New Roman" w:eastAsiaTheme="minorEastAsia"/>
          <w:b w:val="0"/>
          <w:bCs/>
          <w:kern w:val="0"/>
          <w:sz w:val="18"/>
          <w:szCs w:val="18"/>
          <w:lang w:val="en-US" w:eastAsia="zh-CN" w:bidi="ar-SA"/>
        </w:rPr>
        <w:t xml:space="preserve"> Overall Evaluation2: Predictor quality concerns; </w:t>
      </w:r>
      <w:r>
        <w:rPr>
          <w:rFonts w:hint="default" w:cs="Times New Roman" w:eastAsiaTheme="minorEastAsia"/>
          <w:b w:val="0"/>
          <w:bCs/>
          <w:kern w:val="0"/>
          <w:sz w:val="18"/>
          <w:szCs w:val="18"/>
          <w:lang w:val="en-US" w:eastAsia="zh-CN" w:bidi="ar-SA"/>
        </w:rPr>
        <w:t xml:space="preserve">AE2, </w:t>
      </w:r>
      <w:r>
        <w:rPr>
          <w:rFonts w:hint="eastAsia" w:ascii="Times New Roman" w:hAnsi="Times New Roman" w:cs="Times New Roman" w:eastAsiaTheme="minorEastAsia"/>
          <w:b w:val="0"/>
          <w:bCs/>
          <w:kern w:val="0"/>
          <w:sz w:val="18"/>
          <w:szCs w:val="18"/>
          <w:lang w:val="en-US" w:eastAsia="zh-CN" w:bidi="ar-SA"/>
        </w:rPr>
        <w:t xml:space="preserve">Applicability Evaluation2: Mismatch with intended use. </w:t>
      </w:r>
    </w:p>
    <w:p w14:paraId="0BE8FB97">
      <w:pPr>
        <w:spacing w:line="240" w:lineRule="auto"/>
        <w:rPr>
          <w:rFonts w:hint="eastAsia" w:ascii="Times New Roman" w:hAnsi="Times New Roman" w:cs="Times New Roman" w:eastAsiaTheme="minorEastAsia"/>
          <w:b w:val="0"/>
          <w:bCs/>
          <w:kern w:val="0"/>
          <w:sz w:val="18"/>
          <w:szCs w:val="18"/>
          <w:lang w:val="en-US" w:eastAsia="zh-CN" w:bidi="ar-SA"/>
        </w:rPr>
      </w:pPr>
      <w:r>
        <w:rPr>
          <w:rFonts w:hint="default" w:ascii="Times New Roman Bold" w:hAnsi="Times New Roman Bold" w:cs="Times New Roman Bold" w:eastAsiaTheme="minorEastAsia"/>
          <w:b/>
          <w:bCs w:val="0"/>
          <w:kern w:val="0"/>
          <w:sz w:val="18"/>
          <w:szCs w:val="18"/>
          <w:lang w:val="en-US" w:eastAsia="zh-CN" w:bidi="ar-SA"/>
        </w:rPr>
        <w:t>Domain 3 (Outcome)</w:t>
      </w:r>
      <w:r>
        <w:rPr>
          <w:rFonts w:hint="eastAsia" w:ascii="Times New Roman" w:hAnsi="Times New Roman" w:cs="Times New Roman" w:eastAsiaTheme="minorEastAsia"/>
          <w:b w:val="0"/>
          <w:bCs/>
          <w:kern w:val="0"/>
          <w:sz w:val="18"/>
          <w:szCs w:val="18"/>
          <w:lang w:val="en-US" w:eastAsia="zh-CN" w:bidi="ar-SA"/>
        </w:rPr>
        <w:t xml:space="preserve"> (3.1</w:t>
      </w:r>
      <w:r>
        <w:rPr>
          <w:rFonts w:hint="eastAsia" w:cs="Times New Roman" w:eastAsiaTheme="minorEastAsia"/>
          <w:b w:val="0"/>
          <w:bCs/>
          <w:kern w:val="0"/>
          <w:sz w:val="18"/>
          <w:szCs w:val="18"/>
          <w:lang w:val="en-US" w:eastAsia="zh-CN" w:bidi="ar-SA"/>
        </w:rPr>
        <w:t>-</w:t>
      </w:r>
      <w:r>
        <w:rPr>
          <w:rFonts w:hint="eastAsia" w:ascii="Times New Roman" w:hAnsi="Times New Roman" w:cs="Times New Roman" w:eastAsiaTheme="minorEastAsia"/>
          <w:b w:val="0"/>
          <w:bCs/>
          <w:kern w:val="0"/>
          <w:sz w:val="18"/>
          <w:szCs w:val="18"/>
          <w:lang w:val="en-US" w:eastAsia="zh-CN" w:bidi="ar-SA"/>
        </w:rPr>
        <w:t xml:space="preserve">3.4, NA, Overall Evaluation3, Applicability Evaluation3): 3.1 Outcome definition/assessment appropriateness; 3.2 Consistency across participants; 3.3 Blinding to predictor data; 3.4 Timing interval appropriateness; </w:t>
      </w:r>
      <w:r>
        <w:rPr>
          <w:rFonts w:hint="default" w:cs="Times New Roman" w:eastAsiaTheme="minorEastAsia"/>
          <w:b w:val="0"/>
          <w:bCs/>
          <w:kern w:val="0"/>
          <w:sz w:val="18"/>
          <w:szCs w:val="18"/>
          <w:lang w:val="en-US" w:eastAsia="zh-CN" w:bidi="ar-SA"/>
        </w:rPr>
        <w:t xml:space="preserve">OE3, </w:t>
      </w:r>
      <w:r>
        <w:rPr>
          <w:rFonts w:hint="eastAsia" w:ascii="Times New Roman" w:hAnsi="Times New Roman" w:cs="Times New Roman" w:eastAsiaTheme="minorEastAsia"/>
          <w:b w:val="0"/>
          <w:bCs/>
          <w:kern w:val="0"/>
          <w:sz w:val="18"/>
          <w:szCs w:val="18"/>
          <w:lang w:val="en-US" w:eastAsia="zh-CN" w:bidi="ar-SA"/>
        </w:rPr>
        <w:t xml:space="preserve">Overall Evaluation3 : Outcome quality concerns; </w:t>
      </w:r>
      <w:r>
        <w:rPr>
          <w:rFonts w:hint="default" w:cs="Times New Roman" w:eastAsiaTheme="minorEastAsia"/>
          <w:b w:val="0"/>
          <w:bCs/>
          <w:kern w:val="0"/>
          <w:sz w:val="18"/>
          <w:szCs w:val="18"/>
          <w:lang w:val="en-US" w:eastAsia="zh-CN" w:bidi="ar-SA"/>
        </w:rPr>
        <w:t xml:space="preserve">AE3, </w:t>
      </w:r>
      <w:r>
        <w:rPr>
          <w:rFonts w:hint="eastAsia" w:ascii="Times New Roman" w:hAnsi="Times New Roman" w:cs="Times New Roman" w:eastAsiaTheme="minorEastAsia"/>
          <w:b w:val="0"/>
          <w:bCs/>
          <w:kern w:val="0"/>
          <w:sz w:val="18"/>
          <w:szCs w:val="18"/>
          <w:lang w:val="en-US" w:eastAsia="zh-CN" w:bidi="ar-SA"/>
        </w:rPr>
        <w:t xml:space="preserve">Applicability Evaluation3: Mismatch with intended use. </w:t>
      </w:r>
    </w:p>
    <w:p w14:paraId="45C0CD5F">
      <w:pPr>
        <w:spacing w:line="240" w:lineRule="auto"/>
        <w:rPr>
          <w:rFonts w:hint="eastAsia"/>
          <w:sz w:val="18"/>
          <w:szCs w:val="18"/>
        </w:rPr>
      </w:pPr>
      <w:r>
        <w:rPr>
          <w:rFonts w:hint="default" w:ascii="Times New Roman Bold" w:hAnsi="Times New Roman Bold" w:cs="Times New Roman Bold" w:eastAsiaTheme="minorEastAsia"/>
          <w:b/>
          <w:bCs w:val="0"/>
          <w:kern w:val="0"/>
          <w:sz w:val="18"/>
          <w:szCs w:val="18"/>
          <w:lang w:val="en-US" w:eastAsia="zh-CN" w:bidi="ar-SA"/>
        </w:rPr>
        <w:t>Domain 4 (Analysis)</w:t>
      </w:r>
      <w:r>
        <w:rPr>
          <w:rFonts w:hint="eastAsia" w:ascii="Times New Roman" w:hAnsi="Times New Roman" w:cs="Times New Roman" w:eastAsiaTheme="minorEastAsia"/>
          <w:b w:val="0"/>
          <w:bCs/>
          <w:kern w:val="0"/>
          <w:sz w:val="18"/>
          <w:szCs w:val="18"/>
          <w:lang w:val="en-US" w:eastAsia="zh-CN" w:bidi="ar-SA"/>
        </w:rPr>
        <w:t xml:space="preserve"> (4.1</w:t>
      </w:r>
      <w:r>
        <w:rPr>
          <w:rFonts w:hint="eastAsia" w:cs="Times New Roman" w:eastAsiaTheme="minorEastAsia"/>
          <w:b w:val="0"/>
          <w:bCs/>
          <w:kern w:val="0"/>
          <w:sz w:val="18"/>
          <w:szCs w:val="18"/>
          <w:lang w:val="en-US" w:eastAsia="zh-CN" w:bidi="ar-SA"/>
        </w:rPr>
        <w:t>-</w:t>
      </w:r>
      <w:r>
        <w:rPr>
          <w:rFonts w:hint="eastAsia" w:ascii="Times New Roman" w:hAnsi="Times New Roman" w:cs="Times New Roman" w:eastAsiaTheme="minorEastAsia"/>
          <w:b w:val="0"/>
          <w:bCs/>
          <w:kern w:val="0"/>
          <w:sz w:val="18"/>
          <w:szCs w:val="18"/>
          <w:lang w:val="en-US" w:eastAsia="zh-CN" w:bidi="ar-SA"/>
        </w:rPr>
        <w:t xml:space="preserve">4.7, Overall Evaluation4, Model Evaluation Methods): 4.1 Avoid sole apparent performance evaluation; 4.2 Sample size adequacy; 4.3 Handle missing/censored data; 4.4 Uncorrected evaluation for class imbalance; 4.5 Prevent data leakage in splitting; 4.6 Reproduce development in resampling; 4.7 Evaluate calibration/discrimination/net benefit; </w:t>
      </w:r>
      <w:r>
        <w:rPr>
          <w:rFonts w:hint="default" w:cs="Times New Roman" w:eastAsiaTheme="minorEastAsia"/>
          <w:b w:val="0"/>
          <w:bCs/>
          <w:kern w:val="0"/>
          <w:sz w:val="18"/>
          <w:szCs w:val="18"/>
          <w:lang w:val="en-US" w:eastAsia="zh-CN" w:bidi="ar-SA"/>
        </w:rPr>
        <w:t xml:space="preserve">OE4, </w:t>
      </w:r>
      <w:r>
        <w:rPr>
          <w:rFonts w:hint="eastAsia" w:ascii="Times New Roman" w:hAnsi="Times New Roman" w:cs="Times New Roman" w:eastAsiaTheme="minorEastAsia"/>
          <w:b w:val="0"/>
          <w:bCs/>
          <w:kern w:val="0"/>
          <w:sz w:val="18"/>
          <w:szCs w:val="18"/>
          <w:lang w:val="en-US" w:eastAsia="zh-CN" w:bidi="ar-SA"/>
        </w:rPr>
        <w:t xml:space="preserve">Overall Evaluation4 : Analysis quality concerns; </w:t>
      </w:r>
      <w:r>
        <w:rPr>
          <w:rFonts w:hint="default" w:cs="Times New Roman" w:eastAsiaTheme="minorEastAsia"/>
          <w:b w:val="0"/>
          <w:bCs/>
          <w:kern w:val="0"/>
          <w:sz w:val="18"/>
          <w:szCs w:val="18"/>
          <w:lang w:val="en-US" w:eastAsia="zh-CN" w:bidi="ar-SA"/>
        </w:rPr>
        <w:t xml:space="preserve">ME, </w:t>
      </w:r>
      <w:r>
        <w:rPr>
          <w:rFonts w:hint="eastAsia" w:ascii="Times New Roman" w:hAnsi="Times New Roman" w:cs="Times New Roman" w:eastAsiaTheme="minorEastAsia"/>
          <w:b w:val="0"/>
          <w:bCs/>
          <w:kern w:val="0"/>
          <w:sz w:val="18"/>
          <w:szCs w:val="18"/>
          <w:lang w:val="en-US" w:eastAsia="zh-CN" w:bidi="ar-SA"/>
        </w:rPr>
        <w:t>Model Evaluation Types: A=Apparent Performance, I=Internal Validation, E=External Validatio</w:t>
      </w:r>
      <w:r>
        <w:rPr>
          <w:rFonts w:hint="default" w:cs="Times New Roman" w:eastAsiaTheme="minorEastAsia"/>
          <w:b w:val="0"/>
          <w:bCs/>
          <w:kern w:val="0"/>
          <w:sz w:val="18"/>
          <w:szCs w:val="18"/>
          <w:lang w:val="en-US" w:eastAsia="zh-CN" w:bidi="ar-SA"/>
        </w:rPr>
        <w:t>.</w:t>
      </w:r>
    </w:p>
    <w:p w14:paraId="5ECA5FB5">
      <w:pPr>
        <w:rPr>
          <w:rFonts w:hint="eastAsia"/>
          <w:sz w:val="28"/>
          <w:szCs w:val="28"/>
        </w:rPr>
      </w:pPr>
      <w:r>
        <w:rPr>
          <w:rFonts w:hint="eastAsia"/>
          <w:sz w:val="28"/>
          <w:szCs w:val="28"/>
        </w:rPr>
        <w:br w:type="page"/>
      </w:r>
    </w:p>
    <w:p w14:paraId="0AB15762">
      <w:pPr>
        <w:pStyle w:val="3"/>
        <w:bidi w:val="0"/>
        <w:rPr>
          <w:rFonts w:hint="eastAsia"/>
          <w:lang w:val="en-US" w:eastAsia="zh-CN"/>
        </w:rPr>
      </w:pPr>
      <w:bookmarkStart w:id="52" w:name="_Toc1481692668"/>
      <w:r>
        <w:rPr>
          <w:rFonts w:hint="eastAsia"/>
          <w:lang w:val="en-US" w:eastAsia="zh-CN"/>
        </w:rPr>
        <w:t>SUPPLEMENTARY TABLES</w:t>
      </w:r>
      <w:bookmarkEnd w:id="52"/>
    </w:p>
    <w:p w14:paraId="46048371">
      <w:pPr>
        <w:pStyle w:val="7"/>
        <w:spacing w:line="360" w:lineRule="auto"/>
        <w:jc w:val="center"/>
        <w:rPr>
          <w:rFonts w:hint="eastAsia" w:eastAsia="黑体"/>
          <w:sz w:val="18"/>
          <w:szCs w:val="21"/>
          <w:lang w:val="en-US" w:eastAsia="zh-CN"/>
        </w:rPr>
      </w:pPr>
      <w:r>
        <w:rPr>
          <w:rFonts w:hint="eastAsia"/>
          <w:sz w:val="18"/>
          <w:szCs w:val="21"/>
          <w:lang w:val="en-US" w:eastAsia="zh-CN"/>
        </w:rPr>
        <w:drawing>
          <wp:inline distT="0" distB="0" distL="114300" distR="114300">
            <wp:extent cx="3997325" cy="4478020"/>
            <wp:effectExtent l="0" t="0" r="15875" b="17780"/>
            <wp:docPr id="4" name="图片 4" descr="8734d6bd-03fb-43cb-b7c3-e57c3120a2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734d6bd-03fb-43cb-b7c3-e57c3120a21d"/>
                    <pic:cNvPicPr>
                      <a:picLocks noChangeAspect="1"/>
                    </pic:cNvPicPr>
                  </pic:nvPicPr>
                  <pic:blipFill>
                    <a:blip r:embed="rId7"/>
                    <a:stretch>
                      <a:fillRect/>
                    </a:stretch>
                  </pic:blipFill>
                  <pic:spPr>
                    <a:xfrm>
                      <a:off x="0" y="0"/>
                      <a:ext cx="3997325" cy="4478020"/>
                    </a:xfrm>
                    <a:prstGeom prst="rect">
                      <a:avLst/>
                    </a:prstGeom>
                  </pic:spPr>
                </pic:pic>
              </a:graphicData>
            </a:graphic>
          </wp:inline>
        </w:drawing>
      </w:r>
    </w:p>
    <w:p w14:paraId="262B6396">
      <w:pPr>
        <w:pStyle w:val="4"/>
        <w:bidi w:val="0"/>
        <w:sectPr>
          <w:pgSz w:w="16838" w:h="11906" w:orient="landscape"/>
          <w:pgMar w:top="1800" w:right="1440" w:bottom="1800" w:left="1440" w:header="851" w:footer="992" w:gutter="0"/>
          <w:pgNumType w:fmt="decimal"/>
          <w:cols w:space="425" w:num="1"/>
          <w:docGrid w:type="lines" w:linePitch="312" w:charSpace="0"/>
        </w:sectPr>
      </w:pPr>
      <w:bookmarkStart w:id="53" w:name="_Toc853162925"/>
      <w:bookmarkStart w:id="54" w:name="_Toc588300464"/>
      <w:r>
        <w:t>Figure S</w:t>
      </w:r>
      <w:r>
        <w:fldChar w:fldCharType="begin"/>
      </w:r>
      <w:r>
        <w:instrText xml:space="preserve"> SEQ Figure_S \* ARABIC </w:instrText>
      </w:r>
      <w:r>
        <w:fldChar w:fldCharType="separate"/>
      </w:r>
      <w:r>
        <w:t>1</w:t>
      </w:r>
      <w:r>
        <w:fldChar w:fldCharType="end"/>
      </w:r>
      <w:r>
        <w:rPr>
          <w:lang w:val="en-US" w:eastAsia="zh-CN"/>
        </w:rPr>
        <w:t xml:space="preserve"> PRISMA flow diagram of study selection</w:t>
      </w:r>
      <w:bookmarkEnd w:id="53"/>
      <w:bookmarkEnd w:id="54"/>
    </w:p>
    <w:p w14:paraId="5188A2EF">
      <w:pPr>
        <w:spacing w:line="360" w:lineRule="auto"/>
        <w:rPr>
          <w:rFonts w:hint="eastAsia"/>
          <w:sz w:val="28"/>
          <w:szCs w:val="28"/>
          <w:lang w:val="en-US"/>
        </w:rPr>
      </w:pPr>
      <w:r>
        <w:rPr>
          <w:rFonts w:hint="eastAsia"/>
          <w:sz w:val="28"/>
          <w:szCs w:val="28"/>
          <w:lang w:val="en-US"/>
        </w:rPr>
        <w:drawing>
          <wp:inline distT="0" distB="0" distL="114300" distR="114300">
            <wp:extent cx="9217660" cy="51212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9217660" cy="5121275"/>
                    </a:xfrm>
                    <a:prstGeom prst="rect">
                      <a:avLst/>
                    </a:prstGeom>
                    <a:noFill/>
                    <a:ln>
                      <a:noFill/>
                    </a:ln>
                  </pic:spPr>
                </pic:pic>
              </a:graphicData>
            </a:graphic>
          </wp:inline>
        </w:drawing>
      </w:r>
    </w:p>
    <w:p w14:paraId="2BFCAF22">
      <w:pPr>
        <w:pStyle w:val="4"/>
        <w:bidi w:val="0"/>
        <w:rPr>
          <w:lang w:val="en-US" w:eastAsia="zh-CN"/>
        </w:rPr>
      </w:pPr>
      <w:bookmarkStart w:id="55" w:name="_Toc222148314"/>
      <w:bookmarkStart w:id="56" w:name="_Toc551187660"/>
      <w:r>
        <w:t>Figure S</w:t>
      </w:r>
      <w:r>
        <w:fldChar w:fldCharType="begin"/>
      </w:r>
      <w:r>
        <w:instrText xml:space="preserve"> SEQ Figure_S \* ARABIC </w:instrText>
      </w:r>
      <w:r>
        <w:fldChar w:fldCharType="separate"/>
      </w:r>
      <w:r>
        <w:t>2</w:t>
      </w:r>
      <w:r>
        <w:fldChar w:fldCharType="end"/>
      </w:r>
      <w:r>
        <w:rPr>
          <w:rFonts w:hint="eastAsia"/>
          <w:lang w:val="en-US" w:eastAsia="zh-CN"/>
        </w:rPr>
        <w:t xml:space="preserve"> </w:t>
      </w:r>
      <w:r>
        <w:rPr>
          <w:lang w:val="en-US" w:eastAsia="zh-CN"/>
        </w:rPr>
        <w:t>Risk of bias and applicability assessment of included prediction models.</w:t>
      </w:r>
      <w:bookmarkEnd w:id="55"/>
      <w:bookmarkEnd w:id="56"/>
    </w:p>
    <w:p w14:paraId="706C900F">
      <w:pPr>
        <w:spacing w:line="240" w:lineRule="auto"/>
        <w:rPr>
          <w:rFonts w:eastAsia="Songti SC"/>
          <w:sz w:val="22"/>
          <w:szCs w:val="21"/>
          <w:lang w:val="en-US"/>
        </w:rPr>
      </w:pPr>
      <w:r>
        <w:rPr>
          <w:rFonts w:eastAsia="Songti SC"/>
          <w:sz w:val="22"/>
          <w:szCs w:val="21"/>
          <w:lang w:val="en-US"/>
        </w:rPr>
        <w:t>Each row represents an individual prediction model, and each column represents an assessment item based on the PROBAST tool across four domains: Participants, Predictors, Outcome, and Analysis, along with overall risk of bias and applicability concerns. Colored circles indicate the judgment for each item: Yes (Y), No (N), Unknown (U), High risk (H), or Low risk (L). Vertical lines separate different domains, including Participants (Pa1–R1), Predictors (Pr1–R2), Outcome (O1–R3), Analysis (A1–R4), Overall risk of bias, and Applicability (APa–AA).</w:t>
      </w:r>
    </w:p>
    <w:p w14:paraId="296C4CBE">
      <w:pPr>
        <w:spacing w:line="360" w:lineRule="auto"/>
        <w:rPr>
          <w:rFonts w:hint="eastAsia"/>
          <w:sz w:val="28"/>
          <w:szCs w:val="28"/>
        </w:rPr>
      </w:pPr>
      <w:r>
        <w:rPr>
          <w:rFonts w:hint="eastAsia"/>
          <w:sz w:val="28"/>
          <w:szCs w:val="28"/>
        </w:rPr>
        <w:br w:type="page"/>
      </w:r>
    </w:p>
    <w:p w14:paraId="07CB09F5">
      <w:pPr>
        <w:pStyle w:val="3"/>
        <w:spacing w:line="360" w:lineRule="auto"/>
        <w:outlineLvl w:val="1"/>
        <w:rPr>
          <w:rFonts w:hint="eastAsia"/>
          <w:lang w:val="en-US" w:eastAsia="zh-CN"/>
        </w:rPr>
      </w:pPr>
      <w:bookmarkStart w:id="57" w:name="_Toc274762725"/>
      <w:bookmarkStart w:id="58" w:name="_Toc1714032109"/>
      <w:r>
        <w:rPr>
          <w:rFonts w:hint="eastAsia"/>
          <w:sz w:val="28"/>
          <w:szCs w:val="28"/>
        </w:rPr>
        <w:t>Reference</w:t>
      </w:r>
      <w:bookmarkEnd w:id="47"/>
      <w:bookmarkEnd w:id="48"/>
      <w:bookmarkEnd w:id="57"/>
      <w:bookmarkEnd w:id="58"/>
    </w:p>
    <w:p w14:paraId="159FB12F">
      <w:pPr>
        <w:pStyle w:val="54"/>
        <w:bidi w:val="0"/>
        <w:ind w:left="0" w:firstLine="0"/>
        <w:rPr>
          <w:rFonts w:ascii="Times New Roman" w:hAnsi="Times New Roman" w:eastAsia="KaiTi_GB2312" w:cs="Times New Roman"/>
          <w:sz w:val="20"/>
          <w:szCs w:val="22"/>
          <w:lang w:val="zh-CN" w:eastAsia="zh-CN" w:bidi="ar-SA"/>
        </w:rPr>
      </w:pPr>
      <w:r>
        <w:rPr>
          <w:rFonts w:hint="eastAsia" w:ascii="Times New Roman" w:hAnsi="Times New Roman" w:eastAsia="KaiTi_GB2312" w:cs="Times New Roman"/>
          <w:sz w:val="20"/>
          <w:szCs w:val="22"/>
          <w:lang w:val="en-US" w:eastAsia="zh-CN" w:bidi="ar-SA"/>
        </w:rPr>
        <w:fldChar w:fldCharType="begin"/>
      </w:r>
      <w:r>
        <w:rPr>
          <w:rFonts w:hint="eastAsia" w:ascii="Times New Roman" w:hAnsi="Times New Roman" w:eastAsia="KaiTi_GB2312" w:cs="Times New Roman"/>
          <w:sz w:val="20"/>
          <w:szCs w:val="22"/>
          <w:lang w:val="en-US" w:eastAsia="zh-CN" w:bidi="ar-SA"/>
        </w:rPr>
        <w:instrText xml:space="preserve"> ADDIN EN.REFLIST </w:instrText>
      </w:r>
      <w:r>
        <w:rPr>
          <w:rFonts w:hint="eastAsia" w:ascii="Times New Roman" w:hAnsi="Times New Roman" w:eastAsia="KaiTi_GB2312" w:cs="Times New Roman"/>
          <w:sz w:val="20"/>
          <w:szCs w:val="22"/>
          <w:lang w:val="en-US" w:eastAsia="zh-CN" w:bidi="ar-SA"/>
        </w:rPr>
        <w:fldChar w:fldCharType="separate"/>
      </w:r>
      <w:r>
        <w:rPr>
          <w:rFonts w:ascii="Times New Roman" w:hAnsi="Times New Roman" w:eastAsia="KaiTi_GB2312" w:cs="Times New Roman"/>
          <w:sz w:val="20"/>
          <w:szCs w:val="22"/>
          <w:lang w:val="zh-CN" w:eastAsia="zh-CN" w:bidi="ar-SA"/>
        </w:rPr>
        <w:t>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Zheng B. Construction of a predictive model for central precocious puberty risk in obese girls based on body composition indicators. Hengyang, Hunan, China: University of South China; 2024.</w:t>
      </w:r>
    </w:p>
    <w:p w14:paraId="3C0EAA51">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Huang R. Construction and analysis of a nomogram model for predicting the risk of central precocious puberty in obese girls. Nanchang, Jiangxi, China: Nanchang University; 2023.</w:t>
      </w:r>
    </w:p>
    <w:p w14:paraId="0B88F97A">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Jiang X, Liu R, Liao T, He Y, Li C, Guo P, et al. A Predictive Model of Live Birth Based on Obesity and Metabolic Parameters in Patients With PCOS Undergoing Frozen-Thawed Embryo Transfer. Front Endocrinol (Lausanne). 2021;12:799871.</w:t>
      </w:r>
    </w:p>
    <w:p w14:paraId="7E63CCF6">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Yang SG, Yoo HJ. A Scoring Model Using Multi-Metabolites Based on Untargeted Metabolomics for Assessing Dyslipidemia in Korean Individuals with Obesity. Metabolites. 2025;15(4).</w:t>
      </w:r>
    </w:p>
    <w:p w14:paraId="065A525A">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5.</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Wang J, Tang Y, Peng K, Liu H, Xu J. Development and validation of a nomogram for predicting nonalcoholic fatty liver disease in the non-obese Chinese population. Am J Transl Res. 2020;12(10):6149–59.</w:t>
      </w:r>
    </w:p>
    <w:p w14:paraId="60F26A6D">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6.</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Ge H, Chang H, Wang Y, Cong J, Liu Y, Zhang B, et al. Establishment and validation of a nomogram model for predicting ovulation in the PCOS women. Medicine (Baltimore). 2024;103(14):e37733.</w:t>
      </w:r>
    </w:p>
    <w:p w14:paraId="04083C59">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7.</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Zhao Z, Lu H, Meng R, Si Z, Wang H, Wang X, et al. Risk factor analysis and risk prediction study of obesity in steelworkers: model development based on an occupational health examination cohort dataset. Lipids Health Dis. 2024;23(1):10.</w:t>
      </w:r>
    </w:p>
    <w:p w14:paraId="4CD53768">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8.</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Zou J, Wang Y, Xu H, Xia Y, Qian Y, Zou J, et al. The use of visceral adiposity variables in the prediction of obstructive sleep apnea: evidence from a large cross-sectional study. Sleep Breath. 2020;24(4):1373–82.</w:t>
      </w:r>
    </w:p>
    <w:p w14:paraId="1FE2513F">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9.</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Pei JY, Zhang DD, He H, Zheng LL, Du SZ, Jing ZW. [Risk prediction of metabolic syndrome and coronary artery disease in overweight and obese populations based on serum metabolomics]. Zhonghua Xin Xue Guan Bing Za Zhi. 2023;51(12):1247–55.</w:t>
      </w:r>
    </w:p>
    <w:p w14:paraId="76D9DA90">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10.</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Ellis-Kahana J, Sparks AD, Gimovsky AC, James AH, Ahmadzia HK. Developing a model for predicting venous thromboembolism in obese pregnant women in a national study. Thromb Res. 2020;191:42–9.</w:t>
      </w:r>
    </w:p>
    <w:p w14:paraId="0D63E682">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Sun Y, Miao H, Gong H, Zhang Y, Hong W. Risk Factors Analysis and Nomogram Model Establishment of Hidden Blood Loss in Overweight and Obese Elderly Patients After Total Hip Arthroplasty. Clin Interv Aging. 2024;19:57–66.</w:t>
      </w:r>
    </w:p>
    <w:p w14:paraId="1799FEA8">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Zhao Y. Study on the Risk and Etiological Network of MAFLD in Different Obesity Phenotypes. Lanzhou, Gansu, China: Lanzhou University; 2024.</w:t>
      </w:r>
    </w:p>
    <w:p w14:paraId="398B587A">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13.</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Huang Q. Association between obesity-related indicators and type 2 diabetes mellitus, and disease risk prediction models in older adults. Hefei, Anhui, China: Anhui Medical University; 2024.</w:t>
      </w:r>
    </w:p>
    <w:p w14:paraId="781C93BF">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14.</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Lahelma M, Luukkonen PK, Qadri S, Ahlholm N, Lallukka-Brück S, Porthan K, et al. Assessment of Lifestyle Factors Helps to Identify Liver Fibrosis Due to Non-Alcoholic Fatty Liver Disease in Obesity. Nutrients. 2021;13(1).</w:t>
      </w:r>
    </w:p>
    <w:p w14:paraId="689B31B8">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15.</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Tawfik MY, Mohamed SF, Elotla SF. Association of novel visceral obesity indices with 10-year risk of major cardiovascular events in patients with type 2 diabetes mellitus. J Egypt Public Health Assoc. 2025;100(1):12.</w:t>
      </w:r>
    </w:p>
    <w:p w14:paraId="63E9025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16.</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Lu YK, Dong J, Sun Y, Hu LK, Liu YH, Chu X, et al. Gender-specific predictive ability for the risk of hypertension incidence related to baseline level or trajectories of adiposity indices: a cohort study of functional community. Int J Obes (Lond). 2022;46(5):1036–43.</w:t>
      </w:r>
    </w:p>
    <w:p w14:paraId="1F442BAD">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17.</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Ma G, Wang W, Zhu L, Li W, Fan Z, Zhong W, et al. Head-to-head comparison of visceral adiposity indices (A Body Shape Index and Visceral Adiposity Index) with traditional anthropometrics: a community-based strategy for cardiovascular risk prediction in urban China. BMJ Open. 2025;15(12):e102918.</w:t>
      </w:r>
    </w:p>
    <w:p w14:paraId="5868F6F8">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18.</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Lewandowska M, Więckowska B, Sajdak S, Lubiński J. Pre-Pregnancy Obesity vs. Other Risk Factors in Probability Models of Preeclampsia and Gestational Hypertension. Nutrients. 2020;12(9).</w:t>
      </w:r>
    </w:p>
    <w:p w14:paraId="0628B4D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19.</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Baek J, Jung SJ, Shim JS, Jeon YW, Seo E, Kim HC. Comparison of Computed Tomography-based Abdominal Adiposity Indexes as Predictors of Non-alcoholic Fatty Liver Disease Among Middle-aged Korean Men and Women. J Prev Med Public Health. 2020;53(4):256–65.</w:t>
      </w:r>
    </w:p>
    <w:p w14:paraId="7FE8654E">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20.</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Yao F, Cui J, Shen Y, Jiang Y, Li Y, Liu X, et al. Evaluating a new obesity indicator for stroke risk prediction: comparative cohort analysis in rural settings of two nations. BMC Public Health. 2024;24(1):3301.</w:t>
      </w:r>
    </w:p>
    <w:p w14:paraId="66A718E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Cho Y, Chang Y, Ryu S, Jung HS, Kim CW, Oh H, et al. Skeletal muscle mass to visceral fat area ratio as a predictor of NAFLD in lean and overweight men and women with effect modification by sex. Hepatol Commun. 2022;6(9):2238–52.</w:t>
      </w:r>
    </w:p>
    <w:p w14:paraId="74AF4BA0">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Mingzhe Cao JZ. Study on risk prediction models and determinants of dysfunction in Chinese middle-aged and elderly people with different obesity metabolic heterogeneity based on machine learning algorithms.  The 14th National Sports Science Congress2025.</w:t>
      </w:r>
    </w:p>
    <w:p w14:paraId="5D2EFED7">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23.</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Yin M, Dong W, Ren L, Han M, Wang G, Wang Y, et al. Development and validation of a risk prediction model for diabetic kidney disease in patients with diabetic retinopathy. Front Endocrinol (Lausanne). 2025;16:1499866.</w:t>
      </w:r>
    </w:p>
    <w:p w14:paraId="63684C61">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24.</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Zhao Yuxuan YN, Liang Hui, et al. Construction and validation of a risk prediction model for secondary type 2 diabetes in young obesity patients. Chinese Journal of Digestive Surgery. 2025;24(8):1044–52.</w:t>
      </w:r>
    </w:p>
    <w:p w14:paraId="75A97F84">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25.</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AI for the Prediction of Obesity-Related Vascular Diseases - Validation Study. clinicaltrialsgov. 2024.</w:t>
      </w:r>
    </w:p>
    <w:p w14:paraId="3D79CF5E">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26.</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Lund LE, Nielsen RL, McVey Z, Kitchen RR, Leal LG, Schreyer ATH, et al. Machine-learning prediction of obesity-related multi-morbidities. Diabetologia. 2022;65((Lund L.E.; Nielsen R.L.; McVey Z.; Kitchen R.R.; Leal L.G.; Monfeuga T.; Gupta R.) Computational Biology, Novo Nordisk Research Centre Oxford, Oxford, United Kingdom):S135–S6.</w:t>
      </w:r>
    </w:p>
    <w:p w14:paraId="1BB8850F">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27.</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Spelta E, Rossi E, Menichini D, Petrella E, Bertarini V, Neri I. Obesity and hypertension during pregnancy: Development of a predictive model through bioelectrical impedance analysis. J Matern-Fetal Neonatal Med. 2021;34(SUPPL 1):56–7.</w:t>
      </w:r>
    </w:p>
    <w:p w14:paraId="6FDBE903">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28.</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Tan C, Li B, Xiao L, Zhang Y, Su Y, Ding N. A Prediction Model of the Incidence of Type 2 Diabetes in Individuals with Abdominal Obesity: Insights from the General Population. Diabetes Metab Syndr Obes. 2022;15:3555–64.</w:t>
      </w:r>
    </w:p>
    <w:p w14:paraId="1426AA70">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29.</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Yang JX, Liu Y, Huang R, Wu HY, Wang YY, Cao SY, et al. Development and internal validation of a machine learning algorithm for the risk of type 2 diabetes mellitus in children with obesity. Front Endocrinol (Lausanne). 2025;16:1649988.</w:t>
      </w:r>
    </w:p>
    <w:p w14:paraId="30AA4920">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30.</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Garcia-Carretero R, Vigil-Medina L, Mora-Jimenez I, Soguero-Ruiz C, Barquero-Perez O, Ramos-Lopez J. Use of a K-nearest neighbors model to predict the development of type 2 diabetes within 2 years in an obese, hypertensive population. Med Biol Eng Comput. 2020;58(5):991–1002.</w:t>
      </w:r>
    </w:p>
    <w:p w14:paraId="1CAF7227">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Liu Q, Yuan J, Bakeyi M, Li J, Zhang Z, Yang X, et al. Development and Validation of a Nomogram to Predict Type 2 Diabetes Mellitus in Overweight and Obese Adults: A Prospective Cohort Study from 82938 Adults in China. Int J Endocrinol. 2020;2020:8899556.</w:t>
      </w:r>
    </w:p>
    <w:p w14:paraId="54250058">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Park J, Chung GE, Chang Y, Kim SE, Sohn W, Ryu S, et al. A Novel Point-of-Care Prediction Model for Steatotic Liver Disease: Expected Role of Mass Screening in the Global Obesity Crisis. Gut Liver. 2025;19(1):126–35.</w:t>
      </w:r>
    </w:p>
    <w:p w14:paraId="428B9F0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33.</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Zhu X, Xu B, Yang C, Ma S, Hao G, Gu F, et al. A Prediction Model for Obstructive Sleep Apnea in Bariatric Surgery Candidates with Obesity. Obes Surg. 2025;35(10):4205–15.</w:t>
      </w:r>
    </w:p>
    <w:p w14:paraId="5641E71B">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34.</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Zhou Y, Liu M, Chen Z, Cai X, He L, Lei J, et al. Equations for Predicting the 10-Year Risk of Atherosclerotic Cardiovascular Disease in Population With Obesity. JACC Adv. 2025;4(2):101542.</w:t>
      </w:r>
    </w:p>
    <w:p w14:paraId="5EADC9F7">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35.</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Yu M, Li X, Zong L, Wang Z, Lv Q. A Novel Body Mass Index-Based Thromboembolic Risk Score for Overweight Patients with Nonvalvular Atrial Fibrillation. Anatol J Cardiol. 2024;28(1):35–43.</w:t>
      </w:r>
    </w:p>
    <w:p w14:paraId="71E78830">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36.</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JING Jianying XN, GUO Xuemei, JING Xueming, XIE Rong, HE Yonglong. Prediction and evaluation of nomogram model on risk of hyperuricemia in overweight and obese children and adolescents. Chongqing Medical Journal. 2024;53(2):220–5.</w:t>
      </w:r>
    </w:p>
    <w:p w14:paraId="32A37E62">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37.</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Zhang H, Zhang Y, Gao W, Mu Y. Identification of risk factors and development of a predictive model for chronic kidney disease in patients with obesity: a four-year cohort study. Lipids Health Dis. 2024;23(1):57.</w:t>
      </w:r>
    </w:p>
    <w:p w14:paraId="12381D87">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38.</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YANG Xiulin CP, MA Bin, MA Weihong, HAI Xiangjun. Construction and evaluation of a nomogram model for predicting the risk of hypertension in Dongxiang adults based on obesity and muscle mass indices. Acta Anatomica Sinica. 2025;56(3):336–41.</w:t>
      </w:r>
    </w:p>
    <w:p w14:paraId="4F8CCB79">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39.</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LIAO Jing ZL. Nomograph model for predicting the risk of dyslipidemia with anthropometric indices in obese adolescents aged 13-16 years. Chinese Journal of Child Health Care. 2023;31(4):379–84.</w:t>
      </w:r>
    </w:p>
    <w:p w14:paraId="2B2E2697">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40.</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Zhou Y, Chai X, Guo T, Pu Y, Zeng M, Zhong A, et al. A Prediction Model of the Incidence of Nonalcoholic Fatty Liver Disease With Visceral Fatty Obesity: A General Population-Based Study. Front Public Health. 2022;10:895045.</w:t>
      </w:r>
    </w:p>
    <w:p w14:paraId="7DF30091">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Song D, Ge Q, Chen M, Bai S, Lai X, Huang G, et al. Development and Validation of a Nomogram for Prediction of the Risk of MAFLD in an Overweight and Obese Population. J Clin Transl Hepatol. 2022;10(6):1027–33.</w:t>
      </w:r>
    </w:p>
    <w:p w14:paraId="1BCD90D6">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Hu J, Wang M, Wang X, Guo M, Lu Y, Zhang Z, et al. Development and validation of an online nomogram for screening metabolic-associated fatty liver disease in obese children. Ital J Pediatr. 2025;51(1):307.</w:t>
      </w:r>
    </w:p>
    <w:p w14:paraId="1DBD889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43.</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Zhao A, Hao B, Liu S, Qiu X, Ming X, Yang X, et al. A Prediction Nomogram of Severe Obstructive Sleep Apnea in Patients with Obesity Based on the Liver Stiffness and Abdominal Visceral Adipose Tissue Quantification. Nat Sci Sleep. 2024;16:1515–27.</w:t>
      </w:r>
    </w:p>
    <w:p w14:paraId="52C6D43A">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44.</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Chen W, Feng J, Dong S, Guo J, Liang Y, Hu R, et al. A Novel Nomogram and Online Calculator for Predicting the Risk of Obesity Hypoventilation Syndrome in Bariatric Surgery Candidates. Obesity Surgery. 2022;33.</w:t>
      </w:r>
    </w:p>
    <w:p w14:paraId="7B9175DA">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45.</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YU Hui SG, DING Yue. Risk factors and early warning risk model for elevated atherogenic index of plasma in overweight/obese type 2 diabetes patients. Anhui Medical and Pharmaceutical Journal. 2025;29(10):2066–70.</w:t>
      </w:r>
    </w:p>
    <w:p w14:paraId="0E197B82">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46.</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Dandan G. Risk Prediction Model for Subclinical Carotid Atherosclerosis in Centrally Obese Population: Establishment and Evaluation: Hebei Medical University</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2024.</w:t>
      </w:r>
    </w:p>
    <w:p w14:paraId="6E8CCB3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47.</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SHI Jie ZY, LIN Jiarui, GUO Xiaodi, LIU Shuhong, HU Xiling. Development and validation of a nomogram-based assessment model for the risk of diabetic nephropathy in obese type 2 diabetes mellitus patients. Journal of New Medicine. 2025;56(10):986–94.</w:t>
      </w:r>
    </w:p>
    <w:p w14:paraId="4FB0EFCB">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48.</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LI Luwei HQ, SHI Jiacheng, LIU Xiaoling, WANG Caimei, YU Ping, WU Lan, QIN Yang, JIANG Renmei, YU Jian. Construction and evaluation of hyperuricemia prediction model for overweight and obese population. The Journal of Practical Medicine. 2021;37(18):2401–6.</w:t>
      </w:r>
    </w:p>
    <w:p w14:paraId="115AE83E">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49.</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Yu X, Liang S, Chen Y, Zhang T, Zou X, Ming WK, et al. A nomogram and online calculator for predicting depression risk in obese Americans. Heliyon. 2024;10(13):e33825.</w:t>
      </w:r>
    </w:p>
    <w:p w14:paraId="05ED42FD">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50.</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Yu C, Cao J, Chen W, Hong E. Development and validation of a predictive model for depression risk in Chinese obese adults. Front Public Health. 2025;13:1574386.</w:t>
      </w:r>
    </w:p>
    <w:p w14:paraId="13D43FCC">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51.</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Lei C, Wu G, Cui Y, Xia H, Chen J, Zhan X, et al. Development and validation of a cognitive dysfunction risk prediction model for the abdominal obesity population. Front Endocrinol (Lausanne). 2024;15:1290286.</w:t>
      </w:r>
    </w:p>
    <w:p w14:paraId="42552365">
      <w:pPr>
        <w:pStyle w:val="54"/>
        <w:bidi w:val="0"/>
        <w:ind w:left="0" w:firstLine="0"/>
        <w:rPr>
          <w:rFonts w:ascii="Times New Roman" w:hAnsi="Times New Roman" w:eastAsia="KaiTi_GB2312" w:cs="Times New Roman"/>
          <w:sz w:val="20"/>
          <w:szCs w:val="22"/>
          <w:lang w:val="zh-CN" w:eastAsia="zh-CN" w:bidi="ar-SA"/>
        </w:rPr>
      </w:pPr>
      <w:r>
        <w:rPr>
          <w:rFonts w:ascii="Times New Roman" w:hAnsi="Times New Roman" w:eastAsia="KaiTi_GB2312" w:cs="Times New Roman"/>
          <w:sz w:val="20"/>
          <w:szCs w:val="22"/>
          <w:lang w:val="zh-CN" w:eastAsia="zh-CN" w:bidi="ar-SA"/>
        </w:rPr>
        <w:t>52.</w:t>
      </w:r>
      <w:r>
        <w:rPr>
          <w:rFonts w:ascii="Times New Roman" w:hAnsi="Times New Roman" w:eastAsia="KaiTi_GB2312" w:cs="Times New Roman"/>
          <w:sz w:val="20"/>
          <w:szCs w:val="22"/>
          <w:lang w:val="zh-CN" w:eastAsia="zh-CN" w:bidi="ar-SA"/>
        </w:rPr>
        <w:tab/>
      </w:r>
      <w:r>
        <w:rPr>
          <w:rFonts w:ascii="Times New Roman" w:hAnsi="Times New Roman" w:eastAsia="KaiTi_GB2312" w:cs="Times New Roman"/>
          <w:sz w:val="20"/>
          <w:szCs w:val="22"/>
          <w:lang w:val="zh-CN" w:eastAsia="zh-CN" w:bidi="ar-SA"/>
        </w:rPr>
        <w:t>Chen W, Feng J, Dong S, Guo J, Liang Y, Hu R, et al. A Novel Nomogram and Online Calculator for Predicting the Risk of Obesity Hypoventilation Syndrome in Bariatric Surgery Candidates. Obes Surg. 2023;33(1):68–77.</w:t>
      </w:r>
    </w:p>
    <w:p w14:paraId="678D7832">
      <w:pPr>
        <w:pStyle w:val="54"/>
        <w:keepNext w:val="0"/>
        <w:keepLines w:val="0"/>
        <w:pageBreakBefore w:val="0"/>
        <w:widowControl/>
        <w:kinsoku/>
        <w:wordWrap/>
        <w:overflowPunct/>
        <w:topLinePunct w:val="0"/>
        <w:autoSpaceDE/>
        <w:autoSpaceDN/>
        <w:bidi w:val="0"/>
        <w:adjustRightInd/>
        <w:snapToGrid/>
        <w:spacing w:line="240" w:lineRule="auto"/>
        <w:ind w:left="0" w:firstLine="0"/>
        <w:textAlignment w:val="auto"/>
        <w:rPr>
          <w:rStyle w:val="57"/>
          <w:rFonts w:hint="eastAsia"/>
          <w:lang w:val="en-US" w:eastAsia="zh-CN"/>
        </w:rPr>
      </w:pPr>
      <w:r>
        <w:rPr>
          <w:rFonts w:hint="eastAsia" w:ascii="Times New Roman" w:hAnsi="Times New Roman" w:eastAsia="KaiTi_GB2312" w:cs="Times New Roman"/>
          <w:sz w:val="20"/>
          <w:szCs w:val="22"/>
          <w:lang w:val="en-US" w:eastAsia="zh-CN" w:bidi="ar-SA"/>
        </w:rPr>
        <w:fldChar w:fldCharType="end"/>
      </w:r>
    </w:p>
    <w:p w14:paraId="7C6D1537">
      <w:pPr>
        <w:pStyle w:val="54"/>
        <w:keepNext w:val="0"/>
        <w:keepLines w:val="0"/>
        <w:pageBreakBefore w:val="0"/>
        <w:widowControl/>
        <w:kinsoku/>
        <w:wordWrap/>
        <w:overflowPunct/>
        <w:topLinePunct w:val="0"/>
        <w:autoSpaceDE/>
        <w:autoSpaceDN/>
        <w:bidi w:val="0"/>
        <w:adjustRightInd/>
        <w:snapToGrid/>
        <w:spacing w:line="240" w:lineRule="auto"/>
        <w:ind w:left="0" w:firstLine="0"/>
        <w:textAlignment w:val="auto"/>
        <w:rPr>
          <w:rFonts w:hint="eastAsia" w:ascii="Times New Roman" w:hAnsi="Times New Roman" w:eastAsia="KaiTi_GB2312" w:cs="Times New Roman"/>
          <w:sz w:val="20"/>
          <w:szCs w:val="22"/>
          <w:lang w:val="en-US" w:eastAsia="zh-CN" w:bidi="ar-SA"/>
        </w:rPr>
      </w:pPr>
    </w:p>
    <w:sectPr>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aiTi_GB2312">
    <w:altName w:val="华文宋体"/>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Times New Roman Bold">
    <w:panose1 w:val="02020503050405090304"/>
    <w:charset w:val="00"/>
    <w:family w:val="auto"/>
    <w:pitch w:val="default"/>
    <w:sig w:usb0="E0000AFF" w:usb1="00007843" w:usb2="00000001" w:usb3="00000000" w:csb0="400001BF" w:csb1="DFF70000"/>
  </w:font>
  <w:font w:name="ti">
    <w:altName w:val="苹方-简"/>
    <w:panose1 w:val="00000000000000000000"/>
    <w:charset w:val="00"/>
    <w:family w:val="auto"/>
    <w:pitch w:val="default"/>
    <w:sig w:usb0="00000000" w:usb1="00000000" w:usb2="00000000" w:usb3="00000000" w:csb0="00000000" w:csb1="00000000"/>
  </w:font>
  <w:font w:name="Segoe Print">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华文中宋">
    <w:altName w:val="汉仪书宋二KW"/>
    <w:panose1 w:val="02010600040101010101"/>
    <w:charset w:val="86"/>
    <w:family w:val="auto"/>
    <w:pitch w:val="default"/>
    <w:sig w:usb0="00000000" w:usb1="00000000" w:usb2="00000000" w:usb3="00000000" w:csb0="0004009F" w:csb1="DFD70000"/>
  </w:font>
  <w:font w:name="宋体-简">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Kaiti SC Regular">
    <w:panose1 w:val="02010600040101010101"/>
    <w:charset w:val="86"/>
    <w:family w:val="auto"/>
    <w:pitch w:val="default"/>
    <w:sig w:usb0="80000287" w:usb1="280F3C52" w:usb2="00000016" w:usb3="00000000" w:csb0="0004001F" w:csb1="00000000"/>
  </w:font>
  <w:font w:name="华文宋体">
    <w:panose1 w:val="02010600040101010101"/>
    <w:charset w:val="86"/>
    <w:family w:val="auto"/>
    <w:pitch w:val="default"/>
    <w:sig w:usb0="80000287" w:usb1="280F3C52"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C87F">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77F1E">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677F1E">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footnote>
  <w:footnote w:type="continuationSeparator" w:id="3">
    <w:p/>
  </w:footnote>
  <w:footnote w:id="0">
    <w:p w14:paraId="7122670E">
      <w:pPr>
        <w:pStyle w:val="16"/>
        <w:snapToGrid w:val="0"/>
      </w:pPr>
      <w:r>
        <w:rPr>
          <w:rStyle w:val="28"/>
        </w:rPr>
        <w:footnoteRef/>
      </w:r>
      <w:r>
        <w:t xml:space="preserve"> </w:t>
      </w:r>
      <w:r>
        <w:rPr>
          <w:rFonts w:hint="default"/>
          <w:lang w:val="en-US" w:eastAsia="zh-CN"/>
        </w:rPr>
        <w:t>Number of studies considering this kind of predictors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E8F551"/>
    <w:multiLevelType w:val="singleLevel"/>
    <w:tmpl w:val="BBE8F551"/>
    <w:lvl w:ilvl="0" w:tentative="0">
      <w:start w:val="1"/>
      <w:numFmt w:val="decimal"/>
      <w:lvlText w:val="%1)"/>
      <w:lvlJc w:val="left"/>
      <w:pPr>
        <w:ind w:left="425" w:hanging="425"/>
      </w:pPr>
      <w:rPr>
        <w:rFonts w:hint="default"/>
      </w:rPr>
    </w:lvl>
  </w:abstractNum>
  <w:abstractNum w:abstractNumId="1">
    <w:nsid w:val="BFDCB15A"/>
    <w:multiLevelType w:val="singleLevel"/>
    <w:tmpl w:val="BFDCB15A"/>
    <w:lvl w:ilvl="0" w:tentative="0">
      <w:start w:val="1"/>
      <w:numFmt w:val="decimal"/>
      <w:lvlText w:val="%1)"/>
      <w:lvlJc w:val="left"/>
      <w:pPr>
        <w:ind w:left="425" w:hanging="425"/>
      </w:pPr>
      <w:rPr>
        <w:rFonts w:hint="default"/>
      </w:rPr>
    </w:lvl>
  </w:abstractNum>
  <w:abstractNum w:abstractNumId="2">
    <w:nsid w:val="7BDE8157"/>
    <w:multiLevelType w:val="singleLevel"/>
    <w:tmpl w:val="7BDE8157"/>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rspdaa1vazprerafqvx9tx5pvfaxf9awz0&quot;&gt;体重管理&lt;record-ids&gt;&lt;item&gt;256&lt;/item&gt;&lt;item&gt;257&lt;/item&gt;&lt;item&gt;495&lt;/item&gt;&lt;item&gt;496&lt;/item&gt;&lt;item&gt;497&lt;/item&gt;&lt;item&gt;499&lt;/item&gt;&lt;item&gt;500&lt;/item&gt;&lt;item&gt;501&lt;/item&gt;&lt;item&gt;502&lt;/item&gt;&lt;item&gt;504&lt;/item&gt;&lt;item&gt;505&lt;/item&gt;&lt;item&gt;506&lt;/item&gt;&lt;item&gt;508&lt;/item&gt;&lt;item&gt;509&lt;/item&gt;&lt;item&gt;510&lt;/item&gt;&lt;item&gt;511&lt;/item&gt;&lt;item&gt;512&lt;/item&gt;&lt;item&gt;513&lt;/item&gt;&lt;item&gt;514&lt;/item&gt;&lt;item&gt;515&lt;/item&gt;&lt;item&gt;516&lt;/item&gt;&lt;item&gt;518&lt;/item&gt;&lt;item&gt;519&lt;/item&gt;&lt;item&gt;521&lt;/item&gt;&lt;item&gt;522&lt;/item&gt;&lt;item&gt;523&lt;/item&gt;&lt;item&gt;524&lt;/item&gt;&lt;item&gt;526&lt;/item&gt;&lt;item&gt;528&lt;/item&gt;&lt;item&gt;530&lt;/item&gt;&lt;item&gt;532&lt;/item&gt;&lt;item&gt;534&lt;/item&gt;&lt;item&gt;536&lt;/item&gt;&lt;item&gt;538&lt;/item&gt;&lt;item&gt;539&lt;/item&gt;&lt;item&gt;540&lt;/item&gt;&lt;item&gt;542&lt;/item&gt;&lt;item&gt;543&lt;/item&gt;&lt;item&gt;544&lt;/item&gt;&lt;item&gt;545&lt;/item&gt;&lt;item&gt;546&lt;/item&gt;&lt;item&gt;547&lt;/item&gt;&lt;item&gt;548&lt;/item&gt;&lt;item&gt;549&lt;/item&gt;&lt;item&gt;550&lt;/item&gt;&lt;item&gt;551&lt;/item&gt;&lt;item&gt;552&lt;/item&gt;&lt;item&gt;553&lt;/item&gt;&lt;item&gt;554&lt;/item&gt;&lt;item&gt;558&lt;/item&gt;&lt;item&gt;561&lt;/item&gt;&lt;item&gt;780&lt;/item&gt;&lt;/record-ids&gt;&lt;/item&gt;&lt;/Libraries&gt;"/>
  </w:docVars>
  <w:rsids>
    <w:rsidRoot w:val="ECF7F1CD"/>
    <w:rsid w:val="0000795F"/>
    <w:rsid w:val="000340FD"/>
    <w:rsid w:val="001C4850"/>
    <w:rsid w:val="00471D4A"/>
    <w:rsid w:val="00474399"/>
    <w:rsid w:val="005336DB"/>
    <w:rsid w:val="005937C5"/>
    <w:rsid w:val="00652B48"/>
    <w:rsid w:val="00666992"/>
    <w:rsid w:val="006670E4"/>
    <w:rsid w:val="00897AE6"/>
    <w:rsid w:val="009F7141"/>
    <w:rsid w:val="00A80ECE"/>
    <w:rsid w:val="00B41962"/>
    <w:rsid w:val="00D85E68"/>
    <w:rsid w:val="00E509C4"/>
    <w:rsid w:val="00FC2AB1"/>
    <w:rsid w:val="03DE0D71"/>
    <w:rsid w:val="03E6670C"/>
    <w:rsid w:val="0C70667F"/>
    <w:rsid w:val="0F6DBE7D"/>
    <w:rsid w:val="0FEBB84E"/>
    <w:rsid w:val="13EA0FDF"/>
    <w:rsid w:val="153FAD5E"/>
    <w:rsid w:val="177B1B92"/>
    <w:rsid w:val="179D166C"/>
    <w:rsid w:val="17AF606B"/>
    <w:rsid w:val="1BFEA198"/>
    <w:rsid w:val="1E8B1E3C"/>
    <w:rsid w:val="24062379"/>
    <w:rsid w:val="28BF547E"/>
    <w:rsid w:val="2D6A1BE5"/>
    <w:rsid w:val="2D8F5979"/>
    <w:rsid w:val="2DDB50E9"/>
    <w:rsid w:val="2FDD1649"/>
    <w:rsid w:val="2FFF7476"/>
    <w:rsid w:val="315076E8"/>
    <w:rsid w:val="33EA2797"/>
    <w:rsid w:val="37E7521A"/>
    <w:rsid w:val="37F91224"/>
    <w:rsid w:val="37FAF4B7"/>
    <w:rsid w:val="37FC5877"/>
    <w:rsid w:val="39BBE5DD"/>
    <w:rsid w:val="3BE66A98"/>
    <w:rsid w:val="3BFD5545"/>
    <w:rsid w:val="3BFF5604"/>
    <w:rsid w:val="3EB3A5EF"/>
    <w:rsid w:val="3EFB22BF"/>
    <w:rsid w:val="3F4F9139"/>
    <w:rsid w:val="3FAFA5D1"/>
    <w:rsid w:val="3FE5C79D"/>
    <w:rsid w:val="49294916"/>
    <w:rsid w:val="4CC052CA"/>
    <w:rsid w:val="4F1A375C"/>
    <w:rsid w:val="4F5E52FF"/>
    <w:rsid w:val="56DD6FE4"/>
    <w:rsid w:val="570522A6"/>
    <w:rsid w:val="57F67F73"/>
    <w:rsid w:val="59FBEF4F"/>
    <w:rsid w:val="5BFE6C26"/>
    <w:rsid w:val="5E86FB1C"/>
    <w:rsid w:val="5EBF9415"/>
    <w:rsid w:val="5EFF107B"/>
    <w:rsid w:val="5FE74EA1"/>
    <w:rsid w:val="5FEEF393"/>
    <w:rsid w:val="5FFF3482"/>
    <w:rsid w:val="66DFFEE7"/>
    <w:rsid w:val="6775D5D6"/>
    <w:rsid w:val="67DC8BF4"/>
    <w:rsid w:val="67DF23F7"/>
    <w:rsid w:val="67E6E40D"/>
    <w:rsid w:val="68760E3B"/>
    <w:rsid w:val="69B79D31"/>
    <w:rsid w:val="69FF319D"/>
    <w:rsid w:val="6AF60E0B"/>
    <w:rsid w:val="6BF70009"/>
    <w:rsid w:val="6C07714A"/>
    <w:rsid w:val="6CBDBD51"/>
    <w:rsid w:val="6CFEA9EA"/>
    <w:rsid w:val="6D7B522E"/>
    <w:rsid w:val="6DCD5182"/>
    <w:rsid w:val="6EFE9722"/>
    <w:rsid w:val="6FD7C65D"/>
    <w:rsid w:val="713FBE4C"/>
    <w:rsid w:val="73FBECB5"/>
    <w:rsid w:val="74204465"/>
    <w:rsid w:val="74B7A8F4"/>
    <w:rsid w:val="757D47DA"/>
    <w:rsid w:val="75FFC273"/>
    <w:rsid w:val="7736630E"/>
    <w:rsid w:val="779F0B13"/>
    <w:rsid w:val="77F699E8"/>
    <w:rsid w:val="7AAFD6DC"/>
    <w:rsid w:val="7ABD8193"/>
    <w:rsid w:val="7AF7D73B"/>
    <w:rsid w:val="7B2D94D6"/>
    <w:rsid w:val="7B5F9C73"/>
    <w:rsid w:val="7BDFD77B"/>
    <w:rsid w:val="7BED2E30"/>
    <w:rsid w:val="7BED8405"/>
    <w:rsid w:val="7D7C789F"/>
    <w:rsid w:val="7DF7E5F9"/>
    <w:rsid w:val="7DF95C4A"/>
    <w:rsid w:val="7DFBBF25"/>
    <w:rsid w:val="7DFC53ED"/>
    <w:rsid w:val="7E2C6663"/>
    <w:rsid w:val="7E2F01BA"/>
    <w:rsid w:val="7E5F61FE"/>
    <w:rsid w:val="7EAF424B"/>
    <w:rsid w:val="7EEF031D"/>
    <w:rsid w:val="7EFC201D"/>
    <w:rsid w:val="7F3F7D48"/>
    <w:rsid w:val="7F4ED6B9"/>
    <w:rsid w:val="7F5AE739"/>
    <w:rsid w:val="7F798941"/>
    <w:rsid w:val="7F7D2151"/>
    <w:rsid w:val="7F7D8BD4"/>
    <w:rsid w:val="7F9F1F98"/>
    <w:rsid w:val="7FB7A7EB"/>
    <w:rsid w:val="7FBD0458"/>
    <w:rsid w:val="7FBF29F0"/>
    <w:rsid w:val="7FE988A5"/>
    <w:rsid w:val="7FEAE3BB"/>
    <w:rsid w:val="7FEFFE6C"/>
    <w:rsid w:val="7FFDD5AC"/>
    <w:rsid w:val="7FFEA851"/>
    <w:rsid w:val="7FFF1BB9"/>
    <w:rsid w:val="7FFF593C"/>
    <w:rsid w:val="8CEDBF3E"/>
    <w:rsid w:val="97D992E7"/>
    <w:rsid w:val="97F6ACD4"/>
    <w:rsid w:val="9BBF1A06"/>
    <w:rsid w:val="9BBF2370"/>
    <w:rsid w:val="9ED3F6AC"/>
    <w:rsid w:val="9EDFD359"/>
    <w:rsid w:val="9F76C4FC"/>
    <w:rsid w:val="9FF33569"/>
    <w:rsid w:val="A7F7B0B2"/>
    <w:rsid w:val="AABF6C6E"/>
    <w:rsid w:val="AE6D5A90"/>
    <w:rsid w:val="AE760EE4"/>
    <w:rsid w:val="B17B75AD"/>
    <w:rsid w:val="B3FCFFA5"/>
    <w:rsid w:val="B5E3D522"/>
    <w:rsid w:val="B6AC12CA"/>
    <w:rsid w:val="B7FF476E"/>
    <w:rsid w:val="B9F5450A"/>
    <w:rsid w:val="BBFF2622"/>
    <w:rsid w:val="BFED0070"/>
    <w:rsid w:val="BFF7C31D"/>
    <w:rsid w:val="CEEBA46B"/>
    <w:rsid w:val="CFDFB13F"/>
    <w:rsid w:val="CFFF84C9"/>
    <w:rsid w:val="D7DFF6C0"/>
    <w:rsid w:val="DBBF1D06"/>
    <w:rsid w:val="DC7D3AB3"/>
    <w:rsid w:val="DCF49F5A"/>
    <w:rsid w:val="DDBE266D"/>
    <w:rsid w:val="DDDD4E1B"/>
    <w:rsid w:val="DDEB7A88"/>
    <w:rsid w:val="DF7E6166"/>
    <w:rsid w:val="DFE5CDDA"/>
    <w:rsid w:val="DFF36DCC"/>
    <w:rsid w:val="DFFE39FC"/>
    <w:rsid w:val="DFFF6BF0"/>
    <w:rsid w:val="DFFFDE06"/>
    <w:rsid w:val="E27F9058"/>
    <w:rsid w:val="EA5E86EF"/>
    <w:rsid w:val="EA7B519C"/>
    <w:rsid w:val="EB2BE0AA"/>
    <w:rsid w:val="ECF7F1CD"/>
    <w:rsid w:val="EDA91C60"/>
    <w:rsid w:val="EDFE13A8"/>
    <w:rsid w:val="EEFEDCC0"/>
    <w:rsid w:val="EFAF5F63"/>
    <w:rsid w:val="EFDE915A"/>
    <w:rsid w:val="EFDF6E78"/>
    <w:rsid w:val="F36FF585"/>
    <w:rsid w:val="F5CEA59F"/>
    <w:rsid w:val="F6DFBC17"/>
    <w:rsid w:val="F76FB1A8"/>
    <w:rsid w:val="F7CE4513"/>
    <w:rsid w:val="F7CFEA85"/>
    <w:rsid w:val="F7D795F8"/>
    <w:rsid w:val="F9BFF739"/>
    <w:rsid w:val="F9EF481B"/>
    <w:rsid w:val="F9FFC896"/>
    <w:rsid w:val="FB6E7B96"/>
    <w:rsid w:val="FB97946A"/>
    <w:rsid w:val="FBDF7D95"/>
    <w:rsid w:val="FBE5C7CF"/>
    <w:rsid w:val="FCFB6852"/>
    <w:rsid w:val="FD3F81FB"/>
    <w:rsid w:val="FD972B93"/>
    <w:rsid w:val="FDBD54D1"/>
    <w:rsid w:val="FDBE38DB"/>
    <w:rsid w:val="FDBE922D"/>
    <w:rsid w:val="FDCB3F3D"/>
    <w:rsid w:val="FDCFADAA"/>
    <w:rsid w:val="FDFAD261"/>
    <w:rsid w:val="FE75CBC1"/>
    <w:rsid w:val="FEAFD99B"/>
    <w:rsid w:val="FEAFECD9"/>
    <w:rsid w:val="FEBD2E73"/>
    <w:rsid w:val="FEDEEC69"/>
    <w:rsid w:val="FEFD0359"/>
    <w:rsid w:val="FF3654FE"/>
    <w:rsid w:val="FF9E45CA"/>
    <w:rsid w:val="FFAD0E96"/>
    <w:rsid w:val="FFCE8EA9"/>
    <w:rsid w:val="FFF6BE0B"/>
    <w:rsid w:val="FFFFE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KaiTi_GB2312" w:cstheme="minorBidi"/>
      <w:sz w:val="21"/>
      <w:szCs w:val="22"/>
      <w:lang w:val="zh-CN" w:eastAsia="zh-CN" w:bidi="ar-SA"/>
    </w:rPr>
  </w:style>
  <w:style w:type="paragraph" w:styleId="2">
    <w:name w:val="heading 1"/>
    <w:basedOn w:val="1"/>
    <w:next w:val="1"/>
    <w:qFormat/>
    <w:uiPriority w:val="0"/>
    <w:pPr>
      <w:keepNext/>
      <w:keepLines/>
      <w:spacing w:before="340" w:after="330" w:line="576" w:lineRule="auto"/>
      <w:outlineLvl w:val="0"/>
    </w:pPr>
    <w:rPr>
      <w:rFonts w:eastAsia="宋体"/>
      <w:b/>
      <w:kern w:val="44"/>
      <w:sz w:val="28"/>
    </w:rPr>
  </w:style>
  <w:style w:type="paragraph" w:styleId="3">
    <w:name w:val="heading 2"/>
    <w:basedOn w:val="1"/>
    <w:next w:val="1"/>
    <w:link w:val="57"/>
    <w:unhideWhenUsed/>
    <w:qFormat/>
    <w:uiPriority w:val="0"/>
    <w:pPr>
      <w:spacing w:before="120" w:after="120"/>
      <w:outlineLvl w:val="1"/>
    </w:pPr>
    <w:rPr>
      <w:rFonts w:ascii="Times New Roman" w:hAnsi="Times New Roman" w:eastAsia="宋体" w:cstheme="minorBidi"/>
      <w:b/>
      <w:color w:val="000000" w:themeColor="text1"/>
      <w:sz w:val="24"/>
      <w:szCs w:val="26"/>
      <w:lang w:val="zh-CN" w:eastAsia="zh-CN" w:bidi="ar-SA"/>
      <w14:textFill>
        <w14:solidFill>
          <w14:schemeClr w14:val="tx1"/>
        </w14:solidFill>
      </w14:textFill>
    </w:rPr>
  </w:style>
  <w:style w:type="paragraph" w:styleId="4">
    <w:name w:val="heading 3"/>
    <w:basedOn w:val="1"/>
    <w:next w:val="1"/>
    <w:link w:val="55"/>
    <w:unhideWhenUsed/>
    <w:qFormat/>
    <w:uiPriority w:val="0"/>
    <w:pPr>
      <w:spacing w:beforeAutospacing="1" w:afterAutospacing="1"/>
      <w:jc w:val="left"/>
      <w:outlineLvl w:val="2"/>
    </w:pPr>
    <w:rPr>
      <w:rFonts w:ascii="Times New Roman Bold" w:hAnsi="Times New Roman Bold" w:eastAsia="宋体" w:cs="Times New Roman"/>
      <w:b/>
      <w:bCs/>
      <w:color w:val="000000" w:themeColor="text1"/>
      <w:sz w:val="24"/>
      <w:szCs w:val="27"/>
      <w:lang w:val="en-US"/>
      <w14:textFill>
        <w14:solidFill>
          <w14:schemeClr w14:val="tx1"/>
        </w14:solidFill>
      </w14:textFill>
    </w:rPr>
  </w:style>
  <w:style w:type="paragraph" w:styleId="5">
    <w:name w:val="heading 4"/>
    <w:basedOn w:val="1"/>
    <w:next w:val="1"/>
    <w:unhideWhenUsed/>
    <w:qFormat/>
    <w:uiPriority w:val="0"/>
    <w:pPr>
      <w:spacing w:beforeAutospacing="1" w:afterAutospacing="1"/>
      <w:jc w:val="left"/>
      <w:outlineLvl w:val="3"/>
    </w:pPr>
    <w:rPr>
      <w:rFonts w:eastAsia="宋体" w:cs="Times New Roman"/>
      <w:b/>
      <w:bCs/>
      <w:color w:val="000000" w:themeColor="text1"/>
      <w:szCs w:val="24"/>
      <w:lang w:val="en-US"/>
      <w14:textFill>
        <w14:solidFill>
          <w14:schemeClr w14:val="tx1"/>
        </w14:solidFill>
      </w14:textFill>
    </w:rPr>
  </w:style>
  <w:style w:type="paragraph" w:styleId="6">
    <w:name w:val="heading 5"/>
    <w:basedOn w:val="1"/>
    <w:next w:val="1"/>
    <w:semiHidden/>
    <w:unhideWhenUsed/>
    <w:qFormat/>
    <w:uiPriority w:val="0"/>
    <w:pPr>
      <w:keepNext/>
      <w:keepLines/>
      <w:spacing w:before="280" w:after="290" w:line="372" w:lineRule="auto"/>
      <w:outlineLvl w:val="4"/>
    </w:pPr>
    <w:rPr>
      <w:b/>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0"/>
    <w:rPr>
      <w:rFonts w:ascii="Arial" w:hAnsi="Arial" w:eastAsia="黑体"/>
      <w:sz w:val="20"/>
    </w:rPr>
  </w:style>
  <w:style w:type="paragraph" w:styleId="8">
    <w:name w:val="annotation text"/>
    <w:basedOn w:val="1"/>
    <w:link w:val="41"/>
    <w:qFormat/>
    <w:uiPriority w:val="0"/>
    <w:pPr>
      <w:jc w:val="left"/>
    </w:pPr>
  </w:style>
  <w:style w:type="paragraph" w:styleId="9">
    <w:name w:val="Body Text"/>
    <w:basedOn w:val="1"/>
    <w:qFormat/>
    <w:uiPriority w:val="0"/>
    <w:pPr>
      <w:spacing w:after="120"/>
    </w:pPr>
  </w:style>
  <w:style w:type="paragraph" w:styleId="10">
    <w:name w:val="toc 3"/>
    <w:basedOn w:val="1"/>
    <w:next w:val="1"/>
    <w:uiPriority w:val="0"/>
    <w:pPr>
      <w:ind w:left="840" w:leftChars="400"/>
    </w:pPr>
  </w:style>
  <w:style w:type="paragraph" w:styleId="11">
    <w:name w:val="endnote text"/>
    <w:basedOn w:val="1"/>
    <w:qFormat/>
    <w:uiPriority w:val="0"/>
    <w:pPr>
      <w:snapToGrid w:val="0"/>
      <w:jc w:val="left"/>
    </w:pPr>
  </w:style>
  <w:style w:type="paragraph" w:styleId="12">
    <w:name w:val="footer"/>
    <w:basedOn w:val="1"/>
    <w:qFormat/>
    <w:uiPriority w:val="99"/>
    <w:pPr>
      <w:tabs>
        <w:tab w:val="center" w:pos="4153"/>
        <w:tab w:val="right" w:pos="8306"/>
      </w:tabs>
      <w:snapToGrid w:val="0"/>
    </w:pPr>
    <w:rPr>
      <w:sz w:val="18"/>
      <w:szCs w:val="18"/>
    </w:rPr>
  </w:style>
  <w:style w:type="paragraph" w:styleId="13">
    <w:name w:val="header"/>
    <w:basedOn w:val="1"/>
    <w:qFormat/>
    <w:uiPriority w:val="0"/>
    <w:pP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toc 4"/>
    <w:basedOn w:val="1"/>
    <w:next w:val="1"/>
    <w:qFormat/>
    <w:uiPriority w:val="0"/>
    <w:pPr>
      <w:spacing w:before="120" w:after="120"/>
      <w:ind w:left="0" w:leftChars="0"/>
      <w:jc w:val="left"/>
    </w:pPr>
    <w:rPr>
      <w:rFonts w:ascii="Times New Roman" w:hAnsi="Times New Roman" w:eastAsia="ti"/>
      <w:sz w:val="24"/>
    </w:rPr>
  </w:style>
  <w:style w:type="paragraph" w:styleId="16">
    <w:name w:val="footnote text"/>
    <w:basedOn w:val="1"/>
    <w:qFormat/>
    <w:uiPriority w:val="0"/>
    <w:pPr>
      <w:snapToGrid w:val="0"/>
      <w:jc w:val="left"/>
    </w:pPr>
    <w:rPr>
      <w:sz w:val="18"/>
    </w:rPr>
  </w:style>
  <w:style w:type="paragraph" w:styleId="17">
    <w:name w:val="toc 2"/>
    <w:basedOn w:val="1"/>
    <w:next w:val="1"/>
    <w:qFormat/>
    <w:uiPriority w:val="0"/>
    <w:pPr>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annotation subject"/>
    <w:basedOn w:val="8"/>
    <w:next w:val="8"/>
    <w:link w:val="42"/>
    <w:qFormat/>
    <w:uiPriority w:val="0"/>
    <w:pPr>
      <w:jc w:val="both"/>
    </w:pPr>
    <w:rPr>
      <w:b/>
      <w:bCs/>
      <w:sz w:val="20"/>
      <w:szCs w:val="20"/>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endnote reference"/>
    <w:basedOn w:val="23"/>
    <w:qFormat/>
    <w:uiPriority w:val="0"/>
    <w:rPr>
      <w:vertAlign w:val="superscript"/>
    </w:rPr>
  </w:style>
  <w:style w:type="character" w:styleId="26">
    <w:name w:val="Hyperlink"/>
    <w:basedOn w:val="23"/>
    <w:qFormat/>
    <w:uiPriority w:val="0"/>
    <w:rPr>
      <w:color w:val="0000FF"/>
      <w:u w:val="single"/>
    </w:rPr>
  </w:style>
  <w:style w:type="character" w:styleId="27">
    <w:name w:val="annotation reference"/>
    <w:basedOn w:val="23"/>
    <w:qFormat/>
    <w:uiPriority w:val="0"/>
    <w:rPr>
      <w:sz w:val="16"/>
      <w:szCs w:val="16"/>
    </w:rPr>
  </w:style>
  <w:style w:type="character" w:styleId="28">
    <w:name w:val="footnote reference"/>
    <w:basedOn w:val="23"/>
    <w:uiPriority w:val="0"/>
    <w:rPr>
      <w:vertAlign w:val="superscript"/>
    </w:rPr>
  </w:style>
  <w:style w:type="paragraph" w:customStyle="1" w:styleId="29">
    <w:name w:val="图表注释"/>
    <w:next w:val="9"/>
    <w:qFormat/>
    <w:uiPriority w:val="0"/>
    <w:rPr>
      <w:rFonts w:ascii="Times New Roman" w:hAnsi="Times New Roman" w:eastAsiaTheme="minorEastAsia" w:cstheme="minorBidi"/>
      <w:sz w:val="18"/>
      <w:szCs w:val="18"/>
      <w:lang w:val="zh-CN" w:eastAsia="zh-CN" w:bidi="ar-SA"/>
    </w:rPr>
  </w:style>
  <w:style w:type="paragraph" w:customStyle="1" w:styleId="30">
    <w:name w:val="划重点"/>
    <w:basedOn w:val="1"/>
    <w:qFormat/>
    <w:uiPriority w:val="0"/>
    <w:pPr>
      <w:spacing w:before="60" w:after="60"/>
      <w:outlineLvl w:val="3"/>
    </w:pPr>
    <w:rPr>
      <w:rFonts w:hint="eastAsia" w:ascii="Times New Roman Regular" w:hAnsi="Times New Roman Regular" w:eastAsia="华文中宋" w:cs="Times New Roman Regular"/>
      <w:szCs w:val="21"/>
      <w:u w:val="thick"/>
      <w:lang w:val="en-US"/>
    </w:rPr>
  </w:style>
  <w:style w:type="paragraph" w:customStyle="1" w:styleId="31">
    <w:name w:val="样式1"/>
    <w:basedOn w:val="1"/>
    <w:qFormat/>
    <w:uiPriority w:val="0"/>
    <w:rPr>
      <w:u w:val="thick" w:color="C00000"/>
      <w:lang w:val="en-US"/>
    </w:rPr>
  </w:style>
  <w:style w:type="paragraph" w:customStyle="1" w:styleId="32">
    <w:name w:val="h4"/>
    <w:basedOn w:val="5"/>
    <w:next w:val="1"/>
    <w:qFormat/>
    <w:uiPriority w:val="0"/>
    <w:rPr>
      <w:rFonts w:hint="eastAsia"/>
    </w:rPr>
  </w:style>
  <w:style w:type="paragraph" w:customStyle="1" w:styleId="33">
    <w:name w:val="A2"/>
    <w:basedOn w:val="1"/>
    <w:next w:val="9"/>
    <w:qFormat/>
    <w:uiPriority w:val="0"/>
    <w:pPr>
      <w:outlineLvl w:val="1"/>
    </w:pPr>
    <w:rPr>
      <w:rFonts w:cs="Times New Roman Regular"/>
      <w:b/>
      <w:bCs/>
      <w:kern w:val="2"/>
      <w:szCs w:val="24"/>
      <w:lang w:val="en-US"/>
    </w:rPr>
  </w:style>
  <w:style w:type="paragraph" w:customStyle="1" w:styleId="34">
    <w:name w:val="A3"/>
    <w:basedOn w:val="1"/>
    <w:qFormat/>
    <w:uiPriority w:val="0"/>
    <w:pPr>
      <w:outlineLvl w:val="2"/>
    </w:pPr>
    <w:rPr>
      <w:rFonts w:ascii="Times New Roman Bold" w:hAnsi="Times New Roman Bold" w:cs="Times New Roman Bold"/>
      <w:b/>
      <w:bCs/>
      <w:kern w:val="2"/>
      <w:szCs w:val="24"/>
      <w:lang w:val="en-US"/>
    </w:rPr>
  </w:style>
  <w:style w:type="paragraph" w:customStyle="1" w:styleId="35">
    <w:name w:val="highlight2"/>
    <w:basedOn w:val="1"/>
    <w:link w:val="36"/>
    <w:qFormat/>
    <w:uiPriority w:val="0"/>
    <w:pPr>
      <w:widowControl/>
      <w:spacing w:beforeAutospacing="1" w:afterAutospacing="1"/>
    </w:pPr>
    <w:rPr>
      <w:rFonts w:hint="eastAsia"/>
      <w:shd w:val="clear" w:color="auto" w:fill="D4F4F1" w:themeFill="accent5" w:themeFillTint="32"/>
      <w:lang w:val="en-US"/>
    </w:rPr>
  </w:style>
  <w:style w:type="character" w:customStyle="1" w:styleId="36">
    <w:name w:val="highlight2 Char"/>
    <w:link w:val="35"/>
    <w:qFormat/>
    <w:uiPriority w:val="0"/>
    <w:rPr>
      <w:rFonts w:hint="eastAsia" w:eastAsia="KaiTi_GB2312"/>
      <w:u w:val="none"/>
      <w:shd w:val="clear" w:color="auto" w:fill="D4F4F1" w:themeFill="accent5" w:themeFillTint="32"/>
      <w:lang w:val="en-US" w:eastAsia="zh-CN"/>
    </w:rPr>
  </w:style>
  <w:style w:type="character" w:customStyle="1" w:styleId="37">
    <w:name w:val="15"/>
    <w:basedOn w:val="23"/>
    <w:qFormat/>
    <w:uiPriority w:val="0"/>
    <w:rPr>
      <w:rFonts w:hint="default" w:ascii="Times New Roman" w:hAnsi="Times New Roman" w:cs="Times New Roman"/>
      <w:vertAlign w:val="superscript"/>
    </w:rPr>
  </w:style>
  <w:style w:type="paragraph" w:customStyle="1" w:styleId="38">
    <w:name w:val="正文1"/>
    <w:qFormat/>
    <w:uiPriority w:val="0"/>
    <w:pPr>
      <w:widowControl w:val="0"/>
      <w:jc w:val="both"/>
    </w:pPr>
    <w:rPr>
      <w:rFonts w:ascii="Times New Roman" w:hAnsi="Times New Roman" w:eastAsia="KaiTi_GB2312" w:cs="Times New Roman"/>
      <w:sz w:val="21"/>
      <w:szCs w:val="21"/>
      <w:lang w:val="zh-CN" w:eastAsia="zh-CN" w:bidi="ar-SA"/>
    </w:rPr>
  </w:style>
  <w:style w:type="table" w:customStyle="1" w:styleId="39">
    <w:name w:val="普通表格1"/>
    <w:semiHidden/>
    <w:qFormat/>
    <w:uiPriority w:val="0"/>
    <w:rPr>
      <w:rFonts w:eastAsia="Times New Roman"/>
    </w:rPr>
    <w:tblPr>
      <w:tblCellMar>
        <w:top w:w="0" w:type="dxa"/>
        <w:left w:w="108" w:type="dxa"/>
        <w:bottom w:w="0" w:type="dxa"/>
        <w:right w:w="108" w:type="dxa"/>
      </w:tblCellMar>
    </w:tblPr>
  </w:style>
  <w:style w:type="paragraph" w:customStyle="1" w:styleId="40">
    <w:name w:val="ds-markdown-paragraph"/>
    <w:basedOn w:val="1"/>
    <w:qFormat/>
    <w:uiPriority w:val="0"/>
    <w:pPr>
      <w:widowControl/>
      <w:spacing w:before="100" w:beforeAutospacing="1" w:after="100" w:afterAutospacing="1"/>
      <w:jc w:val="left"/>
    </w:pPr>
    <w:rPr>
      <w:rFonts w:eastAsia="Times New Roman" w:cs="Times New Roman"/>
      <w:sz w:val="24"/>
      <w:szCs w:val="24"/>
    </w:rPr>
  </w:style>
  <w:style w:type="character" w:customStyle="1" w:styleId="41">
    <w:name w:val="Comment Text Char"/>
    <w:basedOn w:val="23"/>
    <w:link w:val="8"/>
    <w:qFormat/>
    <w:uiPriority w:val="0"/>
    <w:rPr>
      <w:rFonts w:eastAsia="KaiTi_GB2312" w:cstheme="minorBidi"/>
      <w:sz w:val="21"/>
      <w:szCs w:val="22"/>
    </w:rPr>
  </w:style>
  <w:style w:type="character" w:customStyle="1" w:styleId="42">
    <w:name w:val="Comment Subject Char"/>
    <w:basedOn w:val="41"/>
    <w:link w:val="20"/>
    <w:qFormat/>
    <w:uiPriority w:val="0"/>
    <w:rPr>
      <w:rFonts w:eastAsia="KaiTi_GB2312" w:cstheme="minorBidi"/>
      <w:b/>
      <w:bCs/>
      <w:sz w:val="21"/>
      <w:szCs w:val="22"/>
    </w:rPr>
  </w:style>
  <w:style w:type="character" w:customStyle="1" w:styleId="43">
    <w:name w:val="font01"/>
    <w:basedOn w:val="23"/>
    <w:qFormat/>
    <w:uiPriority w:val="0"/>
    <w:rPr>
      <w:rFonts w:hint="eastAsia" w:ascii="宋体" w:hAnsi="宋体" w:eastAsia="宋体" w:cs="宋体"/>
      <w:color w:val="000000"/>
      <w:sz w:val="22"/>
      <w:szCs w:val="22"/>
      <w:u w:val="none"/>
    </w:rPr>
  </w:style>
  <w:style w:type="character" w:customStyle="1" w:styleId="44">
    <w:name w:val="font21"/>
    <w:basedOn w:val="23"/>
    <w:qFormat/>
    <w:uiPriority w:val="0"/>
    <w:rPr>
      <w:rFonts w:hint="default" w:ascii="Times New Roman" w:hAnsi="Times New Roman" w:cs="Times New Roman"/>
      <w:color w:val="000000"/>
      <w:sz w:val="22"/>
      <w:szCs w:val="22"/>
      <w:u w:val="none"/>
    </w:rPr>
  </w:style>
  <w:style w:type="character" w:customStyle="1" w:styleId="45">
    <w:name w:val="font31"/>
    <w:basedOn w:val="23"/>
    <w:qFormat/>
    <w:uiPriority w:val="0"/>
    <w:rPr>
      <w:rFonts w:hint="eastAsia" w:ascii="宋体-简" w:hAnsi="宋体-简" w:eastAsia="宋体-简" w:cs="宋体-简"/>
      <w:color w:val="000000"/>
      <w:sz w:val="22"/>
      <w:szCs w:val="22"/>
      <w:u w:val="none"/>
    </w:rPr>
  </w:style>
  <w:style w:type="character" w:customStyle="1" w:styleId="46">
    <w:name w:val="font41"/>
    <w:basedOn w:val="23"/>
    <w:qFormat/>
    <w:uiPriority w:val="0"/>
    <w:rPr>
      <w:rFonts w:hint="eastAsia" w:ascii="宋体" w:hAnsi="宋体" w:eastAsia="宋体" w:cs="宋体"/>
      <w:color w:val="0F1115"/>
      <w:sz w:val="22"/>
      <w:szCs w:val="22"/>
      <w:u w:val="none"/>
    </w:rPr>
  </w:style>
  <w:style w:type="character" w:customStyle="1" w:styleId="47">
    <w:name w:val="font51"/>
    <w:basedOn w:val="23"/>
    <w:qFormat/>
    <w:uiPriority w:val="0"/>
    <w:rPr>
      <w:rFonts w:hint="default" w:ascii="Times New Roman" w:hAnsi="Times New Roman" w:cs="Times New Roman"/>
      <w:color w:val="0F1115"/>
      <w:sz w:val="22"/>
      <w:szCs w:val="22"/>
      <w:u w:val="none"/>
    </w:rPr>
  </w:style>
  <w:style w:type="character" w:customStyle="1" w:styleId="48">
    <w:name w:val="font71"/>
    <w:basedOn w:val="23"/>
    <w:qFormat/>
    <w:uiPriority w:val="0"/>
    <w:rPr>
      <w:rFonts w:hint="eastAsia" w:ascii="宋体-简" w:hAnsi="宋体-简" w:eastAsia="宋体-简" w:cs="宋体-简"/>
      <w:color w:val="0F1115"/>
      <w:sz w:val="22"/>
      <w:szCs w:val="22"/>
      <w:u w:val="none"/>
    </w:rPr>
  </w:style>
  <w:style w:type="character" w:customStyle="1" w:styleId="49">
    <w:name w:val="font11"/>
    <w:basedOn w:val="23"/>
    <w:qFormat/>
    <w:uiPriority w:val="0"/>
    <w:rPr>
      <w:rFonts w:hint="default" w:ascii="Times New Roman" w:hAnsi="Times New Roman" w:cs="Times New Roman"/>
      <w:color w:val="0F1115"/>
      <w:sz w:val="22"/>
      <w:szCs w:val="22"/>
      <w:u w:val="none"/>
    </w:rPr>
  </w:style>
  <w:style w:type="character" w:customStyle="1" w:styleId="50">
    <w:name w:val="font61"/>
    <w:basedOn w:val="23"/>
    <w:qFormat/>
    <w:uiPriority w:val="0"/>
    <w:rPr>
      <w:rFonts w:ascii="宋体-简" w:hAnsi="宋体-简" w:eastAsia="宋体-简" w:cs="宋体-简"/>
      <w:color w:val="0F1115"/>
      <w:sz w:val="22"/>
      <w:szCs w:val="22"/>
      <w:u w:val="none"/>
    </w:rPr>
  </w:style>
  <w:style w:type="character" w:customStyle="1" w:styleId="51">
    <w:name w:val="font81"/>
    <w:basedOn w:val="23"/>
    <w:qFormat/>
    <w:uiPriority w:val="0"/>
    <w:rPr>
      <w:rFonts w:ascii="宋体-简" w:hAnsi="宋体-简" w:eastAsia="宋体-简" w:cs="宋体-简"/>
      <w:color w:val="0F1115"/>
      <w:sz w:val="22"/>
      <w:szCs w:val="22"/>
      <w:u w:val="none"/>
    </w:rPr>
  </w:style>
  <w:style w:type="character" w:customStyle="1" w:styleId="52">
    <w:name w:val="font91"/>
    <w:basedOn w:val="23"/>
    <w:qFormat/>
    <w:uiPriority w:val="0"/>
    <w:rPr>
      <w:rFonts w:hint="eastAsia" w:ascii="宋体-简" w:hAnsi="宋体-简" w:eastAsia="宋体-简" w:cs="宋体-简"/>
      <w:color w:val="0F1115"/>
      <w:sz w:val="22"/>
      <w:szCs w:val="22"/>
      <w:u w:val="none"/>
    </w:rPr>
  </w:style>
  <w:style w:type="paragraph" w:customStyle="1" w:styleId="53">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eastAsia="KaiTi_GB2312" w:cs="Times New Roman"/>
      <w:sz w:val="20"/>
      <w:szCs w:val="22"/>
      <w:lang w:val="zh-CN" w:eastAsia="zh-CN" w:bidi="ar-SA"/>
    </w:rPr>
  </w:style>
  <w:style w:type="paragraph" w:customStyle="1" w:styleId="54">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KaiTi_GB2312" w:cs="Times New Roman"/>
      <w:sz w:val="20"/>
      <w:szCs w:val="22"/>
      <w:lang w:val="zh-CN" w:eastAsia="zh-CN" w:bidi="ar-SA"/>
    </w:rPr>
  </w:style>
  <w:style w:type="character" w:customStyle="1" w:styleId="55">
    <w:name w:val="标题 3 Char"/>
    <w:link w:val="4"/>
    <w:qFormat/>
    <w:uiPriority w:val="0"/>
    <w:rPr>
      <w:rFonts w:ascii="Times New Roman Bold" w:hAnsi="Times New Roman Bold" w:eastAsia="宋体" w:cs="Times New Roman"/>
      <w:b/>
      <w:bCs/>
      <w:color w:val="000000" w:themeColor="text1"/>
      <w:sz w:val="24"/>
      <w:szCs w:val="27"/>
      <w:lang w:val="en-US"/>
      <w14:textFill>
        <w14:solidFill>
          <w14:schemeClr w14:val="tx1"/>
        </w14:solidFill>
      </w14:textFill>
    </w:rPr>
  </w:style>
  <w:style w:type="paragraph" w:customStyle="1" w:styleId="56">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character" w:customStyle="1" w:styleId="57">
    <w:name w:val="标题 2 Char"/>
    <w:link w:val="3"/>
    <w:uiPriority w:val="0"/>
    <w:rPr>
      <w:rFonts w:ascii="Times New Roman" w:hAnsi="Times New Roman" w:eastAsia="宋体" w:cstheme="minorBidi"/>
      <w:b/>
      <w:color w:val="000000" w:themeColor="text1"/>
      <w:sz w:val="24"/>
      <w:szCs w:val="26"/>
      <w:lang w:val="zh-CN" w:eastAsia="zh-CN" w:bidi="ar-SA"/>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D6E2BF-E681-CA45-8F32-CA9CED59AE87}">
  <ds:schemaRefs/>
</ds:datastoreItem>
</file>

<file path=docProps/app.xml><?xml version="1.0" encoding="utf-8"?>
<Properties xmlns="http://schemas.openxmlformats.org/officeDocument/2006/extended-properties" xmlns:vt="http://schemas.openxmlformats.org/officeDocument/2006/docPropsVTypes">
  <Template>Normal.dotm</Template>
  <Pages>54</Pages>
  <Words>658</Words>
  <Characters>3726</Characters>
  <Lines>831</Lines>
  <Paragraphs>234</Paragraphs>
  <TotalTime>0</TotalTime>
  <ScaleCrop>false</ScaleCrop>
  <LinksUpToDate>false</LinksUpToDate>
  <CharactersWithSpaces>4348</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2026-02-23T13:37:00Z</dcterms:created>
  <dc:creator>王丽敏</dc:creator>
  <cp:lastModifiedBy>王梦凡</cp:lastModifiedBy>
  <dcterms:modified xsi:type="dcterms:W3CDTF">2026-08-14T16:13:12Z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6541EF410E22376ACB9A366A9DF2E3B4_43</vt:lpwstr>
  </property>
  <property fmtid="{D5CDD505-2E9C-101B-9397-08002B2CF9AE}" pid="4" name="ZOTERO_PREF_1">
    <vt:lpwstr>&lt;data data-version="3" zotero-version="7.0.32"&gt;&lt;session id="o4i3Gxw4"/&gt;&lt;style id="https://www.zotero-chinese.com/styles/GB-T-7714—2015（顺序编码，双语，姓名不大写，无URL、DOI）" hasBibliography="1" bibliographyStyleHasBeenSet="0"/&gt;&lt;prefs&gt;&lt;pref name="fieldType" value="Field</vt:lpwstr>
  </property>
  <property fmtid="{D5CDD505-2E9C-101B-9397-08002B2CF9AE}" pid="5" name="ZOTERO_PREF_2">
    <vt:lpwstr>"/&gt;&lt;/prefs&gt;&lt;/data&gt;</vt:lpwstr>
  </property>
  <property fmtid="{D5CDD505-2E9C-101B-9397-08002B2CF9AE}" pid="6" name="KSOTemplateDocerSaveRecord">
    <vt:lpwstr>eyJoZGlkIjoiNGQ3ODZiNDRhNjU1NzgzNGMzMjIxMWYwMGY0ZGY2NzUiLCJ1c2VySWQiOiI0NzMzMjMxODkifQ==</vt:lpwstr>
  </property>
</Properties>
</file>