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10485" w14:textId="363E819D" w:rsidR="00193E9D" w:rsidRPr="00EF66DB" w:rsidRDefault="006B4F0F" w:rsidP="00193E9D">
      <w:pPr>
        <w:pBdr>
          <w:top w:val="nil"/>
          <w:left w:val="nil"/>
          <w:bottom w:val="nil"/>
          <w:right w:val="nil"/>
          <w:between w:val="nil"/>
        </w:pBdr>
        <w:spacing w:after="0"/>
        <w:rPr>
          <w:rFonts w:asciiTheme="minorHAnsi" w:eastAsia="Calibri" w:hAnsiTheme="minorHAnsi" w:cstheme="minorHAnsi"/>
          <w:color w:val="000000"/>
          <w:sz w:val="22"/>
          <w:szCs w:val="22"/>
        </w:rPr>
      </w:pPr>
      <w:r w:rsidRPr="00EF66DB">
        <w:rPr>
          <w:rFonts w:asciiTheme="minorHAnsi" w:eastAsia="Calibri" w:hAnsiTheme="minorHAnsi" w:cstheme="minorHAnsi"/>
          <w:color w:val="000000"/>
          <w:sz w:val="22"/>
          <w:szCs w:val="22"/>
        </w:rPr>
        <w:t>Additional Files</w:t>
      </w:r>
      <w:r w:rsidR="00193E9D" w:rsidRPr="00EF66DB">
        <w:rPr>
          <w:rFonts w:asciiTheme="minorHAnsi" w:eastAsia="Calibri" w:hAnsiTheme="minorHAnsi" w:cstheme="minorHAnsi"/>
          <w:sz w:val="22"/>
          <w:szCs w:val="22"/>
        </w:rPr>
        <w:t>.</w:t>
      </w:r>
      <w:r w:rsidR="00193E9D" w:rsidRPr="00EF66DB">
        <w:rPr>
          <w:rFonts w:asciiTheme="minorHAnsi" w:eastAsia="Calibri" w:hAnsiTheme="minorHAnsi" w:cstheme="minorHAnsi"/>
          <w:color w:val="000000"/>
          <w:sz w:val="22"/>
          <w:szCs w:val="22"/>
        </w:rPr>
        <w:t xml:space="preserve"> </w:t>
      </w:r>
    </w:p>
    <w:p w14:paraId="036726BB" w14:textId="58D9CA9B" w:rsidR="00193E9D" w:rsidRPr="00EF66DB" w:rsidRDefault="00193E9D" w:rsidP="00193E9D">
      <w:pPr>
        <w:spacing w:after="0"/>
        <w:ind w:firstLine="720"/>
        <w:rPr>
          <w:rFonts w:asciiTheme="minorHAnsi" w:hAnsiTheme="minorHAnsi" w:cstheme="minorHAnsi"/>
          <w:color w:val="000000" w:themeColor="text1"/>
          <w:sz w:val="22"/>
          <w:szCs w:val="22"/>
          <w:shd w:val="clear" w:color="auto" w:fill="FFFFFF"/>
        </w:rPr>
      </w:pPr>
      <w:r w:rsidRPr="00EF66DB">
        <w:rPr>
          <w:rFonts w:asciiTheme="minorHAnsi" w:hAnsiTheme="minorHAnsi" w:cstheme="minorHAnsi"/>
          <w:color w:val="000000" w:themeColor="text1"/>
          <w:sz w:val="22"/>
          <w:szCs w:val="22"/>
          <w:shd w:val="clear" w:color="auto" w:fill="FFFFFF"/>
        </w:rPr>
        <w:t>Title: </w:t>
      </w:r>
      <w:r w:rsidR="006B4F0F" w:rsidRPr="00EF66DB">
        <w:rPr>
          <w:rFonts w:asciiTheme="minorHAnsi" w:hAnsiTheme="minorHAnsi" w:cstheme="minorHAnsi"/>
          <w:color w:val="000000" w:themeColor="text1"/>
          <w:sz w:val="22"/>
          <w:szCs w:val="22"/>
          <w:shd w:val="clear" w:color="auto" w:fill="FFFFFF"/>
        </w:rPr>
        <w:t>File 1</w:t>
      </w:r>
      <w:r w:rsidRPr="00EF66DB">
        <w:rPr>
          <w:rFonts w:asciiTheme="minorHAnsi" w:hAnsiTheme="minorHAnsi" w:cstheme="minorHAnsi"/>
          <w:color w:val="000000" w:themeColor="text1"/>
          <w:sz w:val="22"/>
          <w:szCs w:val="22"/>
          <w:shd w:val="clear" w:color="auto" w:fill="FFFFFF"/>
        </w:rPr>
        <w:t xml:space="preserve">. OBLS expert panel disclosures </w:t>
      </w:r>
    </w:p>
    <w:p w14:paraId="27458131" w14:textId="35F71110" w:rsidR="00193E9D" w:rsidRDefault="00193E9D" w:rsidP="00193E9D">
      <w:pPr>
        <w:spacing w:after="0"/>
        <w:ind w:firstLine="720"/>
        <w:rPr>
          <w:rFonts w:asciiTheme="minorHAnsi" w:eastAsia="Calibri" w:hAnsiTheme="minorHAnsi" w:cstheme="minorHAnsi"/>
          <w:color w:val="000000" w:themeColor="text1"/>
          <w:sz w:val="22"/>
          <w:szCs w:val="22"/>
        </w:rPr>
      </w:pPr>
      <w:r w:rsidRPr="00EF66DB">
        <w:rPr>
          <w:rFonts w:asciiTheme="minorHAnsi" w:hAnsiTheme="minorHAnsi" w:cstheme="minorHAnsi"/>
          <w:color w:val="000000" w:themeColor="text1"/>
          <w:sz w:val="22"/>
          <w:szCs w:val="22"/>
          <w:shd w:val="clear" w:color="auto" w:fill="FFFFFF"/>
        </w:rPr>
        <w:t xml:space="preserve">Title: </w:t>
      </w:r>
      <w:r w:rsidR="006B4F0F" w:rsidRPr="00EF66DB">
        <w:rPr>
          <w:rFonts w:asciiTheme="minorHAnsi" w:hAnsiTheme="minorHAnsi" w:cstheme="minorHAnsi"/>
          <w:color w:val="000000" w:themeColor="text1"/>
          <w:sz w:val="22"/>
          <w:szCs w:val="22"/>
          <w:shd w:val="clear" w:color="auto" w:fill="FFFFFF"/>
        </w:rPr>
        <w:t>File 2</w:t>
      </w:r>
      <w:r w:rsidRPr="00EF66DB">
        <w:rPr>
          <w:rFonts w:asciiTheme="minorHAnsi" w:hAnsiTheme="minorHAnsi" w:cstheme="minorHAnsi"/>
          <w:color w:val="000000" w:themeColor="text1"/>
          <w:sz w:val="22"/>
          <w:szCs w:val="22"/>
          <w:shd w:val="clear" w:color="auto" w:fill="FFFFFF"/>
        </w:rPr>
        <w:t xml:space="preserve">. </w:t>
      </w:r>
      <w:r w:rsidRPr="00EF66DB">
        <w:rPr>
          <w:rFonts w:asciiTheme="minorHAnsi" w:eastAsia="Calibri" w:hAnsiTheme="minorHAnsi" w:cstheme="minorHAnsi"/>
          <w:color w:val="000000" w:themeColor="text1"/>
          <w:sz w:val="22"/>
          <w:szCs w:val="22"/>
        </w:rPr>
        <w:t>OBLS expert panel scores for the Agree II assessment</w:t>
      </w:r>
    </w:p>
    <w:p w14:paraId="625660E3" w14:textId="38F4274D" w:rsidR="00EF66DB" w:rsidRPr="00EF66DB" w:rsidRDefault="00EF66DB" w:rsidP="00EF66DB">
      <w:pPr>
        <w:spacing w:after="0"/>
        <w:ind w:firstLine="720"/>
        <w:rPr>
          <w:rFonts w:asciiTheme="minorHAnsi" w:hAnsiTheme="minorHAnsi" w:cstheme="minorHAnsi"/>
          <w:color w:val="000000" w:themeColor="text1"/>
          <w:sz w:val="22"/>
          <w:szCs w:val="22"/>
          <w:shd w:val="clear" w:color="auto" w:fill="FFFFFF"/>
        </w:rPr>
      </w:pPr>
      <w:r>
        <w:rPr>
          <w:rFonts w:asciiTheme="minorHAnsi" w:eastAsia="Calibri" w:hAnsiTheme="minorHAnsi" w:cstheme="minorHAnsi"/>
          <w:sz w:val="22"/>
          <w:szCs w:val="22"/>
        </w:rPr>
        <w:t xml:space="preserve">Title: </w:t>
      </w:r>
      <w:r>
        <w:rPr>
          <w:rFonts w:asciiTheme="minorHAnsi" w:eastAsia="Calibri" w:hAnsiTheme="minorHAnsi" w:cstheme="minorHAnsi"/>
          <w:color w:val="000000"/>
          <w:sz w:val="22"/>
          <w:szCs w:val="22"/>
        </w:rPr>
        <w:t xml:space="preserve">File </w:t>
      </w:r>
      <w:r>
        <w:rPr>
          <w:rFonts w:asciiTheme="minorHAnsi" w:eastAsia="Calibri" w:hAnsiTheme="minorHAnsi" w:cstheme="minorHAnsi"/>
          <w:color w:val="000000"/>
          <w:sz w:val="22"/>
          <w:szCs w:val="22"/>
        </w:rPr>
        <w:t>3</w:t>
      </w:r>
      <w:r w:rsidRPr="00EF66DB">
        <w:rPr>
          <w:rFonts w:asciiTheme="minorHAnsi" w:eastAsia="Calibri" w:hAnsiTheme="minorHAnsi" w:cstheme="minorHAnsi"/>
          <w:color w:val="000000"/>
          <w:sz w:val="22"/>
          <w:szCs w:val="22"/>
        </w:rPr>
        <w:t>: MeSH search terms</w:t>
      </w:r>
    </w:p>
    <w:p w14:paraId="53E70E64" w14:textId="2F5FFA5A" w:rsidR="00193E9D" w:rsidRPr="00EF66DB" w:rsidRDefault="00193E9D" w:rsidP="00EF66DB">
      <w:pPr>
        <w:spacing w:after="0"/>
        <w:ind w:firstLine="720"/>
        <w:rPr>
          <w:rFonts w:asciiTheme="minorHAnsi" w:hAnsiTheme="minorHAnsi" w:cstheme="minorHAnsi"/>
          <w:color w:val="000000" w:themeColor="text1"/>
          <w:sz w:val="22"/>
          <w:szCs w:val="22"/>
          <w:shd w:val="clear" w:color="auto" w:fill="FFFFFF"/>
        </w:rPr>
      </w:pPr>
      <w:r w:rsidRPr="00EF66DB">
        <w:rPr>
          <w:rFonts w:asciiTheme="minorHAnsi" w:hAnsiTheme="minorHAnsi" w:cstheme="minorHAnsi"/>
          <w:color w:val="000000" w:themeColor="text1"/>
          <w:sz w:val="22"/>
          <w:szCs w:val="22"/>
          <w:shd w:val="clear" w:color="auto" w:fill="FFFFFF"/>
        </w:rPr>
        <w:t xml:space="preserve">Title: </w:t>
      </w:r>
      <w:r w:rsidR="006B4F0F" w:rsidRPr="00EF66DB">
        <w:rPr>
          <w:rFonts w:asciiTheme="minorHAnsi" w:hAnsiTheme="minorHAnsi" w:cstheme="minorHAnsi"/>
          <w:color w:val="000000" w:themeColor="text1"/>
          <w:sz w:val="22"/>
          <w:szCs w:val="22"/>
          <w:shd w:val="clear" w:color="auto" w:fill="FFFFFF"/>
        </w:rPr>
        <w:t xml:space="preserve">File </w:t>
      </w:r>
      <w:r w:rsidR="00EF66DB">
        <w:rPr>
          <w:rFonts w:asciiTheme="minorHAnsi" w:hAnsiTheme="minorHAnsi" w:cstheme="minorHAnsi"/>
          <w:color w:val="000000" w:themeColor="text1"/>
          <w:sz w:val="22"/>
          <w:szCs w:val="22"/>
          <w:shd w:val="clear" w:color="auto" w:fill="FFFFFF"/>
        </w:rPr>
        <w:t>4</w:t>
      </w:r>
      <w:r w:rsidRPr="00EF66DB">
        <w:rPr>
          <w:rFonts w:asciiTheme="minorHAnsi" w:hAnsiTheme="minorHAnsi" w:cstheme="minorHAnsi"/>
          <w:color w:val="000000" w:themeColor="text1"/>
          <w:sz w:val="22"/>
          <w:szCs w:val="22"/>
          <w:shd w:val="clear" w:color="auto" w:fill="FFFFFF"/>
        </w:rPr>
        <w:t xml:space="preserve">. </w:t>
      </w:r>
      <w:r w:rsidR="00EF66DB">
        <w:rPr>
          <w:rFonts w:asciiTheme="minorHAnsi" w:hAnsiTheme="minorHAnsi" w:cstheme="minorHAnsi"/>
          <w:color w:val="000000" w:themeColor="text1"/>
          <w:sz w:val="22"/>
          <w:szCs w:val="22"/>
          <w:shd w:val="clear" w:color="auto" w:fill="FFFFFF"/>
        </w:rPr>
        <w:t>Systematic review methodology</w:t>
      </w:r>
    </w:p>
    <w:p w14:paraId="621FE7D2" w14:textId="77777777" w:rsidR="00193E9D" w:rsidRPr="00EF66DB" w:rsidRDefault="00193E9D" w:rsidP="00193E9D">
      <w:pPr>
        <w:spacing w:after="0"/>
        <w:rPr>
          <w:rFonts w:asciiTheme="minorHAnsi" w:eastAsia="Calibri" w:hAnsiTheme="minorHAnsi" w:cstheme="minorHAnsi"/>
          <w:sz w:val="22"/>
          <w:szCs w:val="22"/>
        </w:rPr>
      </w:pPr>
    </w:p>
    <w:p w14:paraId="7D0D46CA" w14:textId="77777777" w:rsidR="00193E9D" w:rsidRPr="00EF66DB" w:rsidRDefault="00193E9D" w:rsidP="00193E9D">
      <w:pPr>
        <w:spacing w:after="0"/>
        <w:rPr>
          <w:rFonts w:asciiTheme="minorHAnsi" w:eastAsia="Calibri" w:hAnsiTheme="minorHAnsi" w:cstheme="minorHAnsi"/>
          <w:sz w:val="22"/>
          <w:szCs w:val="22"/>
        </w:rPr>
      </w:pPr>
      <w:r w:rsidRPr="00EF66DB">
        <w:rPr>
          <w:rFonts w:asciiTheme="minorHAnsi" w:hAnsiTheme="minorHAnsi" w:cstheme="minorHAnsi"/>
        </w:rPr>
        <w:br w:type="page"/>
      </w:r>
    </w:p>
    <w:p w14:paraId="0161BBFB" w14:textId="28BED4E1" w:rsidR="00193E9D" w:rsidRPr="00EF66DB" w:rsidRDefault="006B4F0F" w:rsidP="00193E9D">
      <w:pPr>
        <w:pBdr>
          <w:top w:val="nil"/>
          <w:left w:val="nil"/>
          <w:bottom w:val="nil"/>
          <w:right w:val="nil"/>
          <w:between w:val="nil"/>
        </w:pBdr>
        <w:spacing w:after="0"/>
        <w:rPr>
          <w:rFonts w:asciiTheme="minorHAnsi" w:eastAsia="Calibri" w:hAnsiTheme="minorHAnsi" w:cstheme="minorHAnsi"/>
          <w:sz w:val="22"/>
          <w:szCs w:val="22"/>
        </w:rPr>
      </w:pPr>
      <w:r w:rsidRPr="00EF66DB">
        <w:rPr>
          <w:rFonts w:asciiTheme="minorHAnsi" w:eastAsia="Calibri" w:hAnsiTheme="minorHAnsi" w:cstheme="minorHAnsi"/>
          <w:sz w:val="22"/>
          <w:szCs w:val="22"/>
        </w:rPr>
        <w:lastRenderedPageBreak/>
        <w:t>File 1</w:t>
      </w:r>
      <w:r w:rsidR="00193E9D" w:rsidRPr="00EF66DB">
        <w:rPr>
          <w:rFonts w:asciiTheme="minorHAnsi" w:eastAsia="Calibri" w:hAnsiTheme="minorHAnsi" w:cstheme="minorHAnsi"/>
          <w:sz w:val="22"/>
          <w:szCs w:val="22"/>
        </w:rPr>
        <w:t>. OBLS expert panel members and disclosures.</w:t>
      </w:r>
    </w:p>
    <w:tbl>
      <w:tblPr>
        <w:tblStyle w:val="1"/>
        <w:tblW w:w="9945" w:type="dxa"/>
        <w:tblInd w:w="-290" w:type="dxa"/>
        <w:tblBorders>
          <w:top w:val="nil"/>
          <w:left w:val="nil"/>
          <w:bottom w:val="nil"/>
          <w:right w:val="nil"/>
          <w:insideH w:val="nil"/>
          <w:insideV w:val="nil"/>
        </w:tblBorders>
        <w:tblLayout w:type="fixed"/>
        <w:tblLook w:val="0600" w:firstRow="0" w:lastRow="0" w:firstColumn="0" w:lastColumn="0" w:noHBand="1" w:noVBand="1"/>
      </w:tblPr>
      <w:tblGrid>
        <w:gridCol w:w="1515"/>
        <w:gridCol w:w="1737"/>
        <w:gridCol w:w="948"/>
        <w:gridCol w:w="900"/>
        <w:gridCol w:w="855"/>
        <w:gridCol w:w="945"/>
        <w:gridCol w:w="990"/>
        <w:gridCol w:w="990"/>
        <w:gridCol w:w="1065"/>
      </w:tblGrid>
      <w:tr w:rsidR="00193E9D" w:rsidRPr="00EF66DB" w14:paraId="36DB7F46" w14:textId="77777777" w:rsidTr="00E07AC1">
        <w:trPr>
          <w:trHeight w:val="300"/>
        </w:trPr>
        <w:tc>
          <w:tcPr>
            <w:tcW w:w="9945" w:type="dxa"/>
            <w:gridSpan w:val="9"/>
            <w:tcBorders>
              <w:top w:val="single" w:sz="6" w:space="0" w:color="CCCCCC"/>
              <w:left w:val="single" w:sz="6" w:space="0" w:color="CCCCCC"/>
              <w:bottom w:val="single" w:sz="6" w:space="0" w:color="000000"/>
              <w:right w:val="single" w:sz="6" w:space="0" w:color="CCCCCC"/>
            </w:tcBorders>
            <w:shd w:val="clear" w:color="auto" w:fill="FFFFFF"/>
            <w:tcMar>
              <w:top w:w="40" w:type="dxa"/>
              <w:left w:w="40" w:type="dxa"/>
              <w:bottom w:w="40" w:type="dxa"/>
              <w:right w:w="40" w:type="dxa"/>
            </w:tcMar>
            <w:vAlign w:val="bottom"/>
          </w:tcPr>
          <w:p w14:paraId="1D7544C2"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Disclosures</w:t>
            </w:r>
          </w:p>
        </w:tc>
      </w:tr>
      <w:tr w:rsidR="00193E9D" w:rsidRPr="00EF66DB" w14:paraId="3202293A" w14:textId="77777777" w:rsidTr="00E07AC1">
        <w:trPr>
          <w:trHeight w:val="540"/>
        </w:trPr>
        <w:tc>
          <w:tcPr>
            <w:tcW w:w="1515" w:type="dxa"/>
            <w:tcBorders>
              <w:top w:val="single" w:sz="6" w:space="0" w:color="CCCCCC"/>
              <w:left w:val="single" w:sz="6" w:space="0" w:color="CCCCCC"/>
              <w:bottom w:val="single" w:sz="6" w:space="0" w:color="000000"/>
              <w:right w:val="single" w:sz="6" w:space="0" w:color="CCCCCC"/>
            </w:tcBorders>
            <w:shd w:val="clear" w:color="auto" w:fill="FFFFFF"/>
            <w:tcMar>
              <w:top w:w="40" w:type="dxa"/>
              <w:left w:w="40" w:type="dxa"/>
              <w:bottom w:w="40" w:type="dxa"/>
              <w:right w:w="40" w:type="dxa"/>
            </w:tcMar>
            <w:vAlign w:val="bottom"/>
          </w:tcPr>
          <w:p w14:paraId="1DAE79A2"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Expert Panel Member</w:t>
            </w:r>
          </w:p>
        </w:tc>
        <w:tc>
          <w:tcPr>
            <w:tcW w:w="1737" w:type="dxa"/>
            <w:tcBorders>
              <w:top w:val="single" w:sz="6" w:space="0" w:color="CCCCCC"/>
              <w:left w:val="single" w:sz="6" w:space="0" w:color="CCCCCC"/>
              <w:bottom w:val="single" w:sz="6" w:space="0" w:color="000000"/>
              <w:right w:val="single" w:sz="6" w:space="0" w:color="CCCCCC"/>
            </w:tcBorders>
            <w:shd w:val="clear" w:color="auto" w:fill="FFFFFF"/>
            <w:tcMar>
              <w:top w:w="40" w:type="dxa"/>
              <w:left w:w="40" w:type="dxa"/>
              <w:bottom w:w="40" w:type="dxa"/>
              <w:right w:w="40" w:type="dxa"/>
            </w:tcMar>
            <w:vAlign w:val="bottom"/>
          </w:tcPr>
          <w:p w14:paraId="497D0BE0"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Employment</w:t>
            </w:r>
          </w:p>
        </w:tc>
        <w:tc>
          <w:tcPr>
            <w:tcW w:w="948" w:type="dxa"/>
            <w:tcBorders>
              <w:top w:val="single" w:sz="6" w:space="0" w:color="CCCCCC"/>
              <w:left w:val="single" w:sz="6" w:space="0" w:color="CCCCCC"/>
              <w:bottom w:val="single" w:sz="6" w:space="0" w:color="000000"/>
              <w:right w:val="single" w:sz="6" w:space="0" w:color="CCCCCC"/>
            </w:tcBorders>
            <w:shd w:val="clear" w:color="auto" w:fill="FFFFFF"/>
            <w:tcMar>
              <w:top w:w="40" w:type="dxa"/>
              <w:left w:w="40" w:type="dxa"/>
              <w:bottom w:w="40" w:type="dxa"/>
              <w:right w:w="40" w:type="dxa"/>
            </w:tcMar>
            <w:vAlign w:val="bottom"/>
          </w:tcPr>
          <w:p w14:paraId="5D3D69EA"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Research Grant</w:t>
            </w:r>
          </w:p>
        </w:tc>
        <w:tc>
          <w:tcPr>
            <w:tcW w:w="900" w:type="dxa"/>
            <w:tcBorders>
              <w:top w:val="single" w:sz="6" w:space="0" w:color="CCCCCC"/>
              <w:left w:val="single" w:sz="6" w:space="0" w:color="CCCCCC"/>
              <w:bottom w:val="single" w:sz="6" w:space="0" w:color="000000"/>
              <w:right w:val="single" w:sz="6" w:space="0" w:color="CCCCCC"/>
            </w:tcBorders>
            <w:shd w:val="clear" w:color="auto" w:fill="FFFFFF"/>
            <w:tcMar>
              <w:top w:w="40" w:type="dxa"/>
              <w:left w:w="40" w:type="dxa"/>
              <w:bottom w:w="40" w:type="dxa"/>
              <w:right w:w="40" w:type="dxa"/>
            </w:tcMar>
            <w:vAlign w:val="bottom"/>
          </w:tcPr>
          <w:p w14:paraId="1815122C"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Other Research Support</w:t>
            </w:r>
          </w:p>
        </w:tc>
        <w:tc>
          <w:tcPr>
            <w:tcW w:w="855" w:type="dxa"/>
            <w:tcBorders>
              <w:top w:val="single" w:sz="6" w:space="0" w:color="CCCCCC"/>
              <w:left w:val="single" w:sz="6" w:space="0" w:color="CCCCCC"/>
              <w:bottom w:val="single" w:sz="6" w:space="0" w:color="000000"/>
              <w:right w:val="single" w:sz="6" w:space="0" w:color="CCCCCC"/>
            </w:tcBorders>
            <w:shd w:val="clear" w:color="auto" w:fill="FFFFFF"/>
            <w:tcMar>
              <w:top w:w="40" w:type="dxa"/>
              <w:left w:w="40" w:type="dxa"/>
              <w:bottom w:w="40" w:type="dxa"/>
              <w:right w:w="40" w:type="dxa"/>
            </w:tcMar>
            <w:vAlign w:val="bottom"/>
          </w:tcPr>
          <w:p w14:paraId="7B66E57E"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Speaker's Bureau</w:t>
            </w:r>
          </w:p>
        </w:tc>
        <w:tc>
          <w:tcPr>
            <w:tcW w:w="945" w:type="dxa"/>
            <w:tcBorders>
              <w:top w:val="single" w:sz="6" w:space="0" w:color="CCCCCC"/>
              <w:left w:val="single" w:sz="6" w:space="0" w:color="CCCCCC"/>
              <w:bottom w:val="single" w:sz="6" w:space="0" w:color="000000"/>
              <w:right w:val="single" w:sz="6" w:space="0" w:color="CCCCCC"/>
            </w:tcBorders>
            <w:shd w:val="clear" w:color="auto" w:fill="FFFFFF"/>
            <w:tcMar>
              <w:top w:w="40" w:type="dxa"/>
              <w:left w:w="40" w:type="dxa"/>
              <w:bottom w:w="40" w:type="dxa"/>
              <w:right w:w="40" w:type="dxa"/>
            </w:tcMar>
            <w:vAlign w:val="bottom"/>
          </w:tcPr>
          <w:p w14:paraId="357F05DD"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Expert Witness</w:t>
            </w:r>
          </w:p>
        </w:tc>
        <w:tc>
          <w:tcPr>
            <w:tcW w:w="990" w:type="dxa"/>
            <w:tcBorders>
              <w:top w:val="single" w:sz="6" w:space="0" w:color="CCCCCC"/>
              <w:left w:val="single" w:sz="6" w:space="0" w:color="CCCCCC"/>
              <w:bottom w:val="single" w:sz="6" w:space="0" w:color="000000"/>
              <w:right w:val="single" w:sz="6" w:space="0" w:color="CCCCCC"/>
            </w:tcBorders>
            <w:shd w:val="clear" w:color="auto" w:fill="FFFFFF"/>
            <w:tcMar>
              <w:top w:w="40" w:type="dxa"/>
              <w:left w:w="40" w:type="dxa"/>
              <w:bottom w:w="40" w:type="dxa"/>
              <w:right w:w="40" w:type="dxa"/>
            </w:tcMar>
            <w:vAlign w:val="bottom"/>
          </w:tcPr>
          <w:p w14:paraId="6510C91F"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Ownership Interests</w:t>
            </w:r>
          </w:p>
        </w:tc>
        <w:tc>
          <w:tcPr>
            <w:tcW w:w="990" w:type="dxa"/>
            <w:tcBorders>
              <w:top w:val="single" w:sz="6" w:space="0" w:color="CCCCCC"/>
              <w:left w:val="single" w:sz="6" w:space="0" w:color="CCCCCC"/>
              <w:bottom w:val="single" w:sz="6" w:space="0" w:color="000000"/>
              <w:right w:val="single" w:sz="6" w:space="0" w:color="CCCCCC"/>
            </w:tcBorders>
            <w:shd w:val="clear" w:color="auto" w:fill="FFFFFF"/>
            <w:tcMar>
              <w:top w:w="40" w:type="dxa"/>
              <w:left w:w="40" w:type="dxa"/>
              <w:bottom w:w="40" w:type="dxa"/>
              <w:right w:w="40" w:type="dxa"/>
            </w:tcMar>
            <w:vAlign w:val="bottom"/>
          </w:tcPr>
          <w:p w14:paraId="5000A24C"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Consultant/ Advisory Board</w:t>
            </w:r>
          </w:p>
        </w:tc>
        <w:tc>
          <w:tcPr>
            <w:tcW w:w="1065" w:type="dxa"/>
            <w:tcBorders>
              <w:top w:val="single" w:sz="6" w:space="0" w:color="CCCCCC"/>
              <w:left w:val="single" w:sz="6" w:space="0" w:color="CCCCCC"/>
              <w:bottom w:val="single" w:sz="6" w:space="0" w:color="000000"/>
              <w:right w:val="single" w:sz="6" w:space="0" w:color="CCCCCC"/>
            </w:tcBorders>
            <w:shd w:val="clear" w:color="auto" w:fill="FFFFFF"/>
            <w:tcMar>
              <w:top w:w="40" w:type="dxa"/>
              <w:left w:w="40" w:type="dxa"/>
              <w:bottom w:w="40" w:type="dxa"/>
              <w:right w:w="40" w:type="dxa"/>
            </w:tcMar>
            <w:vAlign w:val="bottom"/>
          </w:tcPr>
          <w:p w14:paraId="435F1700"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Other</w:t>
            </w:r>
          </w:p>
        </w:tc>
      </w:tr>
      <w:tr w:rsidR="00193E9D" w:rsidRPr="00EF66DB" w14:paraId="4414A685" w14:textId="77777777" w:rsidTr="00E07AC1">
        <w:trPr>
          <w:trHeight w:val="1780"/>
        </w:trPr>
        <w:tc>
          <w:tcPr>
            <w:tcW w:w="151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7F461D3"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r w:rsidRPr="00EF66DB">
              <w:rPr>
                <w:rFonts w:asciiTheme="minorHAnsi" w:eastAsia="Calibri" w:hAnsiTheme="minorHAnsi" w:cstheme="minorHAnsi"/>
                <w:sz w:val="20"/>
                <w:szCs w:val="20"/>
              </w:rPr>
              <w:t xml:space="preserve">Benjamin </w:t>
            </w:r>
            <w:proofErr w:type="spellStart"/>
            <w:r w:rsidRPr="00EF66DB">
              <w:rPr>
                <w:rFonts w:asciiTheme="minorHAnsi" w:eastAsia="Calibri" w:hAnsiTheme="minorHAnsi" w:cstheme="minorHAnsi"/>
                <w:sz w:val="20"/>
                <w:szCs w:val="20"/>
              </w:rPr>
              <w:t>Abella</w:t>
            </w:r>
            <w:proofErr w:type="spellEnd"/>
          </w:p>
        </w:tc>
        <w:tc>
          <w:tcPr>
            <w:tcW w:w="173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559A7A2"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Resuscitation Science at the University of Pennsylvania</w:t>
            </w:r>
          </w:p>
        </w:tc>
        <w:tc>
          <w:tcPr>
            <w:tcW w:w="94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B80AC5F"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Med-</w:t>
            </w:r>
            <w:r w:rsidRPr="00EF66DB">
              <w:rPr>
                <w:rFonts w:asciiTheme="minorHAnsi" w:eastAsia="Calibri" w:hAnsiTheme="minorHAnsi" w:cstheme="minorHAnsi"/>
                <w:sz w:val="20"/>
                <w:szCs w:val="20"/>
              </w:rPr>
              <w:br/>
            </w:r>
            <w:proofErr w:type="spellStart"/>
            <w:r w:rsidRPr="00EF66DB">
              <w:rPr>
                <w:rFonts w:asciiTheme="minorHAnsi" w:eastAsia="Calibri" w:hAnsiTheme="minorHAnsi" w:cstheme="minorHAnsi"/>
                <w:sz w:val="20"/>
                <w:szCs w:val="20"/>
              </w:rPr>
              <w:t>tronic</w:t>
            </w:r>
            <w:proofErr w:type="spellEnd"/>
            <w:r w:rsidRPr="00EF66DB">
              <w:rPr>
                <w:rFonts w:asciiTheme="minorHAnsi" w:eastAsia="Calibri" w:hAnsiTheme="minorHAnsi" w:cstheme="minorHAnsi"/>
                <w:sz w:val="20"/>
                <w:szCs w:val="20"/>
              </w:rPr>
              <w:t xml:space="preserve"> Found-</w:t>
            </w:r>
            <w:r w:rsidRPr="00EF66DB">
              <w:rPr>
                <w:rFonts w:asciiTheme="minorHAnsi" w:eastAsia="Calibri" w:hAnsiTheme="minorHAnsi" w:cstheme="minorHAnsi"/>
                <w:sz w:val="20"/>
                <w:szCs w:val="20"/>
              </w:rPr>
              <w:br/>
            </w:r>
            <w:proofErr w:type="spellStart"/>
            <w:r w:rsidRPr="00EF66DB">
              <w:rPr>
                <w:rFonts w:asciiTheme="minorHAnsi" w:eastAsia="Calibri" w:hAnsiTheme="minorHAnsi" w:cstheme="minorHAnsi"/>
                <w:sz w:val="20"/>
                <w:szCs w:val="20"/>
              </w:rPr>
              <w:t>ation</w:t>
            </w:r>
            <w:proofErr w:type="spellEnd"/>
            <w:r w:rsidRPr="00EF66DB">
              <w:rPr>
                <w:rFonts w:asciiTheme="minorHAnsi" w:eastAsia="Calibri" w:hAnsiTheme="minorHAnsi" w:cstheme="minorHAnsi"/>
                <w:sz w:val="20"/>
                <w:szCs w:val="20"/>
              </w:rPr>
              <w:t>, Physio-</w:t>
            </w:r>
            <w:r w:rsidRPr="00EF66DB">
              <w:rPr>
                <w:rFonts w:asciiTheme="minorHAnsi" w:eastAsia="Calibri" w:hAnsiTheme="minorHAnsi" w:cstheme="minorHAnsi"/>
                <w:sz w:val="20"/>
                <w:szCs w:val="20"/>
              </w:rPr>
              <w:br/>
              <w:t>Control Inc., PCORI, American Heart Assoc-</w:t>
            </w:r>
            <w:r w:rsidRPr="00EF66DB">
              <w:rPr>
                <w:rFonts w:asciiTheme="minorHAnsi" w:eastAsia="Calibri" w:hAnsiTheme="minorHAnsi" w:cstheme="minorHAnsi"/>
                <w:sz w:val="20"/>
                <w:szCs w:val="20"/>
              </w:rPr>
              <w:br/>
            </w:r>
            <w:proofErr w:type="spellStart"/>
            <w:r w:rsidRPr="00EF66DB">
              <w:rPr>
                <w:rFonts w:asciiTheme="minorHAnsi" w:eastAsia="Calibri" w:hAnsiTheme="minorHAnsi" w:cstheme="minorHAnsi"/>
                <w:sz w:val="20"/>
                <w:szCs w:val="20"/>
              </w:rPr>
              <w:t>iation</w:t>
            </w:r>
            <w:proofErr w:type="spellEnd"/>
            <w:r w:rsidRPr="00EF66DB">
              <w:rPr>
                <w:rFonts w:asciiTheme="minorHAnsi" w:eastAsia="Calibri" w:hAnsiTheme="minorHAnsi" w:cstheme="minorHAnsi"/>
                <w:sz w:val="20"/>
                <w:szCs w:val="20"/>
              </w:rPr>
              <w:t>, NIH NHLBI</w:t>
            </w:r>
          </w:p>
        </w:tc>
        <w:tc>
          <w:tcPr>
            <w:tcW w:w="90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2618D09"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85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36C418C"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CR Bard, Physio-</w:t>
            </w:r>
            <w:r w:rsidRPr="00EF66DB">
              <w:rPr>
                <w:rFonts w:asciiTheme="minorHAnsi" w:eastAsia="Calibri" w:hAnsiTheme="minorHAnsi" w:cstheme="minorHAnsi"/>
                <w:sz w:val="20"/>
                <w:szCs w:val="20"/>
              </w:rPr>
              <w:br/>
              <w:t>Control Inc.</w:t>
            </w:r>
          </w:p>
        </w:tc>
        <w:tc>
          <w:tcPr>
            <w:tcW w:w="9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B1B894E"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A6F400B"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8F89D24"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Neuro-</w:t>
            </w:r>
            <w:r w:rsidRPr="00EF66DB">
              <w:rPr>
                <w:rFonts w:asciiTheme="minorHAnsi" w:eastAsia="Calibri" w:hAnsiTheme="minorHAnsi" w:cstheme="minorHAnsi"/>
                <w:sz w:val="20"/>
                <w:szCs w:val="20"/>
              </w:rPr>
              <w:br/>
            </w:r>
            <w:proofErr w:type="spellStart"/>
            <w:r w:rsidRPr="00EF66DB">
              <w:rPr>
                <w:rFonts w:asciiTheme="minorHAnsi" w:eastAsia="Calibri" w:hAnsiTheme="minorHAnsi" w:cstheme="minorHAnsi"/>
                <w:sz w:val="20"/>
                <w:szCs w:val="20"/>
              </w:rPr>
              <w:t>prote</w:t>
            </w:r>
            <w:proofErr w:type="spellEnd"/>
            <w:r w:rsidRPr="00EF66DB">
              <w:rPr>
                <w:rFonts w:asciiTheme="minorHAnsi" w:eastAsia="Calibri" w:hAnsiTheme="minorHAnsi" w:cstheme="minorHAnsi"/>
                <w:sz w:val="20"/>
                <w:szCs w:val="20"/>
              </w:rPr>
              <w:br/>
              <w:t>Xeon, Inc</w:t>
            </w:r>
          </w:p>
        </w:tc>
        <w:tc>
          <w:tcPr>
            <w:tcW w:w="106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4B1624B"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r>
      <w:tr w:rsidR="00193E9D" w:rsidRPr="00EF66DB" w14:paraId="65942114" w14:textId="77777777" w:rsidTr="00E07AC1">
        <w:trPr>
          <w:trHeight w:val="800"/>
        </w:trPr>
        <w:tc>
          <w:tcPr>
            <w:tcW w:w="151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7451CE6"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r w:rsidRPr="00EF66DB">
              <w:rPr>
                <w:rFonts w:asciiTheme="minorHAnsi" w:eastAsia="Calibri" w:hAnsiTheme="minorHAnsi" w:cstheme="minorHAnsi"/>
                <w:sz w:val="20"/>
                <w:szCs w:val="20"/>
              </w:rPr>
              <w:t xml:space="preserve">Elumalai </w:t>
            </w:r>
            <w:proofErr w:type="spellStart"/>
            <w:r w:rsidRPr="00EF66DB">
              <w:rPr>
                <w:rFonts w:asciiTheme="minorHAnsi" w:eastAsia="Calibri" w:hAnsiTheme="minorHAnsi" w:cstheme="minorHAnsi"/>
                <w:sz w:val="20"/>
                <w:szCs w:val="20"/>
              </w:rPr>
              <w:t>Appachi</w:t>
            </w:r>
            <w:proofErr w:type="spellEnd"/>
          </w:p>
        </w:tc>
        <w:tc>
          <w:tcPr>
            <w:tcW w:w="173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1728290"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Baylor College of Medicine, Children’s Hospital of San Antonio</w:t>
            </w:r>
          </w:p>
        </w:tc>
        <w:tc>
          <w:tcPr>
            <w:tcW w:w="94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107B472"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0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FA21CA2"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85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9313491"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FBA691E"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D5F7C34"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32CA006"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106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203C473"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r>
      <w:tr w:rsidR="00193E9D" w:rsidRPr="00EF66DB" w14:paraId="1B1A9F2D" w14:textId="77777777" w:rsidTr="00E07AC1">
        <w:trPr>
          <w:trHeight w:val="300"/>
        </w:trPr>
        <w:tc>
          <w:tcPr>
            <w:tcW w:w="151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EC5EA09"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r w:rsidRPr="00EF66DB">
              <w:rPr>
                <w:rFonts w:asciiTheme="minorHAnsi" w:eastAsia="Calibri" w:hAnsiTheme="minorHAnsi" w:cstheme="minorHAnsi"/>
                <w:sz w:val="20"/>
                <w:szCs w:val="20"/>
              </w:rPr>
              <w:t xml:space="preserve">Julie </w:t>
            </w:r>
            <w:proofErr w:type="spellStart"/>
            <w:r w:rsidRPr="00EF66DB">
              <w:rPr>
                <w:rFonts w:asciiTheme="minorHAnsi" w:eastAsia="Calibri" w:hAnsiTheme="minorHAnsi" w:cstheme="minorHAnsi"/>
                <w:sz w:val="20"/>
                <w:szCs w:val="20"/>
              </w:rPr>
              <w:t>Arafeh</w:t>
            </w:r>
            <w:proofErr w:type="spellEnd"/>
          </w:p>
        </w:tc>
        <w:tc>
          <w:tcPr>
            <w:tcW w:w="173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9B05016"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Stanford University</w:t>
            </w:r>
          </w:p>
        </w:tc>
        <w:tc>
          <w:tcPr>
            <w:tcW w:w="94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BFD165C"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0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74FB45E"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85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7C75808"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5891B9A"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7F49D9D"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E4F727F"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106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8E8192D"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r>
      <w:tr w:rsidR="00193E9D" w:rsidRPr="00EF66DB" w14:paraId="4EF6DF60" w14:textId="77777777" w:rsidTr="00E07AC1">
        <w:trPr>
          <w:trHeight w:val="300"/>
        </w:trPr>
        <w:tc>
          <w:tcPr>
            <w:tcW w:w="151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759544B"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r w:rsidRPr="00EF66DB">
              <w:rPr>
                <w:rFonts w:asciiTheme="minorHAnsi" w:eastAsia="Calibri" w:hAnsiTheme="minorHAnsi" w:cstheme="minorHAnsi"/>
                <w:sz w:val="20"/>
                <w:szCs w:val="20"/>
              </w:rPr>
              <w:t>Les R. Becker</w:t>
            </w:r>
          </w:p>
        </w:tc>
        <w:tc>
          <w:tcPr>
            <w:tcW w:w="173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9039E01"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MedStar Health</w:t>
            </w:r>
          </w:p>
        </w:tc>
        <w:tc>
          <w:tcPr>
            <w:tcW w:w="94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AD1879F"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0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34CB0E2"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85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02AAAF1"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FEC950D"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21EE1B9"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5C6536B"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106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47B0837"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r>
      <w:tr w:rsidR="00193E9D" w:rsidRPr="00EF66DB" w14:paraId="7A69881F" w14:textId="77777777" w:rsidTr="00E07AC1">
        <w:trPr>
          <w:trHeight w:val="300"/>
        </w:trPr>
        <w:tc>
          <w:tcPr>
            <w:tcW w:w="151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FE444F5"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r w:rsidRPr="00EF66DB">
              <w:rPr>
                <w:rFonts w:asciiTheme="minorHAnsi" w:eastAsia="Calibri" w:hAnsiTheme="minorHAnsi" w:cstheme="minorHAnsi"/>
                <w:sz w:val="20"/>
                <w:szCs w:val="20"/>
              </w:rPr>
              <w:t>Shad Deering</w:t>
            </w:r>
          </w:p>
        </w:tc>
        <w:tc>
          <w:tcPr>
            <w:tcW w:w="173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336581A"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Children’s Hospital of San Antonio</w:t>
            </w:r>
          </w:p>
        </w:tc>
        <w:tc>
          <w:tcPr>
            <w:tcW w:w="94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6DEA2E7"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0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61C605E"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85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A9D815"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3D3609E"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F2E4FB5"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EB4C971"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106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8A0C319"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r>
      <w:tr w:rsidR="00193E9D" w:rsidRPr="00EF66DB" w14:paraId="60B1B99E" w14:textId="77777777" w:rsidTr="00E07AC1">
        <w:trPr>
          <w:trHeight w:val="300"/>
        </w:trPr>
        <w:tc>
          <w:tcPr>
            <w:tcW w:w="151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D97F8A2"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r w:rsidRPr="00EF66DB">
              <w:rPr>
                <w:rFonts w:asciiTheme="minorHAnsi" w:eastAsia="Calibri" w:hAnsiTheme="minorHAnsi" w:cstheme="minorHAnsi"/>
                <w:sz w:val="20"/>
                <w:szCs w:val="20"/>
              </w:rPr>
              <w:t xml:space="preserve">Mary Ann </w:t>
            </w:r>
            <w:proofErr w:type="spellStart"/>
            <w:r w:rsidRPr="00EF66DB">
              <w:rPr>
                <w:rFonts w:asciiTheme="minorHAnsi" w:eastAsia="Calibri" w:hAnsiTheme="minorHAnsi" w:cstheme="minorHAnsi"/>
                <w:sz w:val="20"/>
                <w:szCs w:val="20"/>
              </w:rPr>
              <w:t>Faucher</w:t>
            </w:r>
            <w:proofErr w:type="spellEnd"/>
          </w:p>
        </w:tc>
        <w:tc>
          <w:tcPr>
            <w:tcW w:w="173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A2A43EF"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Baylor University</w:t>
            </w:r>
          </w:p>
        </w:tc>
        <w:tc>
          <w:tcPr>
            <w:tcW w:w="94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27CDC94"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0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B26C872"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85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9E49D78"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279FF8D"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D4DA0E9"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622D893"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106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1DB2F48"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r>
      <w:tr w:rsidR="00193E9D" w:rsidRPr="00EF66DB" w14:paraId="02A891A5" w14:textId="77777777" w:rsidTr="00E07AC1">
        <w:trPr>
          <w:trHeight w:val="300"/>
        </w:trPr>
        <w:tc>
          <w:tcPr>
            <w:tcW w:w="151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D2AC1C9"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proofErr w:type="spellStart"/>
            <w:r w:rsidRPr="00EF66DB">
              <w:rPr>
                <w:rFonts w:asciiTheme="minorHAnsi" w:eastAsia="Calibri" w:hAnsiTheme="minorHAnsi" w:cstheme="minorHAnsi"/>
                <w:sz w:val="20"/>
                <w:szCs w:val="20"/>
              </w:rPr>
              <w:t>Afshan</w:t>
            </w:r>
            <w:proofErr w:type="spellEnd"/>
            <w:r w:rsidRPr="00EF66DB">
              <w:rPr>
                <w:rFonts w:asciiTheme="minorHAnsi" w:eastAsia="Calibri" w:hAnsiTheme="minorHAnsi" w:cstheme="minorHAnsi"/>
                <w:sz w:val="20"/>
                <w:szCs w:val="20"/>
              </w:rPr>
              <w:t xml:space="preserve"> Hameed</w:t>
            </w:r>
          </w:p>
        </w:tc>
        <w:tc>
          <w:tcPr>
            <w:tcW w:w="173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C58F844"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University of California Irvine</w:t>
            </w:r>
          </w:p>
        </w:tc>
        <w:tc>
          <w:tcPr>
            <w:tcW w:w="94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C38FDAD"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0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168BFCC"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85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A92C8CD"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C2E5C8E"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9A185A2"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4906DB9"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106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3CE0BD4"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r>
      <w:tr w:rsidR="00193E9D" w:rsidRPr="00EF66DB" w14:paraId="56C59E0D" w14:textId="77777777" w:rsidTr="00E07AC1">
        <w:trPr>
          <w:trHeight w:val="300"/>
        </w:trPr>
        <w:tc>
          <w:tcPr>
            <w:tcW w:w="151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7E82150"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r w:rsidRPr="00EF66DB">
              <w:rPr>
                <w:rFonts w:asciiTheme="minorHAnsi" w:eastAsia="Calibri" w:hAnsiTheme="minorHAnsi" w:cstheme="minorHAnsi"/>
                <w:sz w:val="20"/>
                <w:szCs w:val="20"/>
              </w:rPr>
              <w:t>Heidi King</w:t>
            </w:r>
          </w:p>
        </w:tc>
        <w:tc>
          <w:tcPr>
            <w:tcW w:w="173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F52C0A6"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Defense Health Agency</w:t>
            </w:r>
          </w:p>
        </w:tc>
        <w:tc>
          <w:tcPr>
            <w:tcW w:w="94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4B56ED4"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0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F69A2A5"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85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2914F70"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BA137B5"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2E2E130"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4E5BE64"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106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CC5AE89"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r>
      <w:tr w:rsidR="00193E9D" w:rsidRPr="00EF66DB" w14:paraId="018CE105" w14:textId="77777777" w:rsidTr="00E07AC1">
        <w:trPr>
          <w:trHeight w:val="300"/>
        </w:trPr>
        <w:tc>
          <w:tcPr>
            <w:tcW w:w="151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64D4238"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r w:rsidRPr="00EF66DB">
              <w:rPr>
                <w:rFonts w:asciiTheme="minorHAnsi" w:eastAsia="Calibri" w:hAnsiTheme="minorHAnsi" w:cstheme="minorHAnsi"/>
                <w:sz w:val="20"/>
                <w:szCs w:val="20"/>
              </w:rPr>
              <w:t>Miranda Klassen</w:t>
            </w:r>
          </w:p>
        </w:tc>
        <w:tc>
          <w:tcPr>
            <w:tcW w:w="173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CF254F5"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Amniotic Fluid Embolism Foundation</w:t>
            </w:r>
          </w:p>
        </w:tc>
        <w:tc>
          <w:tcPr>
            <w:tcW w:w="94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7B20329"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0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33012AA"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85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648C446"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09E73F8"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9D3AFF5"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912330E"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106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A3D6D09"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r>
      <w:tr w:rsidR="00193E9D" w:rsidRPr="00EF66DB" w14:paraId="4E0EE9DF" w14:textId="77777777" w:rsidTr="00E07AC1">
        <w:trPr>
          <w:trHeight w:val="300"/>
        </w:trPr>
        <w:tc>
          <w:tcPr>
            <w:tcW w:w="151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4A11BC4"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r w:rsidRPr="00EF66DB">
              <w:rPr>
                <w:rFonts w:asciiTheme="minorHAnsi" w:eastAsia="Calibri" w:hAnsiTheme="minorHAnsi" w:cstheme="minorHAnsi"/>
                <w:sz w:val="20"/>
                <w:szCs w:val="20"/>
              </w:rPr>
              <w:t>Monica Lutgendorf</w:t>
            </w:r>
          </w:p>
        </w:tc>
        <w:tc>
          <w:tcPr>
            <w:tcW w:w="173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3B2E25C"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U.S. Navy</w:t>
            </w:r>
          </w:p>
        </w:tc>
        <w:tc>
          <w:tcPr>
            <w:tcW w:w="94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0A28C39"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0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6EA29A7"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85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04CE40B"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0D544B2"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0B9648A"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352CFFC"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106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B01C5D2"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r>
      <w:tr w:rsidR="00193E9D" w:rsidRPr="00EF66DB" w14:paraId="3325913C" w14:textId="77777777" w:rsidTr="00E07AC1">
        <w:trPr>
          <w:trHeight w:val="300"/>
        </w:trPr>
        <w:tc>
          <w:tcPr>
            <w:tcW w:w="151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D2EEF06"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r w:rsidRPr="00EF66DB">
              <w:rPr>
                <w:rFonts w:asciiTheme="minorHAnsi" w:eastAsia="Calibri" w:hAnsiTheme="minorHAnsi" w:cstheme="minorHAnsi"/>
                <w:sz w:val="20"/>
                <w:szCs w:val="20"/>
              </w:rPr>
              <w:t>Lissa Magloire</w:t>
            </w:r>
          </w:p>
        </w:tc>
        <w:tc>
          <w:tcPr>
            <w:tcW w:w="173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C9478F1"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Mednax, Texas Perinatal Group</w:t>
            </w:r>
          </w:p>
        </w:tc>
        <w:tc>
          <w:tcPr>
            <w:tcW w:w="94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6F0A57E"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0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909BB00"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85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557BBE0"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1CF6826"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CDB699A"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86EECB9"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106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27C3C64"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r>
      <w:tr w:rsidR="00193E9D" w:rsidRPr="00EF66DB" w14:paraId="74A79F29" w14:textId="77777777" w:rsidTr="00E07AC1">
        <w:trPr>
          <w:trHeight w:val="300"/>
        </w:trPr>
        <w:tc>
          <w:tcPr>
            <w:tcW w:w="151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3417A85"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r w:rsidRPr="00EF66DB">
              <w:rPr>
                <w:rFonts w:asciiTheme="minorHAnsi" w:eastAsia="Calibri" w:hAnsiTheme="minorHAnsi" w:cstheme="minorHAnsi"/>
                <w:sz w:val="20"/>
                <w:szCs w:val="20"/>
              </w:rPr>
              <w:t>Charles Minard</w:t>
            </w:r>
          </w:p>
        </w:tc>
        <w:tc>
          <w:tcPr>
            <w:tcW w:w="173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2062459"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 xml:space="preserve">Baylor College of </w:t>
            </w:r>
            <w:r w:rsidRPr="00EF66DB">
              <w:rPr>
                <w:rFonts w:asciiTheme="minorHAnsi" w:eastAsia="Calibri" w:hAnsiTheme="minorHAnsi" w:cstheme="minorHAnsi"/>
                <w:sz w:val="20"/>
                <w:szCs w:val="20"/>
              </w:rPr>
              <w:lastRenderedPageBreak/>
              <w:t>Medicine</w:t>
            </w:r>
          </w:p>
        </w:tc>
        <w:tc>
          <w:tcPr>
            <w:tcW w:w="94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0AD309E"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lastRenderedPageBreak/>
              <w:t>None</w:t>
            </w:r>
          </w:p>
        </w:tc>
        <w:tc>
          <w:tcPr>
            <w:tcW w:w="90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F2EDF6A"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85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43D99F6"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A48370B"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F745375"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CB2A961"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106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D189F64"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r>
      <w:tr w:rsidR="00193E9D" w:rsidRPr="00EF66DB" w14:paraId="6B128A8F" w14:textId="77777777" w:rsidTr="00E07AC1">
        <w:trPr>
          <w:trHeight w:val="1780"/>
        </w:trPr>
        <w:tc>
          <w:tcPr>
            <w:tcW w:w="151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D91CDF2"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r w:rsidRPr="00EF66DB">
              <w:rPr>
                <w:rFonts w:asciiTheme="minorHAnsi" w:eastAsia="Calibri" w:hAnsiTheme="minorHAnsi" w:cstheme="minorHAnsi"/>
                <w:sz w:val="20"/>
                <w:szCs w:val="20"/>
              </w:rPr>
              <w:t xml:space="preserve">Vincent </w:t>
            </w:r>
            <w:proofErr w:type="spellStart"/>
            <w:r w:rsidRPr="00EF66DB">
              <w:rPr>
                <w:rFonts w:asciiTheme="minorHAnsi" w:eastAsia="Calibri" w:hAnsiTheme="minorHAnsi" w:cstheme="minorHAnsi"/>
                <w:sz w:val="20"/>
                <w:szCs w:val="20"/>
              </w:rPr>
              <w:t>Mosesso</w:t>
            </w:r>
            <w:proofErr w:type="spellEnd"/>
          </w:p>
        </w:tc>
        <w:tc>
          <w:tcPr>
            <w:tcW w:w="173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D96A60A"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UPMC/University of Pittsburgh</w:t>
            </w:r>
          </w:p>
        </w:tc>
        <w:tc>
          <w:tcPr>
            <w:tcW w:w="94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76CA167"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0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D78C91A"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85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DC7DEBD"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7B8A88B"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proofErr w:type="spellStart"/>
            <w:r w:rsidRPr="00EF66DB">
              <w:rPr>
                <w:rFonts w:asciiTheme="minorHAnsi" w:eastAsia="Calibri" w:hAnsiTheme="minorHAnsi" w:cstheme="minorHAnsi"/>
                <w:sz w:val="20"/>
                <w:szCs w:val="20"/>
              </w:rPr>
              <w:t>Occas</w:t>
            </w:r>
            <w:proofErr w:type="spellEnd"/>
            <w:r w:rsidRPr="00EF66DB">
              <w:rPr>
                <w:rFonts w:asciiTheme="minorHAnsi" w:eastAsia="Calibri" w:hAnsiTheme="minorHAnsi" w:cstheme="minorHAnsi"/>
                <w:sz w:val="20"/>
                <w:szCs w:val="20"/>
              </w:rPr>
              <w:t>-</w:t>
            </w:r>
            <w:r w:rsidRPr="00EF66DB">
              <w:rPr>
                <w:rFonts w:asciiTheme="minorHAnsi" w:eastAsia="Calibri" w:hAnsiTheme="minorHAnsi" w:cstheme="minorHAnsi"/>
                <w:sz w:val="20"/>
                <w:szCs w:val="20"/>
              </w:rPr>
              <w:br/>
            </w:r>
            <w:proofErr w:type="spellStart"/>
            <w:r w:rsidRPr="00EF66DB">
              <w:rPr>
                <w:rFonts w:asciiTheme="minorHAnsi" w:eastAsia="Calibri" w:hAnsiTheme="minorHAnsi" w:cstheme="minorHAnsi"/>
                <w:sz w:val="20"/>
                <w:szCs w:val="20"/>
              </w:rPr>
              <w:t>ional</w:t>
            </w:r>
            <w:proofErr w:type="spellEnd"/>
            <w:r w:rsidRPr="00EF66DB">
              <w:rPr>
                <w:rFonts w:asciiTheme="minorHAnsi" w:eastAsia="Calibri" w:hAnsiTheme="minorHAnsi" w:cstheme="minorHAnsi"/>
                <w:sz w:val="20"/>
                <w:szCs w:val="20"/>
              </w:rPr>
              <w:t xml:space="preserve"> cases, none related to this issue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2269299"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CD2B09A"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CARES Over-</w:t>
            </w:r>
            <w:r w:rsidRPr="00EF66DB">
              <w:rPr>
                <w:rFonts w:asciiTheme="minorHAnsi" w:eastAsia="Calibri" w:hAnsiTheme="minorHAnsi" w:cstheme="minorHAnsi"/>
                <w:sz w:val="20"/>
                <w:szCs w:val="20"/>
              </w:rPr>
              <w:br/>
              <w:t>sight Board; Medical Director Sudden Cardiac Arrest Association</w:t>
            </w:r>
          </w:p>
        </w:tc>
        <w:tc>
          <w:tcPr>
            <w:tcW w:w="106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9CDE68C"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Medical Director, Advanced Medical Life Support Program, NAEMT</w:t>
            </w:r>
          </w:p>
        </w:tc>
      </w:tr>
      <w:tr w:rsidR="00193E9D" w:rsidRPr="00EF66DB" w14:paraId="7D1358CB" w14:textId="77777777" w:rsidTr="00E07AC1">
        <w:trPr>
          <w:trHeight w:val="300"/>
        </w:trPr>
        <w:tc>
          <w:tcPr>
            <w:tcW w:w="151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15A79F9"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r w:rsidRPr="00EF66DB">
              <w:rPr>
                <w:rFonts w:asciiTheme="minorHAnsi" w:eastAsia="Calibri" w:hAnsiTheme="minorHAnsi" w:cstheme="minorHAnsi"/>
                <w:sz w:val="20"/>
                <w:szCs w:val="20"/>
              </w:rPr>
              <w:t>Jeffrey Quinlan</w:t>
            </w:r>
          </w:p>
        </w:tc>
        <w:tc>
          <w:tcPr>
            <w:tcW w:w="173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7062032"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United State Navy</w:t>
            </w:r>
          </w:p>
        </w:tc>
        <w:tc>
          <w:tcPr>
            <w:tcW w:w="94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10DF6BB"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0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FBF323C"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85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4F6FA86"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1F5882D"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375E13F"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C4ED886"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106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7D54DB7"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r>
      <w:tr w:rsidR="00193E9D" w:rsidRPr="00EF66DB" w14:paraId="663F1B27" w14:textId="77777777" w:rsidTr="00E07AC1">
        <w:trPr>
          <w:trHeight w:val="1280"/>
        </w:trPr>
        <w:tc>
          <w:tcPr>
            <w:tcW w:w="151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A42527D"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r w:rsidRPr="00EF66DB">
              <w:rPr>
                <w:rFonts w:asciiTheme="minorHAnsi" w:eastAsia="Calibri" w:hAnsiTheme="minorHAnsi" w:cstheme="minorHAnsi"/>
                <w:sz w:val="20"/>
                <w:szCs w:val="20"/>
              </w:rPr>
              <w:t xml:space="preserve">DeWayne </w:t>
            </w:r>
            <w:proofErr w:type="spellStart"/>
            <w:r w:rsidRPr="00EF66DB">
              <w:rPr>
                <w:rFonts w:asciiTheme="minorHAnsi" w:eastAsia="Calibri" w:hAnsiTheme="minorHAnsi" w:cstheme="minorHAnsi"/>
                <w:sz w:val="20"/>
                <w:szCs w:val="20"/>
              </w:rPr>
              <w:t>Pursley</w:t>
            </w:r>
            <w:proofErr w:type="spellEnd"/>
          </w:p>
        </w:tc>
        <w:tc>
          <w:tcPr>
            <w:tcW w:w="173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D63713C"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Harvard Medical Faculty Physicians</w:t>
            </w:r>
          </w:p>
        </w:tc>
        <w:tc>
          <w:tcPr>
            <w:tcW w:w="94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AFBCCE2"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0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8EFDBE1"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85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4D34883"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891BA82"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ACDCCE"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79F7A91"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National Institute for Child Health/Human Develop-</w:t>
            </w:r>
            <w:proofErr w:type="spellStart"/>
            <w:r w:rsidRPr="00EF66DB">
              <w:rPr>
                <w:rFonts w:asciiTheme="minorHAnsi" w:eastAsia="Calibri" w:hAnsiTheme="minorHAnsi" w:cstheme="minorHAnsi"/>
                <w:sz w:val="20"/>
                <w:szCs w:val="20"/>
              </w:rPr>
              <w:t>ment</w:t>
            </w:r>
            <w:proofErr w:type="spellEnd"/>
          </w:p>
        </w:tc>
        <w:tc>
          <w:tcPr>
            <w:tcW w:w="106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C2DDB33"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r>
      <w:tr w:rsidR="00193E9D" w:rsidRPr="00EF66DB" w14:paraId="74E7F9AB" w14:textId="77777777" w:rsidTr="00E07AC1">
        <w:trPr>
          <w:trHeight w:val="300"/>
        </w:trPr>
        <w:tc>
          <w:tcPr>
            <w:tcW w:w="151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E018907"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r w:rsidRPr="00EF66DB">
              <w:rPr>
                <w:rFonts w:asciiTheme="minorHAnsi" w:eastAsia="Calibri" w:hAnsiTheme="minorHAnsi" w:cstheme="minorHAnsi"/>
                <w:sz w:val="20"/>
                <w:szCs w:val="20"/>
              </w:rPr>
              <w:t>Carl Rose</w:t>
            </w:r>
          </w:p>
        </w:tc>
        <w:tc>
          <w:tcPr>
            <w:tcW w:w="173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BF28D90"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Mayo Clinic</w:t>
            </w:r>
          </w:p>
        </w:tc>
        <w:tc>
          <w:tcPr>
            <w:tcW w:w="94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32D93BE"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0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689D655"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85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0F073D0"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397D2D9"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28091F7"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96CA757"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106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5CA30C"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r>
      <w:tr w:rsidR="00193E9D" w:rsidRPr="00EF66DB" w14:paraId="508E3FE2" w14:textId="77777777" w:rsidTr="00E07AC1">
        <w:trPr>
          <w:trHeight w:val="300"/>
        </w:trPr>
        <w:tc>
          <w:tcPr>
            <w:tcW w:w="151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2620E0F"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r w:rsidRPr="00EF66DB">
              <w:rPr>
                <w:rFonts w:asciiTheme="minorHAnsi" w:eastAsia="Calibri" w:hAnsiTheme="minorHAnsi" w:cstheme="minorHAnsi"/>
                <w:sz w:val="20"/>
                <w:szCs w:val="20"/>
              </w:rPr>
              <w:t>Cheryl Roth</w:t>
            </w:r>
          </w:p>
        </w:tc>
        <w:tc>
          <w:tcPr>
            <w:tcW w:w="173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6C20F86"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Honor Health</w:t>
            </w:r>
          </w:p>
        </w:tc>
        <w:tc>
          <w:tcPr>
            <w:tcW w:w="94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DDA3264"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0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6CC0555"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85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BF53E5C"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A6616E6"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98980B2"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B1B1257"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106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89B801B"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r>
      <w:tr w:rsidR="00193E9D" w:rsidRPr="00EF66DB" w14:paraId="340FFFD3" w14:textId="77777777" w:rsidTr="00E07AC1">
        <w:trPr>
          <w:trHeight w:val="300"/>
        </w:trPr>
        <w:tc>
          <w:tcPr>
            <w:tcW w:w="151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C35A427"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r w:rsidRPr="00EF66DB">
              <w:rPr>
                <w:rFonts w:asciiTheme="minorHAnsi" w:eastAsia="Calibri" w:hAnsiTheme="minorHAnsi" w:cstheme="minorHAnsi"/>
                <w:sz w:val="20"/>
                <w:szCs w:val="20"/>
              </w:rPr>
              <w:t>James Ruiter</w:t>
            </w:r>
          </w:p>
        </w:tc>
        <w:tc>
          <w:tcPr>
            <w:tcW w:w="173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0E77151"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Salus Global</w:t>
            </w:r>
          </w:p>
        </w:tc>
        <w:tc>
          <w:tcPr>
            <w:tcW w:w="94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9F301B9"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0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A95F31E"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85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59CA8BB"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601D7D1"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FC12427"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F949A9F"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106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2FCB748"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r>
      <w:tr w:rsidR="00193E9D" w:rsidRPr="00EF66DB" w14:paraId="390AFFE1" w14:textId="77777777" w:rsidTr="00E07AC1">
        <w:trPr>
          <w:trHeight w:val="300"/>
        </w:trPr>
        <w:tc>
          <w:tcPr>
            <w:tcW w:w="151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4D6241C"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r w:rsidRPr="00EF66DB">
              <w:rPr>
                <w:rFonts w:asciiTheme="minorHAnsi" w:eastAsia="Calibri" w:hAnsiTheme="minorHAnsi" w:cstheme="minorHAnsi"/>
                <w:sz w:val="20"/>
                <w:szCs w:val="20"/>
              </w:rPr>
              <w:t>Brian Schaeffer</w:t>
            </w:r>
          </w:p>
        </w:tc>
        <w:tc>
          <w:tcPr>
            <w:tcW w:w="173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6342A94"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City of Spokane Washington</w:t>
            </w:r>
          </w:p>
        </w:tc>
        <w:tc>
          <w:tcPr>
            <w:tcW w:w="94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A523288"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0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E6938D0"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85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5B56041"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A3A452E"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87CA597"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0E96E50"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106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639F8CF"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r>
      <w:tr w:rsidR="00193E9D" w:rsidRPr="00EF66DB" w14:paraId="3A2574E5" w14:textId="77777777" w:rsidTr="00E07AC1">
        <w:trPr>
          <w:trHeight w:val="300"/>
        </w:trPr>
        <w:tc>
          <w:tcPr>
            <w:tcW w:w="151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6073D0B"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r w:rsidRPr="00EF66DB">
              <w:rPr>
                <w:rFonts w:asciiTheme="minorHAnsi" w:eastAsia="Calibri" w:hAnsiTheme="minorHAnsi" w:cstheme="minorHAnsi"/>
                <w:sz w:val="20"/>
                <w:szCs w:val="20"/>
              </w:rPr>
              <w:t xml:space="preserve">Amir </w:t>
            </w:r>
            <w:proofErr w:type="spellStart"/>
            <w:r w:rsidRPr="00EF66DB">
              <w:rPr>
                <w:rFonts w:asciiTheme="minorHAnsi" w:eastAsia="Calibri" w:hAnsiTheme="minorHAnsi" w:cstheme="minorHAnsi"/>
                <w:sz w:val="20"/>
                <w:szCs w:val="20"/>
              </w:rPr>
              <w:t>Shamshirsaz</w:t>
            </w:r>
            <w:proofErr w:type="spellEnd"/>
          </w:p>
        </w:tc>
        <w:tc>
          <w:tcPr>
            <w:tcW w:w="173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EBDB4D4"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Baylor College of Medicine</w:t>
            </w:r>
          </w:p>
        </w:tc>
        <w:tc>
          <w:tcPr>
            <w:tcW w:w="94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ECED6CD"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0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0132947"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85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A23421C"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5AC2AA7"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8ED214F"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C23A8F8"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106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F1600B1"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r>
      <w:tr w:rsidR="00193E9D" w:rsidRPr="00EF66DB" w14:paraId="72C1D4B5" w14:textId="77777777" w:rsidTr="00E07AC1">
        <w:trPr>
          <w:trHeight w:val="300"/>
        </w:trPr>
        <w:tc>
          <w:tcPr>
            <w:tcW w:w="151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A0252ED"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r w:rsidRPr="00EF66DB">
              <w:rPr>
                <w:rFonts w:asciiTheme="minorHAnsi" w:eastAsia="Calibri" w:hAnsiTheme="minorHAnsi" w:cstheme="minorHAnsi"/>
                <w:sz w:val="20"/>
                <w:szCs w:val="20"/>
              </w:rPr>
              <w:t>Fernando Stein</w:t>
            </w:r>
          </w:p>
        </w:tc>
        <w:tc>
          <w:tcPr>
            <w:tcW w:w="173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63430DA"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Baylor College of Medicine</w:t>
            </w:r>
          </w:p>
        </w:tc>
        <w:tc>
          <w:tcPr>
            <w:tcW w:w="94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B430479"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0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50F514D"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85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7AECB6A"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7BE968D"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5A24836"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DB900CE"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106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D60B9BA"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r>
      <w:tr w:rsidR="00193E9D" w:rsidRPr="00EF66DB" w14:paraId="33646398" w14:textId="77777777" w:rsidTr="00E07AC1">
        <w:trPr>
          <w:trHeight w:val="800"/>
        </w:trPr>
        <w:tc>
          <w:tcPr>
            <w:tcW w:w="151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10A102E"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r w:rsidRPr="00EF66DB">
              <w:rPr>
                <w:rFonts w:asciiTheme="minorHAnsi" w:eastAsia="Calibri" w:hAnsiTheme="minorHAnsi" w:cstheme="minorHAnsi"/>
                <w:sz w:val="20"/>
                <w:szCs w:val="20"/>
              </w:rPr>
              <w:t>Paloma Toledo</w:t>
            </w:r>
          </w:p>
        </w:tc>
        <w:tc>
          <w:tcPr>
            <w:tcW w:w="173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A1B61E4"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Northwestern University/Feinberg School of Medicine</w:t>
            </w:r>
          </w:p>
        </w:tc>
        <w:tc>
          <w:tcPr>
            <w:tcW w:w="94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78755FA"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0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DFA0BBF"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85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CA17381"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8D902E4"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50B54D"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B4827F6"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106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A31CBCE"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r>
      <w:tr w:rsidR="00193E9D" w:rsidRPr="00EF66DB" w14:paraId="0021A64D" w14:textId="77777777" w:rsidTr="00E07AC1">
        <w:trPr>
          <w:trHeight w:val="540"/>
        </w:trPr>
        <w:tc>
          <w:tcPr>
            <w:tcW w:w="151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D4D9C2E"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r w:rsidRPr="00EF66DB">
              <w:rPr>
                <w:rFonts w:asciiTheme="minorHAnsi" w:eastAsia="Calibri" w:hAnsiTheme="minorHAnsi" w:cstheme="minorHAnsi"/>
                <w:sz w:val="20"/>
                <w:szCs w:val="20"/>
              </w:rPr>
              <w:t>Rebecca Cypher</w:t>
            </w:r>
          </w:p>
        </w:tc>
        <w:tc>
          <w:tcPr>
            <w:tcW w:w="173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56D6203"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Cypher Maternal-Fetal Solutions</w:t>
            </w:r>
          </w:p>
        </w:tc>
        <w:tc>
          <w:tcPr>
            <w:tcW w:w="94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055C3A4"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0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53F270C"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85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2C9C13D"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1071EC0"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9335A36"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2186E69"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106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E50783D"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r>
      <w:tr w:rsidR="00193E9D" w:rsidRPr="00EF66DB" w14:paraId="1001CA0E" w14:textId="77777777" w:rsidTr="00E07AC1">
        <w:trPr>
          <w:trHeight w:val="300"/>
        </w:trPr>
        <w:tc>
          <w:tcPr>
            <w:tcW w:w="151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5F58395"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proofErr w:type="spellStart"/>
            <w:r w:rsidRPr="00EF66DB">
              <w:rPr>
                <w:rFonts w:asciiTheme="minorHAnsi" w:eastAsia="Calibri" w:hAnsiTheme="minorHAnsi" w:cstheme="minorHAnsi"/>
                <w:sz w:val="20"/>
                <w:szCs w:val="20"/>
              </w:rPr>
              <w:t>Sondie</w:t>
            </w:r>
            <w:proofErr w:type="spellEnd"/>
            <w:r w:rsidRPr="00EF66DB">
              <w:rPr>
                <w:rFonts w:asciiTheme="minorHAnsi" w:eastAsia="Calibri" w:hAnsiTheme="minorHAnsi" w:cstheme="minorHAnsi"/>
                <w:sz w:val="20"/>
                <w:szCs w:val="20"/>
              </w:rPr>
              <w:t xml:space="preserve"> Epley</w:t>
            </w:r>
          </w:p>
        </w:tc>
        <w:tc>
          <w:tcPr>
            <w:tcW w:w="173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6C5BA07"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University Hospital</w:t>
            </w:r>
          </w:p>
        </w:tc>
        <w:tc>
          <w:tcPr>
            <w:tcW w:w="94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A7E9108"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0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48ECEB9"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85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59D81EC"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68E1819"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43F36FE"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82DAC27"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106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B323400"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r>
      <w:tr w:rsidR="00193E9D" w:rsidRPr="00EF66DB" w14:paraId="7987C089" w14:textId="77777777" w:rsidTr="00E07AC1">
        <w:trPr>
          <w:trHeight w:val="300"/>
        </w:trPr>
        <w:tc>
          <w:tcPr>
            <w:tcW w:w="151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FB13DB3"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r w:rsidRPr="00EF66DB">
              <w:rPr>
                <w:rFonts w:asciiTheme="minorHAnsi" w:eastAsia="Calibri" w:hAnsiTheme="minorHAnsi" w:cstheme="minorHAnsi"/>
                <w:sz w:val="20"/>
                <w:szCs w:val="20"/>
              </w:rPr>
              <w:t>Stephen Rahm</w:t>
            </w:r>
          </w:p>
        </w:tc>
        <w:tc>
          <w:tcPr>
            <w:tcW w:w="173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D98C1DC"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Centre for Emergency Health Sciences Healthcare Innovation and Sciences Centre</w:t>
            </w:r>
          </w:p>
        </w:tc>
        <w:tc>
          <w:tcPr>
            <w:tcW w:w="94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851F9DA"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0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BEAED5E"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85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EA132CD"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9269B7D"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9281361"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17C4B93"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106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86C305A"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r>
      <w:tr w:rsidR="00193E9D" w:rsidRPr="00EF66DB" w14:paraId="57CDBF22" w14:textId="77777777" w:rsidTr="00E07AC1">
        <w:trPr>
          <w:trHeight w:val="800"/>
        </w:trPr>
        <w:tc>
          <w:tcPr>
            <w:tcW w:w="151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7F251C9"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r w:rsidRPr="00EF66DB">
              <w:rPr>
                <w:rFonts w:asciiTheme="minorHAnsi" w:eastAsia="Calibri" w:hAnsiTheme="minorHAnsi" w:cstheme="minorHAnsi"/>
                <w:sz w:val="20"/>
                <w:szCs w:val="20"/>
              </w:rPr>
              <w:lastRenderedPageBreak/>
              <w:t>Stephanie Stokes</w:t>
            </w:r>
          </w:p>
        </w:tc>
        <w:tc>
          <w:tcPr>
            <w:tcW w:w="173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6387C56"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CHRISTUS Health</w:t>
            </w:r>
          </w:p>
        </w:tc>
        <w:tc>
          <w:tcPr>
            <w:tcW w:w="94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006D3CC"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0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0F809CF"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85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69D15BA"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3575E02"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9BE399D"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1B4E911"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106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45E1161"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r>
      <w:tr w:rsidR="00193E9D" w:rsidRPr="00EF66DB" w14:paraId="207D4387" w14:textId="77777777" w:rsidTr="00E07AC1">
        <w:trPr>
          <w:trHeight w:val="300"/>
        </w:trPr>
        <w:tc>
          <w:tcPr>
            <w:tcW w:w="15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B2A4FCD"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p>
        </w:tc>
        <w:tc>
          <w:tcPr>
            <w:tcW w:w="173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14413C8"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p>
        </w:tc>
        <w:tc>
          <w:tcPr>
            <w:tcW w:w="948"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BB7D538"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p>
        </w:tc>
        <w:tc>
          <w:tcPr>
            <w:tcW w:w="9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67B9F09"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p>
        </w:tc>
        <w:tc>
          <w:tcPr>
            <w:tcW w:w="85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F90E001"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p>
        </w:tc>
        <w:tc>
          <w:tcPr>
            <w:tcW w:w="9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3EE67FF"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p>
        </w:tc>
        <w:tc>
          <w:tcPr>
            <w:tcW w:w="99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C186F1C"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p>
        </w:tc>
        <w:tc>
          <w:tcPr>
            <w:tcW w:w="99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06B7E55"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6DA51B5"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p>
        </w:tc>
      </w:tr>
      <w:tr w:rsidR="00193E9D" w:rsidRPr="00EF66DB" w14:paraId="6EADC45E" w14:textId="77777777" w:rsidTr="00E07AC1">
        <w:trPr>
          <w:trHeight w:val="300"/>
        </w:trPr>
        <w:tc>
          <w:tcPr>
            <w:tcW w:w="15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094636B"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r w:rsidRPr="00EF66DB">
              <w:rPr>
                <w:rFonts w:asciiTheme="minorHAnsi" w:eastAsia="Calibri" w:hAnsiTheme="minorHAnsi" w:cstheme="minorHAnsi"/>
                <w:sz w:val="20"/>
                <w:szCs w:val="20"/>
              </w:rPr>
              <w:t>Staff</w:t>
            </w:r>
          </w:p>
        </w:tc>
        <w:tc>
          <w:tcPr>
            <w:tcW w:w="173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7B6BD63"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p>
        </w:tc>
        <w:tc>
          <w:tcPr>
            <w:tcW w:w="948"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88C5DAE"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p>
        </w:tc>
        <w:tc>
          <w:tcPr>
            <w:tcW w:w="9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BF28B90"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p>
        </w:tc>
        <w:tc>
          <w:tcPr>
            <w:tcW w:w="85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2E10BBA"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p>
        </w:tc>
        <w:tc>
          <w:tcPr>
            <w:tcW w:w="9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E8B8E14"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p>
        </w:tc>
        <w:tc>
          <w:tcPr>
            <w:tcW w:w="99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AD64EE4"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p>
        </w:tc>
        <w:tc>
          <w:tcPr>
            <w:tcW w:w="99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A9D3F18"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D8A5362"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p>
        </w:tc>
      </w:tr>
      <w:tr w:rsidR="00193E9D" w:rsidRPr="00EF66DB" w14:paraId="22071A18" w14:textId="77777777" w:rsidTr="00E07AC1">
        <w:trPr>
          <w:trHeight w:val="300"/>
        </w:trPr>
        <w:tc>
          <w:tcPr>
            <w:tcW w:w="151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B534E66"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r w:rsidRPr="00EF66DB">
              <w:rPr>
                <w:rFonts w:asciiTheme="minorHAnsi" w:eastAsia="Calibri" w:hAnsiTheme="minorHAnsi" w:cstheme="minorHAnsi"/>
                <w:sz w:val="20"/>
                <w:szCs w:val="20"/>
              </w:rPr>
              <w:t xml:space="preserve">Jacqueline </w:t>
            </w:r>
            <w:proofErr w:type="spellStart"/>
            <w:r w:rsidRPr="00EF66DB">
              <w:rPr>
                <w:rFonts w:asciiTheme="minorHAnsi" w:eastAsia="Calibri" w:hAnsiTheme="minorHAnsi" w:cstheme="minorHAnsi"/>
                <w:sz w:val="20"/>
                <w:szCs w:val="20"/>
              </w:rPr>
              <w:t>Battistelli</w:t>
            </w:r>
            <w:proofErr w:type="spellEnd"/>
          </w:p>
        </w:tc>
        <w:tc>
          <w:tcPr>
            <w:tcW w:w="173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5F36975"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r w:rsidRPr="00EF66DB">
              <w:rPr>
                <w:rFonts w:asciiTheme="minorHAnsi" w:eastAsia="Calibri" w:hAnsiTheme="minorHAnsi" w:cstheme="minorHAnsi"/>
                <w:sz w:val="20"/>
                <w:szCs w:val="20"/>
              </w:rPr>
              <w:t>Baylor College of Medicine</w:t>
            </w:r>
          </w:p>
        </w:tc>
        <w:tc>
          <w:tcPr>
            <w:tcW w:w="94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6219581"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r w:rsidRPr="00EF66DB">
              <w:rPr>
                <w:rFonts w:asciiTheme="minorHAnsi" w:eastAsia="Calibri" w:hAnsiTheme="minorHAnsi" w:cstheme="minorHAnsi"/>
                <w:sz w:val="20"/>
                <w:szCs w:val="20"/>
              </w:rPr>
              <w:t>NIH OBLS</w:t>
            </w:r>
          </w:p>
        </w:tc>
        <w:tc>
          <w:tcPr>
            <w:tcW w:w="90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1715433"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85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3B7F64E"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370D6A5"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AE73649"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31A46CB"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106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21A9D09"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r>
      <w:tr w:rsidR="00193E9D" w:rsidRPr="00EF66DB" w14:paraId="5F39AD88" w14:textId="77777777" w:rsidTr="00E07AC1">
        <w:trPr>
          <w:trHeight w:val="300"/>
        </w:trPr>
        <w:tc>
          <w:tcPr>
            <w:tcW w:w="151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580CA90"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r w:rsidRPr="00EF66DB">
              <w:rPr>
                <w:rFonts w:asciiTheme="minorHAnsi" w:eastAsia="Calibri" w:hAnsiTheme="minorHAnsi" w:cstheme="minorHAnsi"/>
                <w:sz w:val="20"/>
                <w:szCs w:val="20"/>
              </w:rPr>
              <w:t>Laurie Kavanagh</w:t>
            </w:r>
          </w:p>
        </w:tc>
        <w:tc>
          <w:tcPr>
            <w:tcW w:w="173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8E7A07F"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Baylor College of Medicine</w:t>
            </w:r>
          </w:p>
        </w:tc>
        <w:tc>
          <w:tcPr>
            <w:tcW w:w="94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9050C18"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NIH OBLS</w:t>
            </w:r>
          </w:p>
        </w:tc>
        <w:tc>
          <w:tcPr>
            <w:tcW w:w="90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1ADB409"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85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FE08367"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31DE0DC"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C48149D"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44BA9D3"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106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5BEAE82"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r>
      <w:tr w:rsidR="00193E9D" w:rsidRPr="00EF66DB" w14:paraId="02A460DC" w14:textId="77777777" w:rsidTr="00E07AC1">
        <w:trPr>
          <w:trHeight w:val="300"/>
        </w:trPr>
        <w:tc>
          <w:tcPr>
            <w:tcW w:w="151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2C3215C"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r w:rsidRPr="00EF66DB">
              <w:rPr>
                <w:rFonts w:asciiTheme="minorHAnsi" w:eastAsia="Calibri" w:hAnsiTheme="minorHAnsi" w:cstheme="minorHAnsi"/>
                <w:sz w:val="20"/>
                <w:szCs w:val="20"/>
              </w:rPr>
              <w:t>Peter Nielsen</w:t>
            </w:r>
          </w:p>
        </w:tc>
        <w:tc>
          <w:tcPr>
            <w:tcW w:w="173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2E38FED"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Baylor College of Medicine</w:t>
            </w:r>
          </w:p>
        </w:tc>
        <w:tc>
          <w:tcPr>
            <w:tcW w:w="94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F155834"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NIH OBLS</w:t>
            </w:r>
          </w:p>
        </w:tc>
        <w:tc>
          <w:tcPr>
            <w:tcW w:w="90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0E5AC50"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85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61068C8"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E9093E7"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B86D730"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EFA3735"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106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024E64F"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r>
      <w:tr w:rsidR="00193E9D" w:rsidRPr="00EF66DB" w14:paraId="353DF589" w14:textId="77777777" w:rsidTr="00E07AC1">
        <w:trPr>
          <w:trHeight w:val="300"/>
        </w:trPr>
        <w:tc>
          <w:tcPr>
            <w:tcW w:w="151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7248A92"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r w:rsidRPr="00EF66DB">
              <w:rPr>
                <w:rFonts w:asciiTheme="minorHAnsi" w:eastAsia="Calibri" w:hAnsiTheme="minorHAnsi" w:cstheme="minorHAnsi"/>
                <w:sz w:val="20"/>
                <w:szCs w:val="20"/>
              </w:rPr>
              <w:t>Andrea Shields</w:t>
            </w:r>
          </w:p>
        </w:tc>
        <w:tc>
          <w:tcPr>
            <w:tcW w:w="173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FE4FB27"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Baylor College of Medicine</w:t>
            </w:r>
          </w:p>
        </w:tc>
        <w:tc>
          <w:tcPr>
            <w:tcW w:w="94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E83D82B"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NIH OBLS</w:t>
            </w:r>
          </w:p>
        </w:tc>
        <w:tc>
          <w:tcPr>
            <w:tcW w:w="90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308AAA9"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85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E87E259"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E0338B6"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CA389CA"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8E9E4FA"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106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001EF17"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r>
      <w:tr w:rsidR="00193E9D" w:rsidRPr="00EF66DB" w14:paraId="4E318D22" w14:textId="77777777" w:rsidTr="00E07AC1">
        <w:trPr>
          <w:trHeight w:val="300"/>
        </w:trPr>
        <w:tc>
          <w:tcPr>
            <w:tcW w:w="151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5015ABE"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r w:rsidRPr="00EF66DB">
              <w:rPr>
                <w:rFonts w:asciiTheme="minorHAnsi" w:eastAsia="Calibri" w:hAnsiTheme="minorHAnsi" w:cstheme="minorHAnsi"/>
                <w:sz w:val="20"/>
                <w:szCs w:val="20"/>
              </w:rPr>
              <w:t>Brook Thomson</w:t>
            </w:r>
          </w:p>
        </w:tc>
        <w:tc>
          <w:tcPr>
            <w:tcW w:w="173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002F9EC"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Baylor College of Medicine</w:t>
            </w:r>
          </w:p>
        </w:tc>
        <w:tc>
          <w:tcPr>
            <w:tcW w:w="94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D3AB6D7"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NIH OBLS</w:t>
            </w:r>
          </w:p>
        </w:tc>
        <w:tc>
          <w:tcPr>
            <w:tcW w:w="90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085235B"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85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EAA3E4F"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4255E41"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89D9955"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None</w:t>
            </w: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1105B26"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Society of OB/GYN Hospitalists Board</w:t>
            </w:r>
          </w:p>
        </w:tc>
        <w:tc>
          <w:tcPr>
            <w:tcW w:w="106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B8591A6"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r w:rsidRPr="00EF66DB">
              <w:rPr>
                <w:rFonts w:asciiTheme="minorHAnsi" w:eastAsia="Calibri" w:hAnsiTheme="minorHAnsi" w:cstheme="minorHAnsi"/>
                <w:sz w:val="20"/>
                <w:szCs w:val="20"/>
              </w:rPr>
              <w:t>ACOG ECO Faculty/Development Panel, ACOG Simulation Work Group</w:t>
            </w:r>
          </w:p>
        </w:tc>
      </w:tr>
      <w:tr w:rsidR="00193E9D" w:rsidRPr="00EF66DB" w14:paraId="791CBEA5" w14:textId="77777777" w:rsidTr="00E07AC1">
        <w:trPr>
          <w:trHeight w:val="1280"/>
        </w:trPr>
        <w:tc>
          <w:tcPr>
            <w:tcW w:w="151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E0026B2" w14:textId="77777777" w:rsidR="00193E9D" w:rsidRPr="00EF66DB" w:rsidRDefault="00193E9D" w:rsidP="00E07AC1">
            <w:pPr>
              <w:widowControl w:val="0"/>
              <w:spacing w:after="0" w:line="276" w:lineRule="auto"/>
              <w:rPr>
                <w:rFonts w:asciiTheme="minorHAnsi" w:eastAsia="Calibri" w:hAnsiTheme="minorHAnsi" w:cstheme="minorHAnsi"/>
                <w:sz w:val="20"/>
                <w:szCs w:val="20"/>
              </w:rPr>
            </w:pPr>
          </w:p>
        </w:tc>
        <w:tc>
          <w:tcPr>
            <w:tcW w:w="173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6D9503B"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p>
        </w:tc>
        <w:tc>
          <w:tcPr>
            <w:tcW w:w="94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E7D1E9"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p>
        </w:tc>
        <w:tc>
          <w:tcPr>
            <w:tcW w:w="90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D6C8F64"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p>
        </w:tc>
        <w:tc>
          <w:tcPr>
            <w:tcW w:w="85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8C5CE8F"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p>
        </w:tc>
        <w:tc>
          <w:tcPr>
            <w:tcW w:w="9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7923F0E"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089E6B6"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p>
        </w:tc>
        <w:tc>
          <w:tcPr>
            <w:tcW w:w="99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56499CC"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p>
        </w:tc>
        <w:tc>
          <w:tcPr>
            <w:tcW w:w="106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F6D2476" w14:textId="77777777" w:rsidR="00193E9D" w:rsidRPr="00EF66DB" w:rsidRDefault="00193E9D" w:rsidP="00E07AC1">
            <w:pPr>
              <w:widowControl w:val="0"/>
              <w:spacing w:after="0" w:line="276" w:lineRule="auto"/>
              <w:jc w:val="center"/>
              <w:rPr>
                <w:rFonts w:asciiTheme="minorHAnsi" w:eastAsia="Calibri" w:hAnsiTheme="minorHAnsi" w:cstheme="minorHAnsi"/>
                <w:sz w:val="20"/>
                <w:szCs w:val="20"/>
              </w:rPr>
            </w:pPr>
          </w:p>
        </w:tc>
      </w:tr>
    </w:tbl>
    <w:p w14:paraId="5ECAC2D7" w14:textId="77777777" w:rsidR="00193E9D" w:rsidRPr="00EF66DB" w:rsidRDefault="00193E9D" w:rsidP="00193E9D">
      <w:pPr>
        <w:pBdr>
          <w:top w:val="nil"/>
          <w:left w:val="nil"/>
          <w:bottom w:val="nil"/>
          <w:right w:val="nil"/>
          <w:between w:val="nil"/>
        </w:pBdr>
        <w:spacing w:after="0"/>
        <w:rPr>
          <w:rFonts w:asciiTheme="minorHAnsi" w:eastAsia="Calibri" w:hAnsiTheme="minorHAnsi" w:cstheme="minorHAnsi"/>
          <w:sz w:val="22"/>
          <w:szCs w:val="22"/>
        </w:rPr>
      </w:pPr>
    </w:p>
    <w:p w14:paraId="23A19889" w14:textId="77777777" w:rsidR="00193E9D" w:rsidRPr="00EF66DB" w:rsidRDefault="00193E9D" w:rsidP="00193E9D">
      <w:pPr>
        <w:spacing w:after="0" w:line="240" w:lineRule="auto"/>
        <w:rPr>
          <w:rFonts w:asciiTheme="minorHAnsi" w:eastAsia="Calibri" w:hAnsiTheme="minorHAnsi" w:cstheme="minorHAnsi"/>
          <w:sz w:val="16"/>
          <w:szCs w:val="16"/>
        </w:rPr>
      </w:pPr>
      <w:r w:rsidRPr="00EF66DB">
        <w:rPr>
          <w:rFonts w:asciiTheme="minorHAnsi" w:eastAsia="Calibri" w:hAnsiTheme="minorHAnsi" w:cstheme="minorHAnsi"/>
          <w:sz w:val="16"/>
          <w:szCs w:val="16"/>
        </w:rPr>
        <w:t>This table represents the relationships of OBLS expert panel, working group and staff members that may be perceived as actual or reasonably perceived conflicts of interest as reported on the Disclosure Questionnaire administered, which all members of the writing group were required to complete and submit between by January 2019. A relationship is “significant” if (a) the person receives $10000 or more during any 12-month period, or 5% or more of the person’s gross income; or (b) the person owns 5% or more of the voting stock or share of the entity or owns $10000 or more of the fair market value of the entity. A relationship is “modest” if it is less than “significant” under the preceding definition</w:t>
      </w:r>
    </w:p>
    <w:p w14:paraId="09657EDD" w14:textId="77777777" w:rsidR="00193E9D" w:rsidRPr="00EF66DB" w:rsidRDefault="00193E9D" w:rsidP="00193E9D">
      <w:pPr>
        <w:pBdr>
          <w:top w:val="nil"/>
          <w:left w:val="nil"/>
          <w:bottom w:val="nil"/>
          <w:right w:val="nil"/>
          <w:between w:val="nil"/>
        </w:pBdr>
        <w:spacing w:after="0"/>
        <w:rPr>
          <w:rFonts w:asciiTheme="minorHAnsi" w:eastAsia="Calibri" w:hAnsiTheme="minorHAnsi" w:cstheme="minorHAnsi"/>
          <w:color w:val="000000"/>
          <w:sz w:val="22"/>
          <w:szCs w:val="22"/>
        </w:rPr>
      </w:pPr>
    </w:p>
    <w:p w14:paraId="15C09584" w14:textId="24B8CFB9" w:rsidR="00EF66DB" w:rsidRDefault="00EF66DB">
      <w:pPr>
        <w:spacing w:after="0" w:line="240"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br w:type="page"/>
      </w:r>
    </w:p>
    <w:p w14:paraId="1834A965" w14:textId="537145C5" w:rsidR="00193E9D" w:rsidRPr="00EF66DB" w:rsidRDefault="006B4F0F" w:rsidP="00193E9D">
      <w:pPr>
        <w:pBdr>
          <w:top w:val="nil"/>
          <w:left w:val="nil"/>
          <w:bottom w:val="nil"/>
          <w:right w:val="nil"/>
          <w:between w:val="nil"/>
        </w:pBdr>
        <w:spacing w:after="0"/>
        <w:rPr>
          <w:rFonts w:asciiTheme="minorHAnsi" w:eastAsia="Calibri" w:hAnsiTheme="minorHAnsi" w:cstheme="minorHAnsi"/>
          <w:color w:val="000000"/>
          <w:sz w:val="22"/>
          <w:szCs w:val="22"/>
        </w:rPr>
      </w:pPr>
      <w:r w:rsidRPr="00EF66DB">
        <w:rPr>
          <w:rFonts w:asciiTheme="minorHAnsi" w:eastAsia="Calibri" w:hAnsiTheme="minorHAnsi" w:cstheme="minorHAnsi"/>
          <w:color w:val="000000"/>
          <w:sz w:val="22"/>
          <w:szCs w:val="22"/>
        </w:rPr>
        <w:lastRenderedPageBreak/>
        <w:t>File 2</w:t>
      </w:r>
      <w:r w:rsidR="00193E9D" w:rsidRPr="00EF66DB">
        <w:rPr>
          <w:rFonts w:asciiTheme="minorHAnsi" w:eastAsia="Calibri" w:hAnsiTheme="minorHAnsi" w:cstheme="minorHAnsi"/>
          <w:color w:val="000000"/>
          <w:sz w:val="22"/>
          <w:szCs w:val="22"/>
        </w:rPr>
        <w:t xml:space="preserve">. </w:t>
      </w:r>
      <w:r w:rsidR="00193E9D" w:rsidRPr="00EF66DB">
        <w:rPr>
          <w:rFonts w:asciiTheme="minorHAnsi" w:eastAsia="Calibri" w:hAnsiTheme="minorHAnsi" w:cstheme="minorHAnsi"/>
          <w:sz w:val="22"/>
          <w:szCs w:val="22"/>
        </w:rPr>
        <w:t>OBLS Expert Panel Scores for each Domain of the Agree II Assessment and Overall Approval of the 2015 AHA Statement of Managing Cardiac Arrest in Pregnancy.</w:t>
      </w:r>
    </w:p>
    <w:tbl>
      <w:tblPr>
        <w:tblStyle w:val="5"/>
        <w:tblW w:w="10005" w:type="dxa"/>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5"/>
        <w:gridCol w:w="6105"/>
        <w:gridCol w:w="1695"/>
      </w:tblGrid>
      <w:tr w:rsidR="00193E9D" w:rsidRPr="00EF66DB" w14:paraId="1DA9D157" w14:textId="77777777" w:rsidTr="00E07AC1">
        <w:trPr>
          <w:trHeight w:val="500"/>
        </w:trPr>
        <w:tc>
          <w:tcPr>
            <w:tcW w:w="2205" w:type="dxa"/>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37534343" w14:textId="77777777" w:rsidR="00193E9D" w:rsidRPr="00EF66DB" w:rsidRDefault="00193E9D" w:rsidP="00E07AC1">
            <w:pPr>
              <w:widowControl w:val="0"/>
              <w:spacing w:after="0"/>
              <w:jc w:val="center"/>
              <w:rPr>
                <w:rFonts w:asciiTheme="minorHAnsi" w:eastAsia="Calibri" w:hAnsiTheme="minorHAnsi" w:cstheme="minorHAnsi"/>
                <w:sz w:val="22"/>
                <w:szCs w:val="22"/>
              </w:rPr>
            </w:pPr>
            <w:r w:rsidRPr="00EF66DB">
              <w:rPr>
                <w:rFonts w:asciiTheme="minorHAnsi" w:eastAsia="Calibri" w:hAnsiTheme="minorHAnsi" w:cstheme="minorHAnsi"/>
                <w:sz w:val="22"/>
                <w:szCs w:val="22"/>
              </w:rPr>
              <w:t>Domain</w:t>
            </w:r>
          </w:p>
        </w:tc>
        <w:tc>
          <w:tcPr>
            <w:tcW w:w="6105" w:type="dxa"/>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10482454" w14:textId="77777777" w:rsidR="00193E9D" w:rsidRPr="00EF66DB" w:rsidRDefault="00193E9D" w:rsidP="00E07AC1">
            <w:pPr>
              <w:widowControl w:val="0"/>
              <w:spacing w:after="0"/>
              <w:jc w:val="center"/>
              <w:rPr>
                <w:rFonts w:asciiTheme="minorHAnsi" w:eastAsia="Calibri" w:hAnsiTheme="minorHAnsi" w:cstheme="minorHAnsi"/>
                <w:sz w:val="22"/>
                <w:szCs w:val="22"/>
              </w:rPr>
            </w:pPr>
            <w:r w:rsidRPr="00EF66DB">
              <w:rPr>
                <w:rFonts w:asciiTheme="minorHAnsi" w:eastAsia="Calibri" w:hAnsiTheme="minorHAnsi" w:cstheme="minorHAnsi"/>
                <w:sz w:val="22"/>
                <w:szCs w:val="22"/>
              </w:rPr>
              <w:t>Focus</w:t>
            </w:r>
          </w:p>
        </w:tc>
        <w:tc>
          <w:tcPr>
            <w:tcW w:w="1695" w:type="dxa"/>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3AA66CD4" w14:textId="77777777" w:rsidR="00193E9D" w:rsidRPr="00EF66DB" w:rsidRDefault="00193E9D" w:rsidP="00E07AC1">
            <w:pPr>
              <w:widowControl w:val="0"/>
              <w:spacing w:after="0"/>
              <w:jc w:val="center"/>
              <w:rPr>
                <w:rFonts w:asciiTheme="minorHAnsi" w:eastAsia="Calibri" w:hAnsiTheme="minorHAnsi" w:cstheme="minorHAnsi"/>
                <w:sz w:val="22"/>
                <w:szCs w:val="22"/>
              </w:rPr>
            </w:pPr>
            <w:r w:rsidRPr="00EF66DB">
              <w:rPr>
                <w:rFonts w:asciiTheme="minorHAnsi" w:eastAsia="Calibri" w:hAnsiTheme="minorHAnsi" w:cstheme="minorHAnsi"/>
                <w:sz w:val="22"/>
                <w:szCs w:val="22"/>
              </w:rPr>
              <w:t>Score</w:t>
            </w:r>
          </w:p>
        </w:tc>
      </w:tr>
      <w:tr w:rsidR="00193E9D" w:rsidRPr="00EF66DB" w14:paraId="362340A1" w14:textId="77777777" w:rsidTr="00E07AC1">
        <w:trPr>
          <w:trHeight w:val="960"/>
        </w:trPr>
        <w:tc>
          <w:tcPr>
            <w:tcW w:w="2205" w:type="dxa"/>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16D0C5A8" w14:textId="77777777" w:rsidR="00193E9D" w:rsidRPr="00EF66DB" w:rsidRDefault="00193E9D" w:rsidP="00E07AC1">
            <w:pPr>
              <w:widowControl w:val="0"/>
              <w:spacing w:after="0"/>
              <w:jc w:val="center"/>
              <w:rPr>
                <w:rFonts w:asciiTheme="minorHAnsi" w:eastAsia="Calibri" w:hAnsiTheme="minorHAnsi" w:cstheme="minorHAnsi"/>
                <w:sz w:val="22"/>
                <w:szCs w:val="22"/>
              </w:rPr>
            </w:pPr>
            <w:r w:rsidRPr="00EF66DB">
              <w:rPr>
                <w:rFonts w:asciiTheme="minorHAnsi" w:eastAsia="Calibri" w:hAnsiTheme="minorHAnsi" w:cstheme="minorHAnsi"/>
                <w:sz w:val="22"/>
                <w:szCs w:val="22"/>
              </w:rPr>
              <w:t xml:space="preserve">Domain 1: </w:t>
            </w:r>
            <w:r w:rsidRPr="00EF66DB">
              <w:rPr>
                <w:rFonts w:asciiTheme="minorHAnsi" w:eastAsia="Calibri" w:hAnsiTheme="minorHAnsi" w:cstheme="minorHAnsi"/>
                <w:sz w:val="22"/>
                <w:szCs w:val="22"/>
              </w:rPr>
              <w:br/>
              <w:t xml:space="preserve">Scope </w:t>
            </w:r>
            <w:r w:rsidRPr="00EF66DB">
              <w:rPr>
                <w:rFonts w:asciiTheme="minorHAnsi" w:eastAsia="Calibri" w:hAnsiTheme="minorHAnsi" w:cstheme="minorHAnsi"/>
                <w:sz w:val="22"/>
                <w:szCs w:val="22"/>
              </w:rPr>
              <w:br/>
              <w:t>and Purpose</w:t>
            </w:r>
          </w:p>
        </w:tc>
        <w:tc>
          <w:tcPr>
            <w:tcW w:w="6105" w:type="dxa"/>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623B89B5" w14:textId="77777777" w:rsidR="00193E9D" w:rsidRPr="00EF66DB" w:rsidRDefault="00193E9D" w:rsidP="00E07AC1">
            <w:pPr>
              <w:widowControl w:val="0"/>
              <w:spacing w:after="0"/>
              <w:jc w:val="center"/>
              <w:rPr>
                <w:rFonts w:asciiTheme="minorHAnsi" w:eastAsia="Calibri" w:hAnsiTheme="minorHAnsi" w:cstheme="minorHAnsi"/>
                <w:sz w:val="22"/>
                <w:szCs w:val="22"/>
              </w:rPr>
            </w:pPr>
            <w:r w:rsidRPr="00EF66DB">
              <w:rPr>
                <w:rFonts w:asciiTheme="minorHAnsi" w:eastAsia="Calibri" w:hAnsiTheme="minorHAnsi" w:cstheme="minorHAnsi"/>
                <w:sz w:val="22"/>
                <w:szCs w:val="22"/>
              </w:rPr>
              <w:t>Evaluates the overall aim, specific health question,</w:t>
            </w:r>
            <w:r w:rsidRPr="00EF66DB">
              <w:rPr>
                <w:rFonts w:asciiTheme="minorHAnsi" w:eastAsia="Calibri" w:hAnsiTheme="minorHAnsi" w:cstheme="minorHAnsi"/>
                <w:sz w:val="22"/>
                <w:szCs w:val="22"/>
              </w:rPr>
              <w:br/>
              <w:t xml:space="preserve"> and target population of the guideline.</w:t>
            </w:r>
          </w:p>
        </w:tc>
        <w:tc>
          <w:tcPr>
            <w:tcW w:w="1695" w:type="dxa"/>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211ED021" w14:textId="77777777" w:rsidR="00193E9D" w:rsidRPr="00EF66DB" w:rsidRDefault="00193E9D" w:rsidP="00E07AC1">
            <w:pPr>
              <w:widowControl w:val="0"/>
              <w:spacing w:after="0"/>
              <w:jc w:val="center"/>
              <w:rPr>
                <w:rFonts w:asciiTheme="minorHAnsi" w:eastAsia="Calibri" w:hAnsiTheme="minorHAnsi" w:cstheme="minorHAnsi"/>
                <w:sz w:val="22"/>
                <w:szCs w:val="22"/>
              </w:rPr>
            </w:pPr>
            <w:r w:rsidRPr="00EF66DB">
              <w:rPr>
                <w:rFonts w:asciiTheme="minorHAnsi" w:eastAsia="Calibri" w:hAnsiTheme="minorHAnsi" w:cstheme="minorHAnsi"/>
                <w:sz w:val="22"/>
                <w:szCs w:val="22"/>
              </w:rPr>
              <w:t>82%</w:t>
            </w:r>
          </w:p>
        </w:tc>
      </w:tr>
      <w:tr w:rsidR="00193E9D" w:rsidRPr="00EF66DB" w14:paraId="6B933B4B" w14:textId="77777777" w:rsidTr="00E07AC1">
        <w:trPr>
          <w:trHeight w:val="1080"/>
        </w:trPr>
        <w:tc>
          <w:tcPr>
            <w:tcW w:w="2205" w:type="dxa"/>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017334A3" w14:textId="77777777" w:rsidR="00193E9D" w:rsidRPr="00EF66DB" w:rsidRDefault="00193E9D" w:rsidP="00E07AC1">
            <w:pPr>
              <w:widowControl w:val="0"/>
              <w:spacing w:after="0"/>
              <w:jc w:val="center"/>
              <w:rPr>
                <w:rFonts w:asciiTheme="minorHAnsi" w:eastAsia="Calibri" w:hAnsiTheme="minorHAnsi" w:cstheme="minorHAnsi"/>
                <w:sz w:val="22"/>
                <w:szCs w:val="22"/>
              </w:rPr>
            </w:pPr>
            <w:r w:rsidRPr="00EF66DB">
              <w:rPr>
                <w:rFonts w:asciiTheme="minorHAnsi" w:eastAsia="Calibri" w:hAnsiTheme="minorHAnsi" w:cstheme="minorHAnsi"/>
                <w:sz w:val="22"/>
                <w:szCs w:val="22"/>
              </w:rPr>
              <w:t xml:space="preserve">Domain 2: </w:t>
            </w:r>
            <w:r w:rsidRPr="00EF66DB">
              <w:rPr>
                <w:rFonts w:asciiTheme="minorHAnsi" w:eastAsia="Calibri" w:hAnsiTheme="minorHAnsi" w:cstheme="minorHAnsi"/>
                <w:sz w:val="22"/>
                <w:szCs w:val="22"/>
              </w:rPr>
              <w:br/>
              <w:t>Stakeholder Involvement</w:t>
            </w:r>
            <w:r w:rsidRPr="00EF66DB">
              <w:rPr>
                <w:rFonts w:asciiTheme="minorHAnsi" w:eastAsia="Calibri" w:hAnsiTheme="minorHAnsi" w:cstheme="minorHAnsi"/>
                <w:sz w:val="22"/>
                <w:szCs w:val="22"/>
              </w:rPr>
              <w:br/>
            </w:r>
          </w:p>
        </w:tc>
        <w:tc>
          <w:tcPr>
            <w:tcW w:w="6105" w:type="dxa"/>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3BB70404" w14:textId="77777777" w:rsidR="00193E9D" w:rsidRPr="00EF66DB" w:rsidRDefault="00193E9D" w:rsidP="00E07AC1">
            <w:pPr>
              <w:widowControl w:val="0"/>
              <w:spacing w:after="0"/>
              <w:jc w:val="center"/>
              <w:rPr>
                <w:rFonts w:asciiTheme="minorHAnsi" w:eastAsia="Calibri" w:hAnsiTheme="minorHAnsi" w:cstheme="minorHAnsi"/>
                <w:sz w:val="22"/>
                <w:szCs w:val="22"/>
              </w:rPr>
            </w:pPr>
            <w:r w:rsidRPr="00EF66DB">
              <w:rPr>
                <w:rFonts w:asciiTheme="minorHAnsi" w:eastAsia="Calibri" w:hAnsiTheme="minorHAnsi" w:cstheme="minorHAnsi"/>
                <w:sz w:val="22"/>
                <w:szCs w:val="22"/>
              </w:rPr>
              <w:t xml:space="preserve">Evaluates the degree to which the appropriate stakeholders </w:t>
            </w:r>
            <w:r w:rsidRPr="00EF66DB">
              <w:rPr>
                <w:rFonts w:asciiTheme="minorHAnsi" w:eastAsia="Calibri" w:hAnsiTheme="minorHAnsi" w:cstheme="minorHAnsi"/>
                <w:sz w:val="22"/>
                <w:szCs w:val="22"/>
              </w:rPr>
              <w:br/>
              <w:t xml:space="preserve">developed the guidelines and represents the views and </w:t>
            </w:r>
            <w:r w:rsidRPr="00EF66DB">
              <w:rPr>
                <w:rFonts w:asciiTheme="minorHAnsi" w:eastAsia="Calibri" w:hAnsiTheme="minorHAnsi" w:cstheme="minorHAnsi"/>
                <w:sz w:val="22"/>
                <w:szCs w:val="22"/>
              </w:rPr>
              <w:br/>
              <w:t>preferences of the target population</w:t>
            </w:r>
          </w:p>
        </w:tc>
        <w:tc>
          <w:tcPr>
            <w:tcW w:w="1695" w:type="dxa"/>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7721ED22" w14:textId="77777777" w:rsidR="00193E9D" w:rsidRPr="00EF66DB" w:rsidRDefault="00193E9D" w:rsidP="00E07AC1">
            <w:pPr>
              <w:widowControl w:val="0"/>
              <w:spacing w:after="0"/>
              <w:jc w:val="center"/>
              <w:rPr>
                <w:rFonts w:asciiTheme="minorHAnsi" w:eastAsia="Calibri" w:hAnsiTheme="minorHAnsi" w:cstheme="minorHAnsi"/>
                <w:sz w:val="22"/>
                <w:szCs w:val="22"/>
              </w:rPr>
            </w:pPr>
            <w:r w:rsidRPr="00EF66DB">
              <w:rPr>
                <w:rFonts w:asciiTheme="minorHAnsi" w:eastAsia="Calibri" w:hAnsiTheme="minorHAnsi" w:cstheme="minorHAnsi"/>
                <w:sz w:val="22"/>
                <w:szCs w:val="22"/>
              </w:rPr>
              <w:t>58%</w:t>
            </w:r>
          </w:p>
        </w:tc>
      </w:tr>
      <w:tr w:rsidR="00193E9D" w:rsidRPr="00EF66DB" w14:paraId="17643EE1" w14:textId="77777777" w:rsidTr="00E07AC1">
        <w:trPr>
          <w:trHeight w:val="1200"/>
        </w:trPr>
        <w:tc>
          <w:tcPr>
            <w:tcW w:w="2205" w:type="dxa"/>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0A569586" w14:textId="77777777" w:rsidR="00193E9D" w:rsidRPr="00EF66DB" w:rsidRDefault="00193E9D" w:rsidP="00E07AC1">
            <w:pPr>
              <w:widowControl w:val="0"/>
              <w:spacing w:after="0"/>
              <w:jc w:val="center"/>
              <w:rPr>
                <w:rFonts w:asciiTheme="minorHAnsi" w:eastAsia="Calibri" w:hAnsiTheme="minorHAnsi" w:cstheme="minorHAnsi"/>
                <w:sz w:val="22"/>
                <w:szCs w:val="22"/>
              </w:rPr>
            </w:pPr>
            <w:r w:rsidRPr="00EF66DB">
              <w:rPr>
                <w:rFonts w:asciiTheme="minorHAnsi" w:eastAsia="Calibri" w:hAnsiTheme="minorHAnsi" w:cstheme="minorHAnsi"/>
                <w:sz w:val="22"/>
                <w:szCs w:val="22"/>
              </w:rPr>
              <w:t xml:space="preserve">Domain 3: </w:t>
            </w:r>
            <w:r w:rsidRPr="00EF66DB">
              <w:rPr>
                <w:rFonts w:asciiTheme="minorHAnsi" w:eastAsia="Calibri" w:hAnsiTheme="minorHAnsi" w:cstheme="minorHAnsi"/>
                <w:sz w:val="22"/>
                <w:szCs w:val="22"/>
              </w:rPr>
              <w:br/>
              <w:t>Rigor</w:t>
            </w:r>
            <w:r w:rsidRPr="00EF66DB">
              <w:rPr>
                <w:rFonts w:asciiTheme="minorHAnsi" w:eastAsia="Calibri" w:hAnsiTheme="minorHAnsi" w:cstheme="minorHAnsi"/>
                <w:sz w:val="22"/>
                <w:szCs w:val="22"/>
              </w:rPr>
              <w:br/>
              <w:t xml:space="preserve"> of </w:t>
            </w:r>
            <w:r w:rsidRPr="00EF66DB">
              <w:rPr>
                <w:rFonts w:asciiTheme="minorHAnsi" w:eastAsia="Calibri" w:hAnsiTheme="minorHAnsi" w:cstheme="minorHAnsi"/>
                <w:sz w:val="22"/>
                <w:szCs w:val="22"/>
              </w:rPr>
              <w:br/>
              <w:t>Development</w:t>
            </w:r>
          </w:p>
        </w:tc>
        <w:tc>
          <w:tcPr>
            <w:tcW w:w="6105" w:type="dxa"/>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36B2F119" w14:textId="77777777" w:rsidR="00193E9D" w:rsidRPr="00EF66DB" w:rsidRDefault="00193E9D" w:rsidP="00E07AC1">
            <w:pPr>
              <w:widowControl w:val="0"/>
              <w:spacing w:after="0"/>
              <w:jc w:val="center"/>
              <w:rPr>
                <w:rFonts w:asciiTheme="minorHAnsi" w:eastAsia="Calibri" w:hAnsiTheme="minorHAnsi" w:cstheme="minorHAnsi"/>
                <w:sz w:val="22"/>
                <w:szCs w:val="22"/>
              </w:rPr>
            </w:pPr>
            <w:r w:rsidRPr="00EF66DB">
              <w:rPr>
                <w:rFonts w:asciiTheme="minorHAnsi" w:eastAsia="Calibri" w:hAnsiTheme="minorHAnsi" w:cstheme="minorHAnsi"/>
                <w:sz w:val="22"/>
                <w:szCs w:val="22"/>
              </w:rPr>
              <w:t>Relates to the process used to gather and synthesize evidence including grading and summarizing, as well as the methods to formulate recommendations and to update them</w:t>
            </w:r>
          </w:p>
          <w:p w14:paraId="09D82780" w14:textId="77777777" w:rsidR="00193E9D" w:rsidRPr="00EF66DB" w:rsidRDefault="00193E9D" w:rsidP="00E07AC1">
            <w:pPr>
              <w:widowControl w:val="0"/>
              <w:spacing w:after="0"/>
              <w:jc w:val="center"/>
              <w:rPr>
                <w:rFonts w:asciiTheme="minorHAnsi" w:eastAsia="Calibri" w:hAnsiTheme="minorHAnsi" w:cstheme="minorHAnsi"/>
                <w:sz w:val="22"/>
                <w:szCs w:val="22"/>
              </w:rPr>
            </w:pPr>
          </w:p>
        </w:tc>
        <w:tc>
          <w:tcPr>
            <w:tcW w:w="1695" w:type="dxa"/>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446FFDB1" w14:textId="77777777" w:rsidR="00193E9D" w:rsidRPr="00EF66DB" w:rsidRDefault="00193E9D" w:rsidP="00E07AC1">
            <w:pPr>
              <w:widowControl w:val="0"/>
              <w:spacing w:after="0"/>
              <w:jc w:val="center"/>
              <w:rPr>
                <w:rFonts w:asciiTheme="minorHAnsi" w:eastAsia="Calibri" w:hAnsiTheme="minorHAnsi" w:cstheme="minorHAnsi"/>
                <w:sz w:val="22"/>
                <w:szCs w:val="22"/>
              </w:rPr>
            </w:pPr>
            <w:r w:rsidRPr="00EF66DB">
              <w:rPr>
                <w:rFonts w:asciiTheme="minorHAnsi" w:eastAsia="Calibri" w:hAnsiTheme="minorHAnsi" w:cstheme="minorHAnsi"/>
                <w:sz w:val="22"/>
                <w:szCs w:val="22"/>
              </w:rPr>
              <w:t>72%</w:t>
            </w:r>
          </w:p>
        </w:tc>
      </w:tr>
      <w:tr w:rsidR="00193E9D" w:rsidRPr="00EF66DB" w14:paraId="1D0E3F9D" w14:textId="77777777" w:rsidTr="00E07AC1">
        <w:trPr>
          <w:trHeight w:val="940"/>
        </w:trPr>
        <w:tc>
          <w:tcPr>
            <w:tcW w:w="2205" w:type="dxa"/>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7BCCED77" w14:textId="77777777" w:rsidR="00193E9D" w:rsidRPr="00EF66DB" w:rsidRDefault="00193E9D" w:rsidP="00E07AC1">
            <w:pPr>
              <w:widowControl w:val="0"/>
              <w:spacing w:after="0"/>
              <w:jc w:val="center"/>
              <w:rPr>
                <w:rFonts w:asciiTheme="minorHAnsi" w:eastAsia="Calibri" w:hAnsiTheme="minorHAnsi" w:cstheme="minorHAnsi"/>
                <w:sz w:val="22"/>
                <w:szCs w:val="22"/>
              </w:rPr>
            </w:pPr>
            <w:r w:rsidRPr="00EF66DB">
              <w:rPr>
                <w:rFonts w:asciiTheme="minorHAnsi" w:eastAsia="Calibri" w:hAnsiTheme="minorHAnsi" w:cstheme="minorHAnsi"/>
                <w:sz w:val="22"/>
                <w:szCs w:val="22"/>
              </w:rPr>
              <w:t xml:space="preserve">Domain 4: </w:t>
            </w:r>
            <w:r w:rsidRPr="00EF66DB">
              <w:rPr>
                <w:rFonts w:asciiTheme="minorHAnsi" w:eastAsia="Calibri" w:hAnsiTheme="minorHAnsi" w:cstheme="minorHAnsi"/>
                <w:sz w:val="22"/>
                <w:szCs w:val="22"/>
              </w:rPr>
              <w:br/>
              <w:t xml:space="preserve">Clarity </w:t>
            </w:r>
            <w:r w:rsidRPr="00EF66DB">
              <w:rPr>
                <w:rFonts w:asciiTheme="minorHAnsi" w:eastAsia="Calibri" w:hAnsiTheme="minorHAnsi" w:cstheme="minorHAnsi"/>
                <w:sz w:val="22"/>
                <w:szCs w:val="22"/>
              </w:rPr>
              <w:br/>
              <w:t>Of</w:t>
            </w:r>
            <w:r w:rsidRPr="00EF66DB">
              <w:rPr>
                <w:rFonts w:asciiTheme="minorHAnsi" w:eastAsia="Calibri" w:hAnsiTheme="minorHAnsi" w:cstheme="minorHAnsi"/>
                <w:sz w:val="22"/>
                <w:szCs w:val="22"/>
              </w:rPr>
              <w:br/>
              <w:t>Presentation</w:t>
            </w:r>
            <w:r w:rsidRPr="00EF66DB">
              <w:rPr>
                <w:rFonts w:asciiTheme="minorHAnsi" w:eastAsia="Calibri" w:hAnsiTheme="minorHAnsi" w:cstheme="minorHAnsi"/>
                <w:sz w:val="22"/>
                <w:szCs w:val="22"/>
              </w:rPr>
              <w:br/>
            </w:r>
          </w:p>
        </w:tc>
        <w:tc>
          <w:tcPr>
            <w:tcW w:w="6105" w:type="dxa"/>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7FBEE31D" w14:textId="77777777" w:rsidR="00193E9D" w:rsidRPr="00EF66DB" w:rsidRDefault="00193E9D" w:rsidP="00E07AC1">
            <w:pPr>
              <w:widowControl w:val="0"/>
              <w:spacing w:after="0"/>
              <w:jc w:val="center"/>
              <w:rPr>
                <w:rFonts w:asciiTheme="minorHAnsi" w:eastAsia="Calibri" w:hAnsiTheme="minorHAnsi" w:cstheme="minorHAnsi"/>
                <w:sz w:val="22"/>
                <w:szCs w:val="22"/>
              </w:rPr>
            </w:pPr>
            <w:r w:rsidRPr="00EF66DB">
              <w:rPr>
                <w:rFonts w:asciiTheme="minorHAnsi" w:eastAsia="Calibri" w:hAnsiTheme="minorHAnsi" w:cstheme="minorHAnsi"/>
                <w:sz w:val="22"/>
                <w:szCs w:val="22"/>
              </w:rPr>
              <w:t>Evaluates the presentation and format of the guidelines including language, structure, and format</w:t>
            </w:r>
          </w:p>
        </w:tc>
        <w:tc>
          <w:tcPr>
            <w:tcW w:w="1695" w:type="dxa"/>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591BDD86" w14:textId="77777777" w:rsidR="00193E9D" w:rsidRPr="00EF66DB" w:rsidRDefault="00193E9D" w:rsidP="00E07AC1">
            <w:pPr>
              <w:widowControl w:val="0"/>
              <w:spacing w:after="0"/>
              <w:jc w:val="center"/>
              <w:rPr>
                <w:rFonts w:asciiTheme="minorHAnsi" w:eastAsia="Calibri" w:hAnsiTheme="minorHAnsi" w:cstheme="minorHAnsi"/>
                <w:sz w:val="22"/>
                <w:szCs w:val="22"/>
              </w:rPr>
            </w:pPr>
            <w:r w:rsidRPr="00EF66DB">
              <w:rPr>
                <w:rFonts w:asciiTheme="minorHAnsi" w:eastAsia="Calibri" w:hAnsiTheme="minorHAnsi" w:cstheme="minorHAnsi"/>
                <w:sz w:val="22"/>
                <w:szCs w:val="22"/>
              </w:rPr>
              <w:t>90%</w:t>
            </w:r>
          </w:p>
        </w:tc>
      </w:tr>
      <w:tr w:rsidR="00193E9D" w:rsidRPr="00EF66DB" w14:paraId="08410123" w14:textId="77777777" w:rsidTr="00E07AC1">
        <w:trPr>
          <w:trHeight w:val="1080"/>
        </w:trPr>
        <w:tc>
          <w:tcPr>
            <w:tcW w:w="2205" w:type="dxa"/>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46AB2D05" w14:textId="77777777" w:rsidR="00193E9D" w:rsidRPr="00EF66DB" w:rsidRDefault="00193E9D" w:rsidP="00E07AC1">
            <w:pPr>
              <w:widowControl w:val="0"/>
              <w:spacing w:after="0"/>
              <w:jc w:val="center"/>
              <w:rPr>
                <w:rFonts w:asciiTheme="minorHAnsi" w:eastAsia="Calibri" w:hAnsiTheme="minorHAnsi" w:cstheme="minorHAnsi"/>
                <w:sz w:val="22"/>
                <w:szCs w:val="22"/>
              </w:rPr>
            </w:pPr>
            <w:r w:rsidRPr="00EF66DB">
              <w:rPr>
                <w:rFonts w:asciiTheme="minorHAnsi" w:eastAsia="Calibri" w:hAnsiTheme="minorHAnsi" w:cstheme="minorHAnsi"/>
                <w:sz w:val="22"/>
                <w:szCs w:val="22"/>
              </w:rPr>
              <w:t xml:space="preserve">Domain 5: </w:t>
            </w:r>
            <w:r w:rsidRPr="00EF66DB">
              <w:rPr>
                <w:rFonts w:asciiTheme="minorHAnsi" w:eastAsia="Calibri" w:hAnsiTheme="minorHAnsi" w:cstheme="minorHAnsi"/>
                <w:sz w:val="22"/>
                <w:szCs w:val="22"/>
              </w:rPr>
              <w:br/>
              <w:t>Applicability</w:t>
            </w:r>
            <w:r w:rsidRPr="00EF66DB">
              <w:rPr>
                <w:rFonts w:asciiTheme="minorHAnsi" w:eastAsia="Calibri" w:hAnsiTheme="minorHAnsi" w:cstheme="minorHAnsi"/>
                <w:sz w:val="22"/>
                <w:szCs w:val="22"/>
              </w:rPr>
              <w:br/>
            </w:r>
          </w:p>
        </w:tc>
        <w:tc>
          <w:tcPr>
            <w:tcW w:w="6105" w:type="dxa"/>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2FEB017E" w14:textId="77777777" w:rsidR="00193E9D" w:rsidRPr="00EF66DB" w:rsidRDefault="00193E9D" w:rsidP="00E07AC1">
            <w:pPr>
              <w:widowControl w:val="0"/>
              <w:spacing w:after="0"/>
              <w:jc w:val="center"/>
              <w:rPr>
                <w:rFonts w:asciiTheme="minorHAnsi" w:eastAsia="Calibri" w:hAnsiTheme="minorHAnsi" w:cstheme="minorHAnsi"/>
                <w:sz w:val="22"/>
                <w:szCs w:val="22"/>
              </w:rPr>
            </w:pPr>
            <w:r w:rsidRPr="00EF66DB">
              <w:rPr>
                <w:rFonts w:asciiTheme="minorHAnsi" w:eastAsia="Calibri" w:hAnsiTheme="minorHAnsi" w:cstheme="minorHAnsi"/>
                <w:sz w:val="22"/>
                <w:szCs w:val="22"/>
              </w:rPr>
              <w:t xml:space="preserve">Evaluates the consideration of likely facilitators or barriers to implementation, strategies to address them, </w:t>
            </w:r>
            <w:r w:rsidRPr="00EF66DB">
              <w:rPr>
                <w:rFonts w:asciiTheme="minorHAnsi" w:eastAsia="Calibri" w:hAnsiTheme="minorHAnsi" w:cstheme="minorHAnsi"/>
                <w:sz w:val="22"/>
                <w:szCs w:val="22"/>
              </w:rPr>
              <w:br/>
              <w:t>and resources needed to apply the guidelines</w:t>
            </w:r>
          </w:p>
        </w:tc>
        <w:tc>
          <w:tcPr>
            <w:tcW w:w="1695" w:type="dxa"/>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65A50F18" w14:textId="77777777" w:rsidR="00193E9D" w:rsidRPr="00EF66DB" w:rsidRDefault="00193E9D" w:rsidP="00E07AC1">
            <w:pPr>
              <w:widowControl w:val="0"/>
              <w:spacing w:after="0"/>
              <w:jc w:val="center"/>
              <w:rPr>
                <w:rFonts w:asciiTheme="minorHAnsi" w:eastAsia="Calibri" w:hAnsiTheme="minorHAnsi" w:cstheme="minorHAnsi"/>
                <w:sz w:val="22"/>
                <w:szCs w:val="22"/>
              </w:rPr>
            </w:pPr>
            <w:r w:rsidRPr="00EF66DB">
              <w:rPr>
                <w:rFonts w:asciiTheme="minorHAnsi" w:eastAsia="Calibri" w:hAnsiTheme="minorHAnsi" w:cstheme="minorHAnsi"/>
                <w:sz w:val="22"/>
                <w:szCs w:val="22"/>
              </w:rPr>
              <w:t>65%</w:t>
            </w:r>
          </w:p>
        </w:tc>
      </w:tr>
      <w:tr w:rsidR="00193E9D" w:rsidRPr="00EF66DB" w14:paraId="6241D93C" w14:textId="77777777" w:rsidTr="00E07AC1">
        <w:trPr>
          <w:trHeight w:val="1100"/>
        </w:trPr>
        <w:tc>
          <w:tcPr>
            <w:tcW w:w="2205" w:type="dxa"/>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40D54108" w14:textId="77777777" w:rsidR="00193E9D" w:rsidRPr="00EF66DB" w:rsidRDefault="00193E9D" w:rsidP="00E07AC1">
            <w:pPr>
              <w:widowControl w:val="0"/>
              <w:spacing w:after="0"/>
              <w:jc w:val="center"/>
              <w:rPr>
                <w:rFonts w:asciiTheme="minorHAnsi" w:eastAsia="Calibri" w:hAnsiTheme="minorHAnsi" w:cstheme="minorHAnsi"/>
                <w:sz w:val="22"/>
                <w:szCs w:val="22"/>
              </w:rPr>
            </w:pPr>
            <w:r w:rsidRPr="00EF66DB">
              <w:rPr>
                <w:rFonts w:asciiTheme="minorHAnsi" w:eastAsia="Calibri" w:hAnsiTheme="minorHAnsi" w:cstheme="minorHAnsi"/>
                <w:sz w:val="22"/>
                <w:szCs w:val="22"/>
              </w:rPr>
              <w:lastRenderedPageBreak/>
              <w:t xml:space="preserve">Domain 6: </w:t>
            </w:r>
            <w:r w:rsidRPr="00EF66DB">
              <w:rPr>
                <w:rFonts w:asciiTheme="minorHAnsi" w:eastAsia="Calibri" w:hAnsiTheme="minorHAnsi" w:cstheme="minorHAnsi"/>
                <w:sz w:val="22"/>
                <w:szCs w:val="22"/>
              </w:rPr>
              <w:br/>
              <w:t xml:space="preserve">Editorial </w:t>
            </w:r>
            <w:r w:rsidRPr="00EF66DB">
              <w:rPr>
                <w:rFonts w:asciiTheme="minorHAnsi" w:eastAsia="Calibri" w:hAnsiTheme="minorHAnsi" w:cstheme="minorHAnsi"/>
                <w:sz w:val="22"/>
                <w:szCs w:val="22"/>
              </w:rPr>
              <w:br/>
              <w:t>Independence</w:t>
            </w:r>
          </w:p>
        </w:tc>
        <w:tc>
          <w:tcPr>
            <w:tcW w:w="6105" w:type="dxa"/>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502C94EA" w14:textId="77777777" w:rsidR="00193E9D" w:rsidRPr="00EF66DB" w:rsidRDefault="00193E9D" w:rsidP="00E07AC1">
            <w:pPr>
              <w:widowControl w:val="0"/>
              <w:spacing w:after="0"/>
              <w:jc w:val="center"/>
              <w:rPr>
                <w:rFonts w:asciiTheme="minorHAnsi" w:eastAsia="Calibri" w:hAnsiTheme="minorHAnsi" w:cstheme="minorHAnsi"/>
                <w:sz w:val="22"/>
                <w:szCs w:val="22"/>
              </w:rPr>
            </w:pPr>
            <w:r w:rsidRPr="00EF66DB">
              <w:rPr>
                <w:rFonts w:asciiTheme="minorHAnsi" w:eastAsia="Calibri" w:hAnsiTheme="minorHAnsi" w:cstheme="minorHAnsi"/>
                <w:sz w:val="22"/>
                <w:szCs w:val="22"/>
              </w:rPr>
              <w:t xml:space="preserve">Is concerned with the guidelines being formulated </w:t>
            </w:r>
            <w:r w:rsidRPr="00EF66DB">
              <w:rPr>
                <w:rFonts w:asciiTheme="minorHAnsi" w:eastAsia="Calibri" w:hAnsiTheme="minorHAnsi" w:cstheme="minorHAnsi"/>
                <w:sz w:val="22"/>
                <w:szCs w:val="22"/>
              </w:rPr>
              <w:br/>
              <w:t>without competing interests</w:t>
            </w:r>
          </w:p>
        </w:tc>
        <w:tc>
          <w:tcPr>
            <w:tcW w:w="1695" w:type="dxa"/>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5959BA03" w14:textId="77777777" w:rsidR="00193E9D" w:rsidRPr="00EF66DB" w:rsidRDefault="00193E9D" w:rsidP="00E07AC1">
            <w:pPr>
              <w:widowControl w:val="0"/>
              <w:spacing w:after="0"/>
              <w:jc w:val="center"/>
              <w:rPr>
                <w:rFonts w:asciiTheme="minorHAnsi" w:eastAsia="Calibri" w:hAnsiTheme="minorHAnsi" w:cstheme="minorHAnsi"/>
                <w:sz w:val="22"/>
                <w:szCs w:val="22"/>
              </w:rPr>
            </w:pPr>
            <w:r w:rsidRPr="00EF66DB">
              <w:rPr>
                <w:rFonts w:asciiTheme="minorHAnsi" w:eastAsia="Calibri" w:hAnsiTheme="minorHAnsi" w:cstheme="minorHAnsi"/>
                <w:sz w:val="22"/>
                <w:szCs w:val="22"/>
              </w:rPr>
              <w:t>85%</w:t>
            </w:r>
          </w:p>
        </w:tc>
      </w:tr>
      <w:tr w:rsidR="00193E9D" w:rsidRPr="00EF66DB" w14:paraId="38E021C0" w14:textId="77777777" w:rsidTr="00E07AC1">
        <w:trPr>
          <w:trHeight w:val="900"/>
        </w:trPr>
        <w:tc>
          <w:tcPr>
            <w:tcW w:w="2205" w:type="dxa"/>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1337ABF7" w14:textId="77777777" w:rsidR="00193E9D" w:rsidRPr="00EF66DB" w:rsidRDefault="00193E9D" w:rsidP="00E07AC1">
            <w:pPr>
              <w:widowControl w:val="0"/>
              <w:spacing w:after="0"/>
              <w:jc w:val="center"/>
              <w:rPr>
                <w:rFonts w:asciiTheme="minorHAnsi" w:eastAsia="Calibri" w:hAnsiTheme="minorHAnsi" w:cstheme="minorHAnsi"/>
                <w:sz w:val="22"/>
                <w:szCs w:val="22"/>
              </w:rPr>
            </w:pPr>
            <w:r w:rsidRPr="00EF66DB">
              <w:rPr>
                <w:rFonts w:asciiTheme="minorHAnsi" w:eastAsia="Calibri" w:hAnsiTheme="minorHAnsi" w:cstheme="minorHAnsi"/>
                <w:sz w:val="22"/>
                <w:szCs w:val="22"/>
              </w:rPr>
              <w:t xml:space="preserve">Overall </w:t>
            </w:r>
            <w:r w:rsidRPr="00EF66DB">
              <w:rPr>
                <w:rFonts w:asciiTheme="minorHAnsi" w:eastAsia="Calibri" w:hAnsiTheme="minorHAnsi" w:cstheme="minorHAnsi"/>
                <w:sz w:val="22"/>
                <w:szCs w:val="22"/>
              </w:rPr>
              <w:br/>
              <w:t>Assessment</w:t>
            </w:r>
          </w:p>
        </w:tc>
        <w:tc>
          <w:tcPr>
            <w:tcW w:w="6105" w:type="dxa"/>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59CCDC0D" w14:textId="77777777" w:rsidR="00193E9D" w:rsidRPr="00EF66DB" w:rsidRDefault="00193E9D" w:rsidP="00E07AC1">
            <w:pPr>
              <w:widowControl w:val="0"/>
              <w:spacing w:after="0"/>
              <w:jc w:val="center"/>
              <w:rPr>
                <w:rFonts w:asciiTheme="minorHAnsi" w:eastAsia="Calibri" w:hAnsiTheme="minorHAnsi" w:cstheme="minorHAnsi"/>
                <w:sz w:val="22"/>
                <w:szCs w:val="22"/>
              </w:rPr>
            </w:pPr>
          </w:p>
          <w:p w14:paraId="2322B6D7" w14:textId="77777777" w:rsidR="00193E9D" w:rsidRPr="00EF66DB" w:rsidRDefault="00193E9D" w:rsidP="00E07AC1">
            <w:pPr>
              <w:widowControl w:val="0"/>
              <w:spacing w:after="0"/>
              <w:jc w:val="center"/>
              <w:rPr>
                <w:rFonts w:asciiTheme="minorHAnsi" w:eastAsia="Calibri" w:hAnsiTheme="minorHAnsi" w:cstheme="minorHAnsi"/>
                <w:sz w:val="22"/>
                <w:szCs w:val="22"/>
              </w:rPr>
            </w:pPr>
            <w:r w:rsidRPr="00EF66DB">
              <w:rPr>
                <w:rFonts w:asciiTheme="minorHAnsi" w:eastAsia="Calibri" w:hAnsiTheme="minorHAnsi" w:cstheme="minorHAnsi"/>
                <w:sz w:val="22"/>
                <w:szCs w:val="22"/>
              </w:rPr>
              <w:t>Rating of the overall quality of the guideline and whether the guideline would be recommended for use in practice</w:t>
            </w:r>
          </w:p>
          <w:p w14:paraId="05CD20F6" w14:textId="77777777" w:rsidR="00193E9D" w:rsidRPr="00EF66DB" w:rsidRDefault="00193E9D" w:rsidP="00E07AC1">
            <w:pPr>
              <w:widowControl w:val="0"/>
              <w:spacing w:after="0"/>
              <w:jc w:val="center"/>
              <w:rPr>
                <w:rFonts w:asciiTheme="minorHAnsi" w:eastAsia="Calibri" w:hAnsiTheme="minorHAnsi" w:cstheme="minorHAnsi"/>
                <w:sz w:val="22"/>
                <w:szCs w:val="22"/>
              </w:rPr>
            </w:pPr>
          </w:p>
        </w:tc>
        <w:tc>
          <w:tcPr>
            <w:tcW w:w="1695" w:type="dxa"/>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29764274" w14:textId="77777777" w:rsidR="00193E9D" w:rsidRPr="00EF66DB" w:rsidRDefault="00193E9D" w:rsidP="00E07AC1">
            <w:pPr>
              <w:widowControl w:val="0"/>
              <w:spacing w:after="0"/>
              <w:jc w:val="center"/>
              <w:rPr>
                <w:rFonts w:asciiTheme="minorHAnsi" w:eastAsia="Calibri" w:hAnsiTheme="minorHAnsi" w:cstheme="minorHAnsi"/>
                <w:sz w:val="22"/>
                <w:szCs w:val="22"/>
              </w:rPr>
            </w:pPr>
            <w:r w:rsidRPr="00EF66DB">
              <w:rPr>
                <w:rFonts w:asciiTheme="minorHAnsi" w:eastAsia="Calibri" w:hAnsiTheme="minorHAnsi" w:cstheme="minorHAnsi"/>
                <w:sz w:val="22"/>
                <w:szCs w:val="22"/>
              </w:rPr>
              <w:t>75%</w:t>
            </w:r>
          </w:p>
        </w:tc>
      </w:tr>
      <w:tr w:rsidR="00193E9D" w:rsidRPr="00EF66DB" w14:paraId="0C5537FE" w14:textId="77777777" w:rsidTr="00E07AC1">
        <w:trPr>
          <w:trHeight w:val="315"/>
        </w:trPr>
        <w:tc>
          <w:tcPr>
            <w:tcW w:w="2205" w:type="dxa"/>
            <w:vMerge w:val="restart"/>
            <w:tcBorders>
              <w:top w:val="single" w:sz="8" w:space="0" w:color="CCCCCC"/>
              <w:left w:val="single" w:sz="8" w:space="0" w:color="CCCCCC"/>
              <w:right w:val="single" w:sz="8" w:space="0" w:color="CCCCCC"/>
            </w:tcBorders>
            <w:shd w:val="clear" w:color="auto" w:fill="FFFFFF"/>
            <w:tcMar>
              <w:top w:w="40" w:type="dxa"/>
              <w:left w:w="40" w:type="dxa"/>
              <w:bottom w:w="40" w:type="dxa"/>
              <w:right w:w="40" w:type="dxa"/>
            </w:tcMar>
            <w:vAlign w:val="center"/>
          </w:tcPr>
          <w:p w14:paraId="097B92C7" w14:textId="77777777" w:rsidR="00193E9D" w:rsidRPr="00EF66DB" w:rsidRDefault="00193E9D" w:rsidP="00E07AC1">
            <w:pPr>
              <w:widowControl w:val="0"/>
              <w:spacing w:after="0"/>
              <w:jc w:val="center"/>
              <w:rPr>
                <w:rFonts w:asciiTheme="minorHAnsi" w:eastAsia="Calibri" w:hAnsiTheme="minorHAnsi" w:cstheme="minorHAnsi"/>
                <w:sz w:val="22"/>
                <w:szCs w:val="22"/>
              </w:rPr>
            </w:pPr>
            <w:r w:rsidRPr="00EF66DB">
              <w:rPr>
                <w:rFonts w:asciiTheme="minorHAnsi" w:eastAsia="Calibri" w:hAnsiTheme="minorHAnsi" w:cstheme="minorHAnsi"/>
                <w:sz w:val="22"/>
                <w:szCs w:val="22"/>
              </w:rPr>
              <w:t xml:space="preserve">Approve </w:t>
            </w:r>
          </w:p>
        </w:tc>
        <w:tc>
          <w:tcPr>
            <w:tcW w:w="6105" w:type="dxa"/>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64BA8F78" w14:textId="77777777" w:rsidR="00193E9D" w:rsidRPr="00EF66DB" w:rsidRDefault="00193E9D" w:rsidP="00E07AC1">
            <w:pPr>
              <w:widowControl w:val="0"/>
              <w:spacing w:after="0"/>
              <w:jc w:val="center"/>
              <w:rPr>
                <w:rFonts w:asciiTheme="minorHAnsi" w:eastAsia="Calibri" w:hAnsiTheme="minorHAnsi" w:cstheme="minorHAnsi"/>
                <w:sz w:val="22"/>
                <w:szCs w:val="22"/>
              </w:rPr>
            </w:pPr>
            <w:r w:rsidRPr="00EF66DB">
              <w:rPr>
                <w:rFonts w:asciiTheme="minorHAnsi" w:eastAsia="Calibri" w:hAnsiTheme="minorHAnsi" w:cstheme="minorHAnsi"/>
                <w:sz w:val="22"/>
                <w:szCs w:val="22"/>
              </w:rPr>
              <w:t>Without modifications</w:t>
            </w:r>
          </w:p>
        </w:tc>
        <w:tc>
          <w:tcPr>
            <w:tcW w:w="1695" w:type="dxa"/>
            <w:tcBorders>
              <w:top w:val="single" w:sz="8" w:space="0" w:color="CCCCCC"/>
              <w:left w:val="single" w:sz="8" w:space="0" w:color="CCCCCC"/>
              <w:right w:val="single" w:sz="8" w:space="0" w:color="CCCCCC"/>
            </w:tcBorders>
            <w:shd w:val="clear" w:color="auto" w:fill="FFFFFF"/>
            <w:tcMar>
              <w:top w:w="40" w:type="dxa"/>
              <w:left w:w="40" w:type="dxa"/>
              <w:bottom w:w="40" w:type="dxa"/>
              <w:right w:w="40" w:type="dxa"/>
            </w:tcMar>
            <w:vAlign w:val="center"/>
          </w:tcPr>
          <w:p w14:paraId="641ECAC1" w14:textId="77777777" w:rsidR="00193E9D" w:rsidRPr="00EF66DB" w:rsidRDefault="00193E9D" w:rsidP="00E07AC1">
            <w:pPr>
              <w:widowControl w:val="0"/>
              <w:spacing w:after="0"/>
              <w:jc w:val="center"/>
              <w:rPr>
                <w:rFonts w:asciiTheme="minorHAnsi" w:eastAsia="Calibri" w:hAnsiTheme="minorHAnsi" w:cstheme="minorHAnsi"/>
                <w:sz w:val="22"/>
                <w:szCs w:val="22"/>
              </w:rPr>
            </w:pPr>
            <w:r w:rsidRPr="00EF66DB">
              <w:rPr>
                <w:rFonts w:asciiTheme="minorHAnsi" w:eastAsia="Calibri" w:hAnsiTheme="minorHAnsi" w:cstheme="minorHAnsi"/>
                <w:sz w:val="22"/>
                <w:szCs w:val="22"/>
              </w:rPr>
              <w:t>57%</w:t>
            </w:r>
          </w:p>
        </w:tc>
      </w:tr>
      <w:tr w:rsidR="00193E9D" w:rsidRPr="00EF66DB" w14:paraId="57E121DD" w14:textId="77777777" w:rsidTr="00E07AC1">
        <w:trPr>
          <w:trHeight w:val="315"/>
        </w:trPr>
        <w:tc>
          <w:tcPr>
            <w:tcW w:w="2205" w:type="dxa"/>
            <w:vMerge/>
            <w:tcBorders>
              <w:left w:val="single" w:sz="8" w:space="0" w:color="CCCCCC"/>
              <w:right w:val="single" w:sz="8" w:space="0" w:color="CCCCCC"/>
            </w:tcBorders>
            <w:shd w:val="clear" w:color="auto" w:fill="FFFFFF"/>
            <w:tcMar>
              <w:top w:w="40" w:type="dxa"/>
              <w:left w:w="40" w:type="dxa"/>
              <w:bottom w:w="40" w:type="dxa"/>
              <w:right w:w="40" w:type="dxa"/>
            </w:tcMar>
            <w:vAlign w:val="center"/>
          </w:tcPr>
          <w:p w14:paraId="3C51B1A3" w14:textId="77777777" w:rsidR="00193E9D" w:rsidRPr="00EF66DB" w:rsidRDefault="00193E9D" w:rsidP="00E07AC1">
            <w:pPr>
              <w:widowControl w:val="0"/>
              <w:spacing w:after="0"/>
              <w:jc w:val="center"/>
              <w:rPr>
                <w:rFonts w:asciiTheme="minorHAnsi" w:eastAsia="Calibri" w:hAnsiTheme="minorHAnsi" w:cstheme="minorHAnsi"/>
                <w:sz w:val="22"/>
                <w:szCs w:val="22"/>
              </w:rPr>
            </w:pPr>
          </w:p>
        </w:tc>
        <w:tc>
          <w:tcPr>
            <w:tcW w:w="6105" w:type="dxa"/>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2518940E" w14:textId="77777777" w:rsidR="00193E9D" w:rsidRPr="00EF66DB" w:rsidRDefault="00193E9D" w:rsidP="00E07AC1">
            <w:pPr>
              <w:widowControl w:val="0"/>
              <w:spacing w:after="0"/>
              <w:jc w:val="center"/>
              <w:rPr>
                <w:rFonts w:asciiTheme="minorHAnsi" w:eastAsia="Calibri" w:hAnsiTheme="minorHAnsi" w:cstheme="minorHAnsi"/>
                <w:sz w:val="22"/>
                <w:szCs w:val="22"/>
              </w:rPr>
            </w:pPr>
            <w:r w:rsidRPr="00EF66DB">
              <w:rPr>
                <w:rFonts w:asciiTheme="minorHAnsi" w:eastAsia="Calibri" w:hAnsiTheme="minorHAnsi" w:cstheme="minorHAnsi"/>
                <w:sz w:val="22"/>
                <w:szCs w:val="22"/>
              </w:rPr>
              <w:t>With modifications</w:t>
            </w:r>
          </w:p>
        </w:tc>
        <w:tc>
          <w:tcPr>
            <w:tcW w:w="1695" w:type="dxa"/>
            <w:tcBorders>
              <w:left w:val="single" w:sz="8" w:space="0" w:color="CCCCCC"/>
              <w:right w:val="single" w:sz="8" w:space="0" w:color="CCCCCC"/>
            </w:tcBorders>
            <w:shd w:val="clear" w:color="auto" w:fill="FFFFFF"/>
            <w:tcMar>
              <w:top w:w="40" w:type="dxa"/>
              <w:left w:w="40" w:type="dxa"/>
              <w:bottom w:w="40" w:type="dxa"/>
              <w:right w:w="40" w:type="dxa"/>
            </w:tcMar>
            <w:vAlign w:val="center"/>
          </w:tcPr>
          <w:p w14:paraId="3AF4AEC2" w14:textId="77777777" w:rsidR="00193E9D" w:rsidRPr="00EF66DB" w:rsidRDefault="00193E9D" w:rsidP="00E07AC1">
            <w:pPr>
              <w:widowControl w:val="0"/>
              <w:spacing w:after="0"/>
              <w:jc w:val="center"/>
              <w:rPr>
                <w:rFonts w:asciiTheme="minorHAnsi" w:eastAsia="Calibri" w:hAnsiTheme="minorHAnsi" w:cstheme="minorHAnsi"/>
                <w:sz w:val="22"/>
                <w:szCs w:val="22"/>
              </w:rPr>
            </w:pPr>
            <w:r w:rsidRPr="00EF66DB">
              <w:rPr>
                <w:rFonts w:asciiTheme="minorHAnsi" w:eastAsia="Calibri" w:hAnsiTheme="minorHAnsi" w:cstheme="minorHAnsi"/>
                <w:sz w:val="22"/>
                <w:szCs w:val="22"/>
              </w:rPr>
              <w:t>43%</w:t>
            </w:r>
          </w:p>
        </w:tc>
      </w:tr>
      <w:tr w:rsidR="00193E9D" w:rsidRPr="00EF66DB" w14:paraId="56CDBD7B" w14:textId="77777777" w:rsidTr="00E07AC1">
        <w:trPr>
          <w:trHeight w:val="315"/>
        </w:trPr>
        <w:tc>
          <w:tcPr>
            <w:tcW w:w="2205" w:type="dxa"/>
            <w:vMerge/>
            <w:tcBorders>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72DD0FDF" w14:textId="77777777" w:rsidR="00193E9D" w:rsidRPr="00EF66DB" w:rsidRDefault="00193E9D" w:rsidP="00E07AC1">
            <w:pPr>
              <w:widowControl w:val="0"/>
              <w:spacing w:after="0"/>
              <w:jc w:val="center"/>
              <w:rPr>
                <w:rFonts w:asciiTheme="minorHAnsi" w:eastAsia="Calibri" w:hAnsiTheme="minorHAnsi" w:cstheme="minorHAnsi"/>
                <w:sz w:val="22"/>
                <w:szCs w:val="22"/>
              </w:rPr>
            </w:pPr>
          </w:p>
        </w:tc>
        <w:tc>
          <w:tcPr>
            <w:tcW w:w="6105" w:type="dxa"/>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25B6D021" w14:textId="77777777" w:rsidR="00193E9D" w:rsidRPr="00EF66DB" w:rsidRDefault="00193E9D" w:rsidP="00E07AC1">
            <w:pPr>
              <w:widowControl w:val="0"/>
              <w:spacing w:after="0"/>
              <w:jc w:val="center"/>
              <w:rPr>
                <w:rFonts w:asciiTheme="minorHAnsi" w:eastAsia="Calibri" w:hAnsiTheme="minorHAnsi" w:cstheme="minorHAnsi"/>
                <w:sz w:val="22"/>
                <w:szCs w:val="22"/>
              </w:rPr>
            </w:pPr>
            <w:r w:rsidRPr="00EF66DB">
              <w:rPr>
                <w:rFonts w:asciiTheme="minorHAnsi" w:eastAsia="Calibri" w:hAnsiTheme="minorHAnsi" w:cstheme="minorHAnsi"/>
                <w:sz w:val="22"/>
                <w:szCs w:val="22"/>
              </w:rPr>
              <w:t>Total</w:t>
            </w:r>
          </w:p>
        </w:tc>
        <w:tc>
          <w:tcPr>
            <w:tcW w:w="1695" w:type="dxa"/>
            <w:tcBorders>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715B4E0A" w14:textId="77777777" w:rsidR="00193E9D" w:rsidRPr="00EF66DB" w:rsidRDefault="00193E9D" w:rsidP="00E07AC1">
            <w:pPr>
              <w:widowControl w:val="0"/>
              <w:spacing w:after="0"/>
              <w:jc w:val="center"/>
              <w:rPr>
                <w:rFonts w:asciiTheme="minorHAnsi" w:eastAsia="Calibri" w:hAnsiTheme="minorHAnsi" w:cstheme="minorHAnsi"/>
                <w:sz w:val="22"/>
                <w:szCs w:val="22"/>
              </w:rPr>
            </w:pPr>
            <w:r w:rsidRPr="00EF66DB">
              <w:rPr>
                <w:rFonts w:asciiTheme="minorHAnsi" w:eastAsia="Calibri" w:hAnsiTheme="minorHAnsi" w:cstheme="minorHAnsi"/>
                <w:sz w:val="22"/>
                <w:szCs w:val="22"/>
              </w:rPr>
              <w:t>100%</w:t>
            </w:r>
          </w:p>
        </w:tc>
      </w:tr>
    </w:tbl>
    <w:p w14:paraId="2DEB0E99" w14:textId="77777777" w:rsidR="00193E9D" w:rsidRPr="00EF66DB" w:rsidRDefault="00193E9D" w:rsidP="00193E9D">
      <w:pPr>
        <w:spacing w:after="0"/>
        <w:rPr>
          <w:rFonts w:asciiTheme="minorHAnsi" w:eastAsia="Calibri" w:hAnsiTheme="minorHAnsi" w:cstheme="minorHAnsi"/>
          <w:sz w:val="22"/>
          <w:szCs w:val="22"/>
        </w:rPr>
      </w:pPr>
    </w:p>
    <w:p w14:paraId="2D9BC12D" w14:textId="33F91E23" w:rsidR="00EF66DB" w:rsidRDefault="00EF66DB">
      <w:pPr>
        <w:spacing w:after="0" w:line="240" w:lineRule="auto"/>
        <w:rPr>
          <w:rFonts w:asciiTheme="minorHAnsi" w:hAnsiTheme="minorHAnsi" w:cstheme="minorHAnsi"/>
        </w:rPr>
      </w:pPr>
      <w:r>
        <w:rPr>
          <w:rFonts w:asciiTheme="minorHAnsi" w:hAnsiTheme="minorHAnsi" w:cstheme="minorHAnsi"/>
        </w:rPr>
        <w:br w:type="page"/>
      </w:r>
    </w:p>
    <w:p w14:paraId="5433F302" w14:textId="3BFFDED6" w:rsidR="007E63F7" w:rsidRPr="00EF66DB" w:rsidRDefault="00EF66DB" w:rsidP="007E63F7">
      <w:pPr>
        <w:pBdr>
          <w:top w:val="nil"/>
          <w:left w:val="nil"/>
          <w:bottom w:val="nil"/>
          <w:right w:val="nil"/>
          <w:between w:val="nil"/>
        </w:pBdr>
        <w:spacing w:after="0"/>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lastRenderedPageBreak/>
        <w:t>File 3</w:t>
      </w:r>
      <w:r w:rsidR="007E63F7" w:rsidRPr="00EF66DB">
        <w:rPr>
          <w:rFonts w:asciiTheme="minorHAnsi" w:eastAsia="Calibri" w:hAnsiTheme="minorHAnsi" w:cstheme="minorHAnsi"/>
          <w:color w:val="000000"/>
          <w:sz w:val="22"/>
          <w:szCs w:val="22"/>
        </w:rPr>
        <w:t>: MeSH search terms</w:t>
      </w:r>
    </w:p>
    <w:p w14:paraId="67FE682B" w14:textId="7C961D76" w:rsidR="007E63F7" w:rsidRDefault="007E63F7" w:rsidP="007E63F7">
      <w:pPr>
        <w:pBdr>
          <w:top w:val="nil"/>
          <w:left w:val="nil"/>
          <w:bottom w:val="nil"/>
          <w:right w:val="nil"/>
          <w:between w:val="nil"/>
        </w:pBdr>
        <w:spacing w:after="0"/>
        <w:rPr>
          <w:rFonts w:asciiTheme="minorHAnsi" w:eastAsia="Calibri" w:hAnsiTheme="minorHAnsi" w:cstheme="minorHAnsi"/>
          <w:color w:val="000000"/>
          <w:sz w:val="22"/>
          <w:szCs w:val="22"/>
        </w:rPr>
      </w:pPr>
      <w:r w:rsidRPr="00EF66DB">
        <w:rPr>
          <w:rFonts w:asciiTheme="minorHAnsi" w:eastAsia="Calibri" w:hAnsiTheme="minorHAnsi" w:cstheme="minorHAnsi"/>
          <w:color w:val="000000"/>
          <w:sz w:val="22"/>
          <w:szCs w:val="22"/>
        </w:rPr>
        <w:t>ACLS, ACLS drugs, Advanced life support in pregnancy or ACLS guidelines, amniotic fluid embolism, AFE, airway/management, amniotic fluid embolism, anaphylactoid embolism, anaphylactoid reaction, anesthesia in obstetrics, aortocaval compression, aspiration risk in pregnancy/cardiac arrest, automated external defibrillator, best practices cardiac arrest, cardiac arrest, cardiac death, cardiac disease, cardiopulmonary arrest (CPR), cardiovascular changes, cardiovascular drugs, chest compressions, compressions, CPR and large breasts, CPR and obesity, CPR pregnancy guidelines, critical care in pregnancy/obstetrics, defibrillation, e-health, e-learning, extracorporeal membrane oxygenation (ECMO), etiologies of cardiac arrest in pregnancy, heart attack, hypertensive emergency in pregnancy, IV access in pregnancy/obstetrics, left uterine displacement, manikin, mannequin, myocardial infarction, out of hospital cardiac arrest in pregnancy, perimortem cesarean section, physiologic changes in cardiac arrest in pregnancy, physiologic changes of pregnancy, post- ROSC treatment in pregnancy/postpartum, post-arrest, post-ROSC outcomes in pregnancy/postpartum, postmortem cesarean, pre-arrest, racial disparities in cardiac arrest: clinical implications, pulmonary embolism in pregnancy, rapid sequence intubation, rescue breaths, resuscitation, resuscitative hysterotomy, sepsis in pregnancy, simulation (low and high fidelity), and stroke in pregnancy and virtual reality.</w:t>
      </w:r>
    </w:p>
    <w:p w14:paraId="25F52F28" w14:textId="4A1ECB9A" w:rsidR="00EF66DB" w:rsidRDefault="00EF66DB">
      <w:pPr>
        <w:spacing w:after="0" w:line="240"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br w:type="page"/>
      </w:r>
    </w:p>
    <w:p w14:paraId="62148059" w14:textId="77777777" w:rsidR="00EF66DB" w:rsidRPr="00EF66DB" w:rsidRDefault="00EF66DB" w:rsidP="00EF66DB">
      <w:pPr>
        <w:pBdr>
          <w:top w:val="nil"/>
          <w:left w:val="nil"/>
          <w:bottom w:val="nil"/>
          <w:right w:val="nil"/>
          <w:between w:val="nil"/>
        </w:pBdr>
        <w:spacing w:after="0"/>
        <w:rPr>
          <w:rFonts w:asciiTheme="minorHAnsi" w:eastAsia="Calibri" w:hAnsiTheme="minorHAnsi" w:cstheme="minorHAnsi"/>
          <w:color w:val="000000"/>
          <w:sz w:val="22"/>
          <w:szCs w:val="22"/>
        </w:rPr>
      </w:pPr>
      <w:r w:rsidRPr="00EF66DB">
        <w:rPr>
          <w:rFonts w:asciiTheme="minorHAnsi" w:eastAsia="Calibri" w:hAnsiTheme="minorHAnsi" w:cstheme="minorHAnsi"/>
          <w:color w:val="000000"/>
          <w:sz w:val="22"/>
          <w:szCs w:val="22"/>
        </w:rPr>
        <w:lastRenderedPageBreak/>
        <w:t>File 3.</w:t>
      </w:r>
      <w:r>
        <w:rPr>
          <w:rFonts w:asciiTheme="minorHAnsi" w:eastAsia="Calibri" w:hAnsiTheme="minorHAnsi" w:cstheme="minorHAnsi"/>
          <w:color w:val="000000"/>
          <w:sz w:val="22"/>
          <w:szCs w:val="22"/>
        </w:rPr>
        <w:t xml:space="preserve"> </w:t>
      </w:r>
      <w:r w:rsidRPr="00EF66DB">
        <w:rPr>
          <w:rFonts w:asciiTheme="minorHAnsi" w:eastAsia="Calibri" w:hAnsiTheme="minorHAnsi" w:cstheme="minorHAnsi"/>
          <w:color w:val="000000"/>
          <w:sz w:val="22"/>
          <w:szCs w:val="22"/>
        </w:rPr>
        <w:t>Systematic Review Methodology</w:t>
      </w:r>
    </w:p>
    <w:p w14:paraId="478CB08C" w14:textId="77777777" w:rsidR="00EF66DB" w:rsidRPr="00EF66DB" w:rsidRDefault="00EF66DB" w:rsidP="00EF66DB">
      <w:pPr>
        <w:spacing w:after="0"/>
        <w:rPr>
          <w:rFonts w:asciiTheme="minorHAnsi" w:eastAsia="Calibri" w:hAnsiTheme="minorHAnsi" w:cstheme="minorHAnsi"/>
          <w:sz w:val="22"/>
          <w:szCs w:val="22"/>
        </w:rPr>
      </w:pPr>
      <w:r w:rsidRPr="00EF66DB">
        <w:rPr>
          <w:rFonts w:asciiTheme="minorHAnsi" w:eastAsia="Calibri" w:hAnsiTheme="minorHAnsi" w:cstheme="minorHAnsi"/>
          <w:sz w:val="22"/>
          <w:szCs w:val="22"/>
        </w:rPr>
        <w:t>Two comprehensive literature searches were developed by a trained medical librarian for a search using the Medline and OVIDSP database. The first search was to find as many relevant articles as possible and information on “Heart Arrest During Pregnancy.” Three encompassing concepts were explored and detailed, that of “Pregnancy,” “Heart Arrest,” and “Resuscitation.” The concepts were then combined to encapsulate the most applicable materials. Medical Subject Headings (MeSH) were utilized, as well as keywords and synonyms. Related terminology was also pulled from relevant articles. These terms were then searched using the title, abstract, and keyword fields within the OVID MEDLINE database. Once the search strategy was complete, it was submitted for approval and final editing. For the initial search, the researchers decided to only search between 2014 to current (November 2018) given that the AHA guidelines were published in 2015. The Publication Data range was limited to items from the year 2000 to current.</w:t>
      </w:r>
      <w:r w:rsidRPr="00EF66DB">
        <w:rPr>
          <w:rFonts w:asciiTheme="minorHAnsi" w:hAnsiTheme="minorHAnsi" w:cstheme="minorHAnsi"/>
          <w:color w:val="000000"/>
          <w:sz w:val="20"/>
          <w:szCs w:val="20"/>
          <w:shd w:val="clear" w:color="auto" w:fill="FFFFFF"/>
        </w:rPr>
        <w:t> </w:t>
      </w:r>
      <w:r w:rsidRPr="00EF66DB">
        <w:rPr>
          <w:rFonts w:asciiTheme="minorHAnsi" w:eastAsia="Calibri" w:hAnsiTheme="minorHAnsi" w:cstheme="minorHAnsi"/>
          <w:sz w:val="22"/>
          <w:szCs w:val="22"/>
        </w:rPr>
        <w:t xml:space="preserve"> Once approved by the researchers, a second search strategy was developed. The second strategy focused on the educational and training aspects of “Heart Arrest During Pregnancy.” A second search was deemed necessary when the concept of “Education and Training” was added to the first search as a fourth concept and too many suitable articles were excluded. The Second Search consisted of two concepts: “Cardiovascular Pregnancy Complications” and “Education/Guidance.” Again, MeSH were utilized, as well as keywords and their related synonyms. The second search was also developed for the OVID Medline database. Once the search strategy was complete, it was submitted for approval and editing. The same publication date range was utilized when the search was run. Once each search was approved, they were both translated to two additional databases: Embase and The Cochrane Library. Final searches were run on November 29, 2018. An internal and external deduplication process was performed using the EndNote citation manager system. A manual deduplication search was performed on November 30, 2018. After deduplication the results from both searches were combined and deduplicated again. </w:t>
      </w:r>
    </w:p>
    <w:p w14:paraId="7B5DB902" w14:textId="77777777" w:rsidR="00EF66DB" w:rsidRPr="00EF66DB" w:rsidRDefault="00EF66DB" w:rsidP="00EF66DB">
      <w:pPr>
        <w:spacing w:after="0"/>
        <w:rPr>
          <w:rFonts w:asciiTheme="minorHAnsi" w:eastAsia="Calibri" w:hAnsiTheme="minorHAnsi" w:cstheme="minorHAnsi"/>
          <w:sz w:val="22"/>
          <w:szCs w:val="22"/>
        </w:rPr>
      </w:pPr>
      <w:r w:rsidRPr="00EF66DB">
        <w:rPr>
          <w:rFonts w:asciiTheme="minorHAnsi" w:eastAsia="Calibri" w:hAnsiTheme="minorHAnsi" w:cstheme="minorHAnsi"/>
          <w:sz w:val="22"/>
          <w:szCs w:val="22"/>
        </w:rPr>
        <w:lastRenderedPageBreak/>
        <w:t xml:space="preserve">In February 2019, the researchers decided to include the CINAHL Plus w/ Full Text database into the initial search to make sure all relevant articles were captured. It was also decided to update the search results from the first search initially </w:t>
      </w:r>
      <w:proofErr w:type="gramStart"/>
      <w:r w:rsidRPr="00EF66DB">
        <w:rPr>
          <w:rFonts w:asciiTheme="minorHAnsi" w:eastAsia="Calibri" w:hAnsiTheme="minorHAnsi" w:cstheme="minorHAnsi"/>
          <w:sz w:val="22"/>
          <w:szCs w:val="22"/>
        </w:rPr>
        <w:t>run on</w:t>
      </w:r>
      <w:proofErr w:type="gramEnd"/>
      <w:r w:rsidRPr="00EF66DB">
        <w:rPr>
          <w:rFonts w:asciiTheme="minorHAnsi" w:eastAsia="Calibri" w:hAnsiTheme="minorHAnsi" w:cstheme="minorHAnsi"/>
          <w:sz w:val="22"/>
          <w:szCs w:val="22"/>
        </w:rPr>
        <w:t xml:space="preserve"> November 2018. The search strategy was translated to the CINAHL database on February 7, 2019. The CINAHL search totals were combined with the initial search results from the searches (Medline OVID, Embase, and the Cochrane Library) run on November 29, 2018. A deduplication process was once again performed for the combined totals. The updates of the initial searches were also </w:t>
      </w:r>
      <w:proofErr w:type="gramStart"/>
      <w:r w:rsidRPr="00EF66DB">
        <w:rPr>
          <w:rFonts w:asciiTheme="minorHAnsi" w:eastAsia="Calibri" w:hAnsiTheme="minorHAnsi" w:cstheme="minorHAnsi"/>
          <w:sz w:val="22"/>
          <w:szCs w:val="22"/>
        </w:rPr>
        <w:t>run on</w:t>
      </w:r>
      <w:proofErr w:type="gramEnd"/>
      <w:r w:rsidRPr="00EF66DB">
        <w:rPr>
          <w:rFonts w:asciiTheme="minorHAnsi" w:eastAsia="Calibri" w:hAnsiTheme="minorHAnsi" w:cstheme="minorHAnsi"/>
          <w:sz w:val="22"/>
          <w:szCs w:val="22"/>
        </w:rPr>
        <w:t xml:space="preserve"> Medline OVID, Embase, and the Cochrane Library on February 7, 2019. The updates from the initial searches were combined and underwent the deduplication process on February 11, 2019. The updated search totals were added to the CINAHL search results and deduplicated again. The total 2,249 results of the updates and the CINAHL searches were then delivered to the researchers for review and to undergo the inclusion and exclusion process. The search strategies, in their entirety, are available in Appendix C. </w:t>
      </w:r>
    </w:p>
    <w:p w14:paraId="558F6CDF" w14:textId="77777777" w:rsidR="00EF66DB" w:rsidRPr="00EF66DB" w:rsidRDefault="00EF66DB" w:rsidP="00EF66DB">
      <w:pPr>
        <w:spacing w:after="0"/>
        <w:rPr>
          <w:rFonts w:asciiTheme="minorHAnsi" w:eastAsia="Calibri" w:hAnsiTheme="minorHAnsi" w:cstheme="minorHAnsi"/>
          <w:sz w:val="22"/>
          <w:szCs w:val="22"/>
        </w:rPr>
      </w:pPr>
      <w:r w:rsidRPr="00EF66DB">
        <w:rPr>
          <w:rFonts w:asciiTheme="minorHAnsi" w:eastAsia="Calibri" w:hAnsiTheme="minorHAnsi" w:cstheme="minorHAnsi"/>
          <w:sz w:val="22"/>
          <w:szCs w:val="22"/>
        </w:rPr>
        <w:t>The researchers reviewed the articles for relevance to the project. After categorization and determination of relevance, key questions were developed. The researchers abstracted and graded the literature and defined inclusion and exclusion criteria. Four independent reviewers selected studies to be included based on consensus on whether they met the inclusion and exclusion criteria. An independent reviewer was available for consultation if consensus was not reached among the reviewers but was not utilized. A synthesis of the relevant literature for each key question was performed focusing on validity and reliability of admissible evidence at the level of the individual study. The researchers developed overall summary statements regarding specific tasks for managing maternal cardiac arrest and extracted literature into a support summary table for each key question.</w:t>
      </w:r>
    </w:p>
    <w:p w14:paraId="7A509D9F" w14:textId="77777777" w:rsidR="00EF66DB" w:rsidRPr="00EF66DB" w:rsidRDefault="00EF66DB" w:rsidP="00EF66DB">
      <w:pPr>
        <w:pBdr>
          <w:top w:val="nil"/>
          <w:left w:val="nil"/>
          <w:bottom w:val="nil"/>
          <w:right w:val="nil"/>
          <w:between w:val="nil"/>
        </w:pBdr>
        <w:spacing w:after="0"/>
        <w:rPr>
          <w:rFonts w:asciiTheme="minorHAnsi" w:eastAsia="Calibri" w:hAnsiTheme="minorHAnsi" w:cstheme="minorHAnsi"/>
          <w:color w:val="000000"/>
          <w:sz w:val="22"/>
          <w:szCs w:val="22"/>
        </w:rPr>
      </w:pPr>
    </w:p>
    <w:p w14:paraId="01BBCB36" w14:textId="77777777" w:rsidR="00EF66DB" w:rsidRPr="00EF66DB" w:rsidRDefault="00EF66DB" w:rsidP="00EF66DB">
      <w:pPr>
        <w:pBdr>
          <w:top w:val="nil"/>
          <w:left w:val="nil"/>
          <w:bottom w:val="nil"/>
          <w:right w:val="nil"/>
          <w:between w:val="nil"/>
        </w:pBdr>
        <w:spacing w:after="0"/>
        <w:rPr>
          <w:rFonts w:asciiTheme="minorHAnsi" w:eastAsia="Calibri" w:hAnsiTheme="minorHAnsi" w:cstheme="minorHAnsi"/>
          <w:color w:val="000000"/>
          <w:sz w:val="22"/>
          <w:szCs w:val="22"/>
        </w:rPr>
      </w:pPr>
    </w:p>
    <w:p w14:paraId="1C6F8034" w14:textId="77777777" w:rsidR="00EF66DB" w:rsidRPr="00EF66DB" w:rsidRDefault="00EF66DB" w:rsidP="00EF66DB">
      <w:pPr>
        <w:pBdr>
          <w:top w:val="nil"/>
          <w:left w:val="nil"/>
          <w:bottom w:val="nil"/>
          <w:right w:val="nil"/>
          <w:between w:val="nil"/>
        </w:pBdr>
        <w:spacing w:after="0"/>
        <w:rPr>
          <w:rFonts w:asciiTheme="minorHAnsi" w:eastAsia="Calibri" w:hAnsiTheme="minorHAnsi" w:cstheme="minorHAnsi"/>
          <w:color w:val="000000"/>
          <w:sz w:val="22"/>
          <w:szCs w:val="22"/>
        </w:rPr>
      </w:pPr>
    </w:p>
    <w:p w14:paraId="7B03A6C6" w14:textId="77777777" w:rsidR="0013557F" w:rsidRPr="00EF66DB" w:rsidRDefault="0013557F">
      <w:pPr>
        <w:rPr>
          <w:rFonts w:asciiTheme="minorHAnsi" w:hAnsiTheme="minorHAnsi" w:cstheme="minorHAnsi"/>
        </w:rPr>
      </w:pPr>
    </w:p>
    <w:sectPr w:rsidR="0013557F" w:rsidRPr="00EF66DB" w:rsidSect="001720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E9D"/>
    <w:rsid w:val="0013557F"/>
    <w:rsid w:val="0017202B"/>
    <w:rsid w:val="00193E9D"/>
    <w:rsid w:val="003676A2"/>
    <w:rsid w:val="006B4F0F"/>
    <w:rsid w:val="007E63F7"/>
    <w:rsid w:val="00CF53EC"/>
    <w:rsid w:val="00EF66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EA57A5"/>
  <w15:chartTrackingRefBased/>
  <w15:docId w15:val="{AB803AA5-9A4F-9B41-A7B7-5FBEB4A8E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E9D"/>
    <w:pPr>
      <w:spacing w:after="160" w:line="48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5">
    <w:name w:val="5"/>
    <w:basedOn w:val="TableNormal"/>
    <w:rsid w:val="00193E9D"/>
    <w:pPr>
      <w:spacing w:after="160" w:line="480" w:lineRule="auto"/>
    </w:pPr>
    <w:rPr>
      <w:rFonts w:ascii="Times New Roman" w:eastAsia="Times New Roman" w:hAnsi="Times New Roman" w:cs="Times New Roman"/>
    </w:rPr>
    <w:tblPr>
      <w:tblStyleRowBandSize w:val="1"/>
      <w:tblStyleColBandSize w:val="1"/>
      <w:tblCellMar>
        <w:top w:w="100" w:type="dxa"/>
        <w:left w:w="100" w:type="dxa"/>
        <w:bottom w:w="100" w:type="dxa"/>
        <w:right w:w="100" w:type="dxa"/>
      </w:tblCellMar>
    </w:tblPr>
  </w:style>
  <w:style w:type="table" w:customStyle="1" w:styleId="1">
    <w:name w:val="1"/>
    <w:basedOn w:val="TableNormal"/>
    <w:rsid w:val="00193E9D"/>
    <w:pPr>
      <w:spacing w:after="160" w:line="480" w:lineRule="auto"/>
    </w:pPr>
    <w:rPr>
      <w:rFonts w:ascii="Times New Roman" w:eastAsia="Times New Roman" w:hAnsi="Times New Roman" w:cs="Times New Roman"/>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1683</Words>
  <Characters>9596</Characters>
  <Application>Microsoft Office Word</Application>
  <DocSecurity>0</DocSecurity>
  <Lines>79</Lines>
  <Paragraphs>22</Paragraphs>
  <ScaleCrop>false</ScaleCrop>
  <Company/>
  <LinksUpToDate>false</LinksUpToDate>
  <CharactersWithSpaces>11257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Shields</dc:creator>
  <cp:keywords/>
  <dc:description/>
  <cp:lastModifiedBy>Andrea Shields</cp:lastModifiedBy>
  <cp:revision>2</cp:revision>
  <dcterms:created xsi:type="dcterms:W3CDTF">2021-11-08T14:27:00Z</dcterms:created>
  <dcterms:modified xsi:type="dcterms:W3CDTF">2021-11-08T14:27:00Z</dcterms:modified>
</cp:coreProperties>
</file>