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A65D51" w14:textId="50F7B59F" w:rsidR="00A80CA5" w:rsidRPr="00AE309A" w:rsidRDefault="2654D3B7" w:rsidP="502A4FC6">
      <w:pPr>
        <w:spacing w:line="276" w:lineRule="auto"/>
        <w:ind w:right="-46"/>
      </w:pPr>
      <w:r>
        <w:rPr>
          <w:rFonts w:ascii="Times New Roman" w:eastAsia="Times New Roman" w:hAnsi="Times New Roman" w:cs="Times New Roman"/>
          <w:b/>
          <w:bCs/>
          <w:sz w:val="32"/>
          <w:szCs w:val="32"/>
          <w:lang w:val="en-US"/>
        </w:rPr>
        <w:t>Additional File 2: Supplementary Results</w:t>
      </w:r>
    </w:p>
    <w:p w14:paraId="55CF932E" w14:textId="10A57A29" w:rsidR="00A80CA5" w:rsidRPr="00AE309A" w:rsidRDefault="2654D3B7" w:rsidP="502A4FC6">
      <w:pPr>
        <w:spacing w:after="120" w:line="276" w:lineRule="auto"/>
      </w:pPr>
      <w:r>
        <w:rPr>
          <w:rFonts w:ascii="Times New Roman" w:eastAsia="Times New Roman" w:hAnsi="Times New Roman" w:cs="Times New Roman"/>
          <w:b/>
          <w:bCs/>
          <w:sz w:val="20"/>
          <w:szCs w:val="20"/>
          <w:lang w:val="en-US"/>
        </w:rPr>
        <w:t xml:space="preserve"> </w:t>
      </w:r>
    </w:p>
    <w:p w14:paraId="68BB7901" w14:textId="44876738" w:rsidR="00A80CA5" w:rsidRPr="00AE309A" w:rsidRDefault="2654D3B7" w:rsidP="502A4FC6">
      <w:pPr>
        <w:spacing w:after="120" w:line="276" w:lineRule="auto"/>
      </w:pPr>
      <w:r>
        <w:rPr>
          <w:rFonts w:ascii="Times New Roman" w:eastAsia="Times New Roman" w:hAnsi="Times New Roman" w:cs="Times New Roman"/>
          <w:b/>
          <w:bCs/>
          <w:sz w:val="28"/>
          <w:szCs w:val="28"/>
          <w:lang w:val="en-US"/>
        </w:rPr>
        <w:t>A2.1 Publications</w:t>
      </w:r>
    </w:p>
    <w:p w14:paraId="709F8AE3" w14:textId="5FF6F846" w:rsidR="00A80CA5" w:rsidRPr="00AE309A" w:rsidRDefault="2654D3B7" w:rsidP="502A4FC6">
      <w:pPr>
        <w:spacing w:after="120" w:line="276" w:lineRule="auto"/>
      </w:pPr>
      <w:r>
        <w:rPr>
          <w:rFonts w:ascii="Times New Roman" w:eastAsia="Times New Roman" w:hAnsi="Times New Roman" w:cs="Times New Roman"/>
          <w:b/>
          <w:bCs/>
          <w:sz w:val="20"/>
          <w:szCs w:val="20"/>
          <w:lang w:val="en-US"/>
        </w:rPr>
        <w:t xml:space="preserve">Table A2.1 </w:t>
      </w:r>
      <w:r>
        <w:rPr>
          <w:rFonts w:ascii="Times New Roman" w:eastAsia="Times New Roman" w:hAnsi="Times New Roman" w:cs="Times New Roman"/>
          <w:i/>
          <w:iCs/>
          <w:sz w:val="20"/>
          <w:szCs w:val="20"/>
          <w:lang w:val="en-US"/>
        </w:rPr>
        <w:t>Publications per year.</w:t>
      </w:r>
    </w:p>
    <w:tbl>
      <w:tblPr>
        <w:tblW w:w="0" w:type="auto"/>
        <w:tblInd w:w="-15" w:type="dxa"/>
        <w:tblLook w:val="04A0" w:firstRow="1" w:lastRow="0" w:firstColumn="1" w:lastColumn="0" w:noHBand="0" w:noVBand="1"/>
      </w:tblPr>
      <w:tblGrid>
        <w:gridCol w:w="1807"/>
        <w:gridCol w:w="4246"/>
        <w:gridCol w:w="2968"/>
      </w:tblGrid>
      <w:tr w:rsidR="502A4FC6" w14:paraId="7B8D9B20"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162F13EF" w14:textId="730AADE7" w:rsidR="502A4FC6" w:rsidRDefault="502A4FC6" w:rsidP="502A4FC6">
            <w:pPr>
              <w:spacing w:after="0" w:line="276" w:lineRule="auto"/>
            </w:pPr>
            <w:r>
              <w:rPr>
                <w:rFonts w:ascii="Times New Roman" w:eastAsia="Times New Roman" w:hAnsi="Times New Roman" w:cs="Times New Roman"/>
                <w:b/>
                <w:bCs/>
                <w:color w:val="000000" w:themeColor="text1"/>
                <w:sz w:val="20"/>
                <w:szCs w:val="20"/>
              </w:rPr>
              <w:t>Year</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1D8C1149" w14:textId="07443492" w:rsidR="502A4FC6" w:rsidRDefault="502A4FC6" w:rsidP="502A4FC6">
            <w:pPr>
              <w:spacing w:after="0" w:line="276" w:lineRule="auto"/>
            </w:pPr>
            <w:r>
              <w:rPr>
                <w:rFonts w:ascii="Times New Roman" w:eastAsia="Times New Roman" w:hAnsi="Times New Roman" w:cs="Times New Roman"/>
                <w:b/>
                <w:bCs/>
                <w:color w:val="000000" w:themeColor="text1"/>
                <w:sz w:val="20"/>
                <w:szCs w:val="20"/>
              </w:rPr>
              <w:t>n</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1B4B94D1" w14:textId="7547CF83" w:rsidR="502A4FC6" w:rsidRDefault="502A4FC6" w:rsidP="502A4FC6">
            <w:pPr>
              <w:spacing w:after="0" w:line="276" w:lineRule="auto"/>
            </w:pPr>
            <w:r>
              <w:rPr>
                <w:rFonts w:ascii="Times New Roman" w:eastAsia="Times New Roman" w:hAnsi="Times New Roman" w:cs="Times New Roman"/>
                <w:b/>
                <w:bCs/>
                <w:color w:val="000000" w:themeColor="text1"/>
                <w:sz w:val="20"/>
                <w:szCs w:val="20"/>
              </w:rPr>
              <w:t>%</w:t>
            </w:r>
          </w:p>
        </w:tc>
      </w:tr>
      <w:tr w:rsidR="502A4FC6" w14:paraId="006D96B5"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E7586A4" w14:textId="66797154" w:rsidR="502A4FC6" w:rsidRDefault="502A4FC6" w:rsidP="502A4FC6">
            <w:pPr>
              <w:spacing w:line="278" w:lineRule="auto"/>
            </w:pPr>
            <w:r>
              <w:rPr>
                <w:rFonts w:ascii="Aptos" w:eastAsia="Aptos" w:hAnsi="Aptos" w:cs="Aptos"/>
              </w:rPr>
              <w:t>2015</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AF5B16E" w14:textId="051B2150" w:rsidR="502A4FC6" w:rsidRDefault="502A4FC6" w:rsidP="502A4FC6">
            <w:pPr>
              <w:spacing w:line="278" w:lineRule="auto"/>
            </w:pPr>
            <w:r>
              <w:rPr>
                <w:rFonts w:ascii="Aptos" w:eastAsia="Aptos" w:hAnsi="Aptos" w:cs="Aptos"/>
              </w:rPr>
              <w:t>1</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AA3B586" w14:textId="53D501CA" w:rsidR="502A4FC6" w:rsidRDefault="502A4FC6" w:rsidP="502A4FC6">
            <w:pPr>
              <w:spacing w:line="278" w:lineRule="auto"/>
            </w:pPr>
            <w:r>
              <w:rPr>
                <w:rFonts w:ascii="Aptos" w:eastAsia="Aptos" w:hAnsi="Aptos" w:cs="Aptos"/>
              </w:rPr>
              <w:t>2.0</w:t>
            </w:r>
          </w:p>
        </w:tc>
      </w:tr>
      <w:tr w:rsidR="502A4FC6" w14:paraId="74B994A2"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E1F0AC8" w14:textId="7CADDC43" w:rsidR="502A4FC6" w:rsidRDefault="502A4FC6" w:rsidP="502A4FC6">
            <w:pPr>
              <w:spacing w:line="278" w:lineRule="auto"/>
            </w:pPr>
            <w:r>
              <w:rPr>
                <w:rFonts w:ascii="Aptos" w:eastAsia="Aptos" w:hAnsi="Aptos" w:cs="Aptos"/>
              </w:rPr>
              <w:t>2016</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83A8964" w14:textId="264BAB30" w:rsidR="502A4FC6" w:rsidRDefault="502A4FC6" w:rsidP="502A4FC6">
            <w:pPr>
              <w:spacing w:line="278" w:lineRule="auto"/>
            </w:pPr>
            <w:r>
              <w:rPr>
                <w:rFonts w:ascii="Aptos" w:eastAsia="Aptos" w:hAnsi="Aptos" w:cs="Aptos"/>
              </w:rPr>
              <w:t>0</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232C71A" w14:textId="44FC04CE" w:rsidR="502A4FC6" w:rsidRDefault="502A4FC6" w:rsidP="502A4FC6">
            <w:pPr>
              <w:spacing w:line="278" w:lineRule="auto"/>
            </w:pPr>
            <w:r>
              <w:rPr>
                <w:rFonts w:ascii="Aptos" w:eastAsia="Aptos" w:hAnsi="Aptos" w:cs="Aptos"/>
              </w:rPr>
              <w:t>0.0</w:t>
            </w:r>
          </w:p>
        </w:tc>
      </w:tr>
      <w:tr w:rsidR="502A4FC6" w14:paraId="122C9264"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9096499" w14:textId="37E2E677" w:rsidR="502A4FC6" w:rsidRDefault="502A4FC6" w:rsidP="502A4FC6">
            <w:pPr>
              <w:spacing w:line="278" w:lineRule="auto"/>
            </w:pPr>
            <w:r>
              <w:rPr>
                <w:rFonts w:ascii="Aptos" w:eastAsia="Aptos" w:hAnsi="Aptos" w:cs="Aptos"/>
              </w:rPr>
              <w:t>2017</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B9E36E1" w14:textId="3B4325D8" w:rsidR="502A4FC6" w:rsidRDefault="502A4FC6" w:rsidP="502A4FC6">
            <w:pPr>
              <w:spacing w:line="278" w:lineRule="auto"/>
            </w:pPr>
            <w:r>
              <w:rPr>
                <w:rFonts w:ascii="Aptos" w:eastAsia="Aptos" w:hAnsi="Aptos" w:cs="Aptos"/>
              </w:rPr>
              <w:t>0</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7CF9190" w14:textId="552245EB" w:rsidR="502A4FC6" w:rsidRDefault="502A4FC6" w:rsidP="502A4FC6">
            <w:pPr>
              <w:spacing w:line="278" w:lineRule="auto"/>
            </w:pPr>
            <w:r>
              <w:rPr>
                <w:rFonts w:ascii="Aptos" w:eastAsia="Aptos" w:hAnsi="Aptos" w:cs="Aptos"/>
              </w:rPr>
              <w:t>0.0</w:t>
            </w:r>
          </w:p>
        </w:tc>
      </w:tr>
      <w:tr w:rsidR="502A4FC6" w14:paraId="07A455E2"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8273A3E" w14:textId="10AD63EB" w:rsidR="502A4FC6" w:rsidRDefault="502A4FC6" w:rsidP="502A4FC6">
            <w:pPr>
              <w:spacing w:line="278" w:lineRule="auto"/>
            </w:pPr>
            <w:r>
              <w:rPr>
                <w:rFonts w:ascii="Aptos" w:eastAsia="Aptos" w:hAnsi="Aptos" w:cs="Aptos"/>
              </w:rPr>
              <w:t>2018</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8A7519D" w14:textId="3844F8F3" w:rsidR="502A4FC6" w:rsidRDefault="502A4FC6" w:rsidP="502A4FC6">
            <w:pPr>
              <w:spacing w:line="278" w:lineRule="auto"/>
            </w:pPr>
            <w:r>
              <w:rPr>
                <w:rFonts w:ascii="Aptos" w:eastAsia="Aptos" w:hAnsi="Aptos" w:cs="Aptos"/>
              </w:rPr>
              <w:t>0</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A422E61" w14:textId="2D467EBB" w:rsidR="502A4FC6" w:rsidRDefault="502A4FC6" w:rsidP="502A4FC6">
            <w:pPr>
              <w:spacing w:line="278" w:lineRule="auto"/>
            </w:pPr>
            <w:r>
              <w:rPr>
                <w:rFonts w:ascii="Aptos" w:eastAsia="Aptos" w:hAnsi="Aptos" w:cs="Aptos"/>
              </w:rPr>
              <w:t>0.0</w:t>
            </w:r>
          </w:p>
        </w:tc>
      </w:tr>
      <w:tr w:rsidR="502A4FC6" w14:paraId="3353F305"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479F9889" w14:textId="4744E935" w:rsidR="502A4FC6" w:rsidRDefault="502A4FC6" w:rsidP="502A4FC6">
            <w:pPr>
              <w:spacing w:line="278" w:lineRule="auto"/>
            </w:pPr>
            <w:r>
              <w:rPr>
                <w:rFonts w:ascii="Aptos" w:eastAsia="Aptos" w:hAnsi="Aptos" w:cs="Aptos"/>
              </w:rPr>
              <w:t>2019</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BE7B6CB" w14:textId="3C6A9156" w:rsidR="502A4FC6" w:rsidRDefault="502A4FC6" w:rsidP="502A4FC6">
            <w:pPr>
              <w:spacing w:line="278" w:lineRule="auto"/>
            </w:pPr>
            <w:r>
              <w:rPr>
                <w:rFonts w:ascii="Aptos" w:eastAsia="Aptos" w:hAnsi="Aptos" w:cs="Aptos"/>
              </w:rPr>
              <w:t>0</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7792695" w14:textId="35884919" w:rsidR="502A4FC6" w:rsidRDefault="502A4FC6" w:rsidP="502A4FC6">
            <w:pPr>
              <w:spacing w:line="278" w:lineRule="auto"/>
            </w:pPr>
            <w:r>
              <w:rPr>
                <w:rFonts w:ascii="Aptos" w:eastAsia="Aptos" w:hAnsi="Aptos" w:cs="Aptos"/>
              </w:rPr>
              <w:t>0.0</w:t>
            </w:r>
          </w:p>
        </w:tc>
      </w:tr>
      <w:tr w:rsidR="502A4FC6" w14:paraId="1B90980D"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8247C8D" w14:textId="21318E72" w:rsidR="502A4FC6" w:rsidRDefault="502A4FC6" w:rsidP="502A4FC6">
            <w:pPr>
              <w:spacing w:line="278" w:lineRule="auto"/>
            </w:pPr>
            <w:r>
              <w:rPr>
                <w:rFonts w:ascii="Aptos" w:eastAsia="Aptos" w:hAnsi="Aptos" w:cs="Aptos"/>
              </w:rPr>
              <w:t>2020</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6546368" w14:textId="2EF51963" w:rsidR="502A4FC6" w:rsidRDefault="502A4FC6" w:rsidP="502A4FC6">
            <w:pPr>
              <w:spacing w:line="278" w:lineRule="auto"/>
            </w:pPr>
            <w:r>
              <w:rPr>
                <w:rFonts w:ascii="Aptos" w:eastAsia="Aptos" w:hAnsi="Aptos" w:cs="Aptos"/>
              </w:rPr>
              <w:t>4</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1BCBDBF" w14:textId="209A5D7F" w:rsidR="502A4FC6" w:rsidRDefault="502A4FC6" w:rsidP="502A4FC6">
            <w:pPr>
              <w:spacing w:line="278" w:lineRule="auto"/>
            </w:pPr>
            <w:r>
              <w:rPr>
                <w:rFonts w:ascii="Aptos" w:eastAsia="Aptos" w:hAnsi="Aptos" w:cs="Aptos"/>
              </w:rPr>
              <w:t>8.2</w:t>
            </w:r>
          </w:p>
        </w:tc>
      </w:tr>
      <w:tr w:rsidR="502A4FC6" w14:paraId="662FE956"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DFB6605" w14:textId="4A415983" w:rsidR="502A4FC6" w:rsidRDefault="502A4FC6" w:rsidP="502A4FC6">
            <w:pPr>
              <w:spacing w:line="278" w:lineRule="auto"/>
            </w:pPr>
            <w:r>
              <w:rPr>
                <w:rFonts w:ascii="Aptos" w:eastAsia="Aptos" w:hAnsi="Aptos" w:cs="Aptos"/>
              </w:rPr>
              <w:t>2021</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5EB1531" w14:textId="32B146FE" w:rsidR="502A4FC6" w:rsidRDefault="502A4FC6" w:rsidP="502A4FC6">
            <w:pPr>
              <w:spacing w:line="278" w:lineRule="auto"/>
            </w:pPr>
            <w:r>
              <w:rPr>
                <w:rFonts w:ascii="Aptos" w:eastAsia="Aptos" w:hAnsi="Aptos" w:cs="Aptos"/>
              </w:rPr>
              <w:t>3</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BD2260F" w14:textId="0C4EB74F" w:rsidR="502A4FC6" w:rsidRDefault="502A4FC6" w:rsidP="502A4FC6">
            <w:pPr>
              <w:spacing w:line="278" w:lineRule="auto"/>
            </w:pPr>
            <w:r>
              <w:rPr>
                <w:rFonts w:ascii="Aptos" w:eastAsia="Aptos" w:hAnsi="Aptos" w:cs="Aptos"/>
              </w:rPr>
              <w:t>6.1</w:t>
            </w:r>
          </w:p>
        </w:tc>
      </w:tr>
      <w:tr w:rsidR="502A4FC6" w14:paraId="595CF74E"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EB6E3B7" w14:textId="7D473124" w:rsidR="502A4FC6" w:rsidRDefault="502A4FC6" w:rsidP="502A4FC6">
            <w:pPr>
              <w:spacing w:line="278" w:lineRule="auto"/>
            </w:pPr>
            <w:r>
              <w:rPr>
                <w:rFonts w:ascii="Aptos" w:eastAsia="Aptos" w:hAnsi="Aptos" w:cs="Aptos"/>
              </w:rPr>
              <w:t>2022</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13B6695" w14:textId="6DEFEEEC" w:rsidR="502A4FC6" w:rsidRDefault="502A4FC6" w:rsidP="502A4FC6">
            <w:pPr>
              <w:spacing w:line="278" w:lineRule="auto"/>
            </w:pPr>
            <w:r>
              <w:rPr>
                <w:rFonts w:ascii="Aptos" w:eastAsia="Aptos" w:hAnsi="Aptos" w:cs="Aptos"/>
              </w:rPr>
              <w:t>8</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A7746AE" w14:textId="0842BF97" w:rsidR="502A4FC6" w:rsidRDefault="502A4FC6" w:rsidP="502A4FC6">
            <w:pPr>
              <w:spacing w:line="278" w:lineRule="auto"/>
            </w:pPr>
            <w:r>
              <w:rPr>
                <w:rFonts w:ascii="Aptos" w:eastAsia="Aptos" w:hAnsi="Aptos" w:cs="Aptos"/>
              </w:rPr>
              <w:t>16.3</w:t>
            </w:r>
          </w:p>
        </w:tc>
      </w:tr>
      <w:tr w:rsidR="502A4FC6" w14:paraId="78465C2B"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A567D36" w14:textId="3E5D52EF" w:rsidR="502A4FC6" w:rsidRDefault="502A4FC6" w:rsidP="502A4FC6">
            <w:pPr>
              <w:spacing w:line="278" w:lineRule="auto"/>
            </w:pPr>
            <w:r>
              <w:rPr>
                <w:rFonts w:ascii="Aptos" w:eastAsia="Aptos" w:hAnsi="Aptos" w:cs="Aptos"/>
              </w:rPr>
              <w:t>2023</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CB80D76" w14:textId="746F49B6" w:rsidR="502A4FC6" w:rsidRDefault="502A4FC6" w:rsidP="502A4FC6">
            <w:pPr>
              <w:spacing w:line="278" w:lineRule="auto"/>
            </w:pPr>
            <w:r>
              <w:rPr>
                <w:rFonts w:ascii="Aptos" w:eastAsia="Aptos" w:hAnsi="Aptos" w:cs="Aptos"/>
              </w:rPr>
              <w:t>14</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46BE098" w14:textId="21B1D9CB" w:rsidR="502A4FC6" w:rsidRDefault="502A4FC6" w:rsidP="502A4FC6">
            <w:pPr>
              <w:spacing w:line="278" w:lineRule="auto"/>
            </w:pPr>
            <w:r>
              <w:rPr>
                <w:rFonts w:ascii="Aptos" w:eastAsia="Aptos" w:hAnsi="Aptos" w:cs="Aptos"/>
              </w:rPr>
              <w:t>28.6</w:t>
            </w:r>
          </w:p>
        </w:tc>
      </w:tr>
      <w:tr w:rsidR="502A4FC6" w14:paraId="78BCA585"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22C6D7A0" w14:textId="1EBF7195" w:rsidR="502A4FC6" w:rsidRDefault="502A4FC6" w:rsidP="502A4FC6">
            <w:pPr>
              <w:spacing w:line="278" w:lineRule="auto"/>
            </w:pPr>
            <w:r>
              <w:rPr>
                <w:rFonts w:ascii="Aptos" w:eastAsia="Aptos" w:hAnsi="Aptos" w:cs="Aptos"/>
              </w:rPr>
              <w:t>2024</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6F40F96" w14:textId="46C09AB0" w:rsidR="502A4FC6" w:rsidRDefault="502A4FC6" w:rsidP="502A4FC6">
            <w:pPr>
              <w:spacing w:line="278" w:lineRule="auto"/>
            </w:pPr>
            <w:r>
              <w:rPr>
                <w:rFonts w:ascii="Aptos" w:eastAsia="Aptos" w:hAnsi="Aptos" w:cs="Aptos"/>
              </w:rPr>
              <w:t>9</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F5BDD62" w14:textId="072BFF3D" w:rsidR="502A4FC6" w:rsidRDefault="502A4FC6" w:rsidP="502A4FC6">
            <w:pPr>
              <w:spacing w:line="278" w:lineRule="auto"/>
            </w:pPr>
            <w:r>
              <w:rPr>
                <w:rFonts w:ascii="Aptos" w:eastAsia="Aptos" w:hAnsi="Aptos" w:cs="Aptos"/>
              </w:rPr>
              <w:t>18.4</w:t>
            </w:r>
          </w:p>
        </w:tc>
      </w:tr>
      <w:tr w:rsidR="502A4FC6" w14:paraId="776B346D"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3CA155E" w14:textId="54CB1BA6" w:rsidR="502A4FC6" w:rsidRDefault="502A4FC6" w:rsidP="502A4FC6">
            <w:pPr>
              <w:spacing w:line="278" w:lineRule="auto"/>
            </w:pPr>
            <w:r>
              <w:rPr>
                <w:rFonts w:ascii="Aptos" w:eastAsia="Aptos" w:hAnsi="Aptos" w:cs="Aptos"/>
              </w:rPr>
              <w:t>2025</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696AD89" w14:textId="2FF11765" w:rsidR="502A4FC6" w:rsidRDefault="502A4FC6" w:rsidP="502A4FC6">
            <w:pPr>
              <w:spacing w:line="278" w:lineRule="auto"/>
            </w:pPr>
            <w:r>
              <w:rPr>
                <w:rFonts w:ascii="Aptos" w:eastAsia="Aptos" w:hAnsi="Aptos" w:cs="Aptos"/>
              </w:rPr>
              <w:t>9</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603E6FE8" w14:textId="1079EBA2" w:rsidR="502A4FC6" w:rsidRDefault="502A4FC6" w:rsidP="502A4FC6">
            <w:pPr>
              <w:spacing w:line="278" w:lineRule="auto"/>
            </w:pPr>
            <w:r>
              <w:rPr>
                <w:rFonts w:ascii="Aptos" w:eastAsia="Aptos" w:hAnsi="Aptos" w:cs="Aptos"/>
              </w:rPr>
              <w:t>18.4</w:t>
            </w:r>
          </w:p>
        </w:tc>
      </w:tr>
      <w:tr w:rsidR="502A4FC6" w14:paraId="3AA30B88"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371B4BC3" w14:textId="5A99AA9F" w:rsidR="502A4FC6" w:rsidRDefault="502A4FC6" w:rsidP="502A4FC6">
            <w:pPr>
              <w:spacing w:line="278" w:lineRule="auto"/>
            </w:pPr>
            <w:r>
              <w:rPr>
                <w:rFonts w:ascii="Aptos" w:eastAsia="Aptos" w:hAnsi="Aptos" w:cs="Aptos"/>
              </w:rPr>
              <w:t>2026</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1DB9D54E" w14:textId="50BFFB07" w:rsidR="502A4FC6" w:rsidRDefault="502A4FC6" w:rsidP="502A4FC6">
            <w:pPr>
              <w:spacing w:line="278" w:lineRule="auto"/>
            </w:pPr>
            <w:r>
              <w:rPr>
                <w:rFonts w:ascii="Aptos" w:eastAsia="Aptos" w:hAnsi="Aptos" w:cs="Aptos"/>
              </w:rPr>
              <w:t>1</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A15D57D" w14:textId="2E32F29D" w:rsidR="502A4FC6" w:rsidRDefault="502A4FC6" w:rsidP="502A4FC6">
            <w:pPr>
              <w:spacing w:line="278" w:lineRule="auto"/>
            </w:pPr>
            <w:r>
              <w:rPr>
                <w:rFonts w:ascii="Aptos" w:eastAsia="Aptos" w:hAnsi="Aptos" w:cs="Aptos"/>
              </w:rPr>
              <w:t>2.0</w:t>
            </w:r>
          </w:p>
        </w:tc>
      </w:tr>
      <w:tr w:rsidR="502A4FC6" w14:paraId="79BC97B4"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5409B7C3" w14:textId="72075201" w:rsidR="502A4FC6" w:rsidRDefault="502A4FC6" w:rsidP="502A4FC6">
            <w:pPr>
              <w:spacing w:line="278" w:lineRule="auto"/>
            </w:pPr>
            <w:r>
              <w:rPr>
                <w:rFonts w:ascii="Aptos" w:eastAsia="Aptos" w:hAnsi="Aptos" w:cs="Aptos"/>
              </w:rPr>
              <w:t>Total</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7EB0F4A0" w14:textId="69F6676B" w:rsidR="502A4FC6" w:rsidRDefault="502A4FC6" w:rsidP="502A4FC6">
            <w:pPr>
              <w:spacing w:line="278" w:lineRule="auto"/>
            </w:pPr>
            <w:r>
              <w:rPr>
                <w:rFonts w:ascii="Aptos" w:eastAsia="Aptos" w:hAnsi="Aptos" w:cs="Aptos"/>
              </w:rPr>
              <w:t>49</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108" w:type="dxa"/>
              <w:right w:w="108" w:type="dxa"/>
            </w:tcMar>
          </w:tcPr>
          <w:p w14:paraId="09A2EEA9" w14:textId="49008568" w:rsidR="502A4FC6" w:rsidRDefault="502A4FC6" w:rsidP="502A4FC6">
            <w:pPr>
              <w:spacing w:line="278" w:lineRule="auto"/>
            </w:pPr>
            <w:r>
              <w:rPr>
                <w:rFonts w:ascii="Aptos" w:eastAsia="Aptos" w:hAnsi="Aptos" w:cs="Aptos"/>
              </w:rPr>
              <w:t>100.0</w:t>
            </w:r>
          </w:p>
        </w:tc>
      </w:tr>
    </w:tbl>
    <w:p w14:paraId="03197E9C" w14:textId="3F368F07" w:rsidR="00A80CA5" w:rsidRPr="00AE309A" w:rsidRDefault="2654D3B7" w:rsidP="502A4FC6">
      <w:pPr>
        <w:spacing w:before="240" w:line="276" w:lineRule="auto"/>
      </w:pPr>
      <w:r>
        <w:rPr>
          <w:rFonts w:ascii="Times New Roman" w:eastAsia="Times New Roman" w:hAnsi="Times New Roman" w:cs="Times New Roman"/>
          <w:sz w:val="20"/>
          <w:szCs w:val="20"/>
          <w:lang w:val="en-US"/>
        </w:rPr>
        <w:t xml:space="preserve"> </w:t>
      </w:r>
    </w:p>
    <w:p w14:paraId="60472A25" w14:textId="350766FE" w:rsidR="00A80CA5" w:rsidRPr="00AE309A" w:rsidRDefault="2654D3B7" w:rsidP="502A4FC6">
      <w:pPr>
        <w:spacing w:line="276" w:lineRule="auto"/>
      </w:pPr>
      <w:r>
        <w:rPr>
          <w:rFonts w:ascii="Times New Roman" w:eastAsia="Times New Roman" w:hAnsi="Times New Roman" w:cs="Times New Roman"/>
          <w:b/>
          <w:bCs/>
          <w:sz w:val="28"/>
          <w:szCs w:val="28"/>
          <w:lang w:val="en-US"/>
        </w:rPr>
        <w:t>A2.2 Validated psychometric instruments used in the included studies</w:t>
      </w:r>
    </w:p>
    <w:p w14:paraId="2A8B513D" w14:textId="59724409" w:rsidR="00A80CA5" w:rsidRPr="00AE309A" w:rsidRDefault="2654D3B7" w:rsidP="502A4FC6">
      <w:pPr>
        <w:spacing w:line="276" w:lineRule="auto"/>
      </w:pPr>
      <w:r>
        <w:rPr>
          <w:rFonts w:ascii="Aptos" w:eastAsia="Aptos" w:hAnsi="Aptos" w:cs="Aptos"/>
          <w:lang w:val="en-US"/>
        </w:rPr>
        <w:t xml:space="preserve">Table A2.2 Named, psychometrically established instruments used to operationalize constructs classified as validated subjective evidence. Across seven studies, these instruments contributed 10 study-by-construct mappings. The Negative Attitudes toward Robots Scale used by Gombolay et al. was not counted as a validated trust operationalization because it measures attitudes toward robots rather than trust in the target AI system. When multiple instruments within one study addressed the same construct, that construct was counted once.</w:t>
      </w:r>
    </w:p>
    <w:tbl>
      <w:tblPr>
        <w:tblW w:w="0" w:type="auto"/>
        <w:tblInd w:w="-15" w:type="dxa"/>
        <w:tblLook w:val="04A0" w:firstRow="1" w:lastRow="0" w:firstColumn="1" w:lastColumn="0" w:noHBand="0" w:noVBand="1"/>
      </w:tblPr>
      <w:tblGrid>
        <w:gridCol w:w="1807"/>
        <w:gridCol w:w="4243"/>
        <w:gridCol w:w="2971"/>
      </w:tblGrid>
      <w:tr w:rsidR="502A4FC6" w:rsidRPr="001334F6" w14:paraId="5BA6EFC2" w14:textId="77777777" w:rsidTr="502A4FC6">
        <w:trPr>
          <w:trHeight w:val="300"/>
        </w:trPr>
        <w:tc>
          <w:tcPr>
            <w:tcW w:w="181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5621B066" w14:textId="299840F7"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Study</w:t>
            </w:r>
          </w:p>
        </w:tc>
        <w:tc>
          <w:tcPr>
            <w:tcW w:w="42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68845DCE" w14:textId="4C1A6E77"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Instrument</w:t>
            </w:r>
          </w:p>
        </w:tc>
        <w:tc>
          <w:tcPr>
            <w:tcW w:w="298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204B8F32" w14:textId="448B1B49"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Construct(s)</w:t>
            </w:r>
          </w:p>
        </w:tc>
      </w:tr>
      <w:tr w:rsidR="502A4FC6" w:rsidRPr="001334F6" w14:paraId="3C95E548" w14:textId="77777777" w:rsidTr="502A4FC6">
        <w:trPr>
          <w:trHeight w:val="300"/>
        </w:trPr>
        <w:tc>
          <w:tcPr>
            <w:tcW w:w="1815" w:type="dxa"/>
            <w:tcMar>
              <w:left w:w="108" w:type="dxa"/>
              <w:right w:w="108" w:type="dxa"/>
            </w:tcMar>
          </w:tcPr>
          <w:p w14:paraId="310198FB" w14:textId="3D4EA662" w:rsidR="502A4FC6" w:rsidRPr="001334F6" w:rsidRDefault="502A4FC6" w:rsidP="502A4FC6">
            <w:pPr>
              <w:spacing w:line="278" w:lineRule="auto"/>
              <w:rPr>
                <w:sz w:val="20"/>
                <w:szCs w:val="20"/>
              </w:rPr>
            </w:pPr>
            <w:r>
              <w:rPr>
                <w:rFonts w:ascii="Aptos" w:eastAsia="Aptos" w:hAnsi="Aptos" w:cs="Aptos"/>
                <w:sz w:val="20"/>
                <w:szCs w:val="20"/>
              </w:rPr>
              <w:lastRenderedPageBreak/>
              <w:t>Ackerhans et al. 2025</w:t>
            </w:r>
          </w:p>
        </w:tc>
        <w:tc>
          <w:tcPr>
            <w:tcW w:w="4275" w:type="dxa"/>
            <w:tcMar>
              <w:left w:w="108" w:type="dxa"/>
              <w:right w:w="108" w:type="dxa"/>
            </w:tcMar>
          </w:tcPr>
          <w:p w14:paraId="347873A5" w14:textId="0CB0640B" w:rsidR="502A4FC6" w:rsidRPr="001334F6" w:rsidRDefault="502A4FC6" w:rsidP="502A4FC6">
            <w:pPr>
              <w:spacing w:line="278" w:lineRule="auto"/>
              <w:rPr>
                <w:sz w:val="20"/>
                <w:szCs w:val="20"/>
              </w:rPr>
            </w:pPr>
            <w:r>
              <w:rPr>
                <w:rFonts w:ascii="Aptos" w:eastAsia="Aptos" w:hAnsi="Aptos" w:cs="Aptos"/>
                <w:sz w:val="20"/>
                <w:szCs w:val="20"/>
              </w:rPr>
              <w:t>Adapted validated trust scale</w:t>
            </w:r>
          </w:p>
        </w:tc>
        <w:tc>
          <w:tcPr>
            <w:tcW w:w="2985" w:type="dxa"/>
            <w:tcMar>
              <w:left w:w="108" w:type="dxa"/>
              <w:right w:w="108" w:type="dxa"/>
            </w:tcMar>
          </w:tcPr>
          <w:p w14:paraId="7D8B68F8" w14:textId="623FBB64" w:rsidR="502A4FC6" w:rsidRPr="001334F6" w:rsidRDefault="502A4FC6" w:rsidP="502A4FC6">
            <w:pPr>
              <w:spacing w:line="278" w:lineRule="auto"/>
              <w:rPr>
                <w:sz w:val="20"/>
                <w:szCs w:val="20"/>
              </w:rPr>
            </w:pPr>
            <w:r>
              <w:rPr>
                <w:rFonts w:ascii="Aptos" w:eastAsia="Aptos" w:hAnsi="Aptos" w:cs="Aptos"/>
                <w:sz w:val="20"/>
                <w:szCs w:val="20"/>
              </w:rPr>
              <w:t>Trust (TR1)</w:t>
            </w:r>
          </w:p>
        </w:tc>
      </w:tr>
      <w:tr w:rsidR="502A4FC6" w:rsidRPr="001334F6" w14:paraId="47C37990" w14:textId="77777777" w:rsidTr="502A4FC6">
        <w:trPr>
          <w:trHeight w:val="300"/>
        </w:trPr>
        <w:tc>
          <w:tcPr>
            <w:tcW w:w="1815" w:type="dxa"/>
            <w:tcMar>
              <w:left w:w="108" w:type="dxa"/>
              <w:right w:w="108" w:type="dxa"/>
            </w:tcMar>
          </w:tcPr>
          <w:p w14:paraId="63604F07" w14:textId="2EABEBEF" w:rsidR="502A4FC6" w:rsidRPr="001334F6" w:rsidRDefault="502A4FC6" w:rsidP="502A4FC6">
            <w:pPr>
              <w:spacing w:line="278" w:lineRule="auto"/>
              <w:rPr>
                <w:sz w:val="20"/>
                <w:szCs w:val="20"/>
              </w:rPr>
            </w:pPr>
            <w:r>
              <w:rPr>
                <w:rFonts w:ascii="Aptos" w:eastAsia="Aptos" w:hAnsi="Aptos" w:cs="Aptos"/>
                <w:sz w:val="20"/>
                <w:szCs w:val="20"/>
              </w:rPr>
              <w:t>Harari et al. 2024</w:t>
            </w:r>
          </w:p>
        </w:tc>
        <w:tc>
          <w:tcPr>
            <w:tcW w:w="4275" w:type="dxa"/>
            <w:tcMar>
              <w:left w:w="108" w:type="dxa"/>
              <w:right w:w="108" w:type="dxa"/>
            </w:tcMar>
          </w:tcPr>
          <w:p w14:paraId="50087AF9" w14:textId="00A5735B" w:rsidR="502A4FC6" w:rsidRPr="001334F6" w:rsidRDefault="502A4FC6" w:rsidP="502A4FC6">
            <w:pPr>
              <w:spacing w:line="278" w:lineRule="auto"/>
              <w:rPr>
                <w:sz w:val="20"/>
                <w:szCs w:val="20"/>
              </w:rPr>
            </w:pPr>
            <w:r>
              <w:rPr>
                <w:rFonts w:ascii="Aptos" w:eastAsia="Aptos" w:hAnsi="Aptos" w:cs="Aptos"/>
                <w:sz w:val="20"/>
                <w:szCs w:val="20"/>
              </w:rPr>
              <w:t>Trust in Automation Scale (Jian et al. 2000)</w:t>
            </w:r>
          </w:p>
        </w:tc>
        <w:tc>
          <w:tcPr>
            <w:tcW w:w="2985" w:type="dxa"/>
            <w:tcMar>
              <w:left w:w="108" w:type="dxa"/>
              <w:right w:w="108" w:type="dxa"/>
            </w:tcMar>
          </w:tcPr>
          <w:p w14:paraId="47AE6C90" w14:textId="766D850B" w:rsidR="502A4FC6" w:rsidRPr="001334F6" w:rsidRDefault="502A4FC6" w:rsidP="502A4FC6">
            <w:pPr>
              <w:spacing w:line="278" w:lineRule="auto"/>
              <w:rPr>
                <w:sz w:val="20"/>
                <w:szCs w:val="20"/>
              </w:rPr>
            </w:pPr>
            <w:r>
              <w:rPr>
                <w:rFonts w:ascii="Aptos" w:eastAsia="Aptos" w:hAnsi="Aptos" w:cs="Aptos"/>
                <w:sz w:val="20"/>
                <w:szCs w:val="20"/>
              </w:rPr>
              <w:t>Trust (TR1)</w:t>
            </w:r>
          </w:p>
        </w:tc>
      </w:tr>
      <w:tr w:rsidR="502A4FC6" w:rsidRPr="001334F6" w14:paraId="7870DA60" w14:textId="77777777" w:rsidTr="502A4FC6">
        <w:trPr>
          <w:trHeight w:val="300"/>
        </w:trPr>
        <w:tc>
          <w:tcPr>
            <w:tcW w:w="1815" w:type="dxa"/>
            <w:tcMar>
              <w:left w:w="108" w:type="dxa"/>
              <w:right w:w="108" w:type="dxa"/>
            </w:tcMar>
          </w:tcPr>
          <w:p w14:paraId="076F296B" w14:textId="06AF6DAE" w:rsidR="502A4FC6" w:rsidRPr="001334F6" w:rsidRDefault="502A4FC6" w:rsidP="502A4FC6">
            <w:pPr>
              <w:spacing w:line="278" w:lineRule="auto"/>
              <w:rPr>
                <w:sz w:val="20"/>
                <w:szCs w:val="20"/>
              </w:rPr>
            </w:pPr>
            <w:r>
              <w:rPr>
                <w:rFonts w:ascii="Aptos" w:eastAsia="Aptos" w:hAnsi="Aptos" w:cs="Aptos"/>
                <w:sz w:val="20"/>
                <w:szCs w:val="20"/>
              </w:rPr>
              <w:t>Hur et al. 2025</w:t>
            </w:r>
          </w:p>
        </w:tc>
        <w:tc>
          <w:tcPr>
            <w:tcW w:w="4275" w:type="dxa"/>
            <w:tcMar>
              <w:left w:w="108" w:type="dxa"/>
              <w:right w:w="108" w:type="dxa"/>
            </w:tcMar>
          </w:tcPr>
          <w:p w14:paraId="65B62259" w14:textId="397C88EB" w:rsidR="502A4FC6" w:rsidRPr="001334F6" w:rsidRDefault="502A4FC6" w:rsidP="502A4FC6">
            <w:pPr>
              <w:spacing w:line="278" w:lineRule="auto"/>
              <w:rPr>
                <w:sz w:val="20"/>
                <w:szCs w:val="20"/>
              </w:rPr>
            </w:pPr>
            <w:r>
              <w:rPr>
                <w:rFonts w:ascii="Aptos" w:eastAsia="Aptos" w:hAnsi="Aptos" w:cs="Aptos"/>
                <w:sz w:val="20"/>
                <w:szCs w:val="20"/>
              </w:rPr>
              <w:t>Trust Scale Recommended for XAI (Hoffman et al.)</w:t>
            </w:r>
          </w:p>
        </w:tc>
        <w:tc>
          <w:tcPr>
            <w:tcW w:w="2985" w:type="dxa"/>
            <w:tcMar>
              <w:left w:w="108" w:type="dxa"/>
              <w:right w:w="108" w:type="dxa"/>
            </w:tcMar>
          </w:tcPr>
          <w:p w14:paraId="12CA04DD" w14:textId="795FC146" w:rsidR="502A4FC6" w:rsidRPr="001334F6" w:rsidRDefault="502A4FC6" w:rsidP="502A4FC6">
            <w:pPr>
              <w:spacing w:line="278" w:lineRule="auto"/>
              <w:rPr>
                <w:sz w:val="20"/>
                <w:szCs w:val="20"/>
              </w:rPr>
            </w:pPr>
            <w:r>
              <w:rPr>
                <w:rFonts w:ascii="Aptos" w:eastAsia="Aptos" w:hAnsi="Aptos" w:cs="Aptos"/>
                <w:sz w:val="20"/>
                <w:szCs w:val="20"/>
              </w:rPr>
              <w:t>Trust (TR1)</w:t>
            </w:r>
          </w:p>
        </w:tc>
      </w:tr>
      <w:tr w:rsidR="502A4FC6" w:rsidRPr="001334F6" w14:paraId="787E5AD7" w14:textId="77777777" w:rsidTr="502A4FC6">
        <w:trPr>
          <w:trHeight w:val="300"/>
        </w:trPr>
        <w:tc>
          <w:tcPr>
            <w:tcW w:w="1815" w:type="dxa"/>
            <w:tcMar>
              <w:left w:w="108" w:type="dxa"/>
              <w:right w:w="108" w:type="dxa"/>
            </w:tcMar>
          </w:tcPr>
          <w:p w14:paraId="59E55F70" w14:textId="7F9F75EC" w:rsidR="502A4FC6" w:rsidRPr="001334F6" w:rsidRDefault="502A4FC6" w:rsidP="502A4FC6">
            <w:pPr>
              <w:spacing w:line="278" w:lineRule="auto"/>
              <w:rPr>
                <w:sz w:val="20"/>
                <w:szCs w:val="20"/>
              </w:rPr>
            </w:pPr>
            <w:r>
              <w:rPr>
                <w:rFonts w:ascii="Aptos" w:eastAsia="Aptos" w:hAnsi="Aptos" w:cs="Aptos"/>
                <w:sz w:val="20"/>
                <w:szCs w:val="20"/>
              </w:rPr>
              <w:t>Hur et al. 2025</w:t>
            </w:r>
          </w:p>
        </w:tc>
        <w:tc>
          <w:tcPr>
            <w:tcW w:w="4275" w:type="dxa"/>
            <w:tcMar>
              <w:left w:w="108" w:type="dxa"/>
              <w:right w:w="108" w:type="dxa"/>
            </w:tcMar>
          </w:tcPr>
          <w:p w14:paraId="13B6A18D" w14:textId="06936A99" w:rsidR="502A4FC6" w:rsidRPr="001334F6" w:rsidRDefault="502A4FC6" w:rsidP="502A4FC6">
            <w:pPr>
              <w:spacing w:line="278" w:lineRule="auto"/>
              <w:rPr>
                <w:sz w:val="20"/>
                <w:szCs w:val="20"/>
              </w:rPr>
            </w:pPr>
            <w:r>
              <w:rPr>
                <w:rFonts w:ascii="Aptos" w:eastAsia="Aptos" w:hAnsi="Aptos" w:cs="Aptos"/>
                <w:sz w:val="20"/>
                <w:szCs w:val="20"/>
              </w:rPr>
              <w:t>Explanation Satisfaction Scale (Hoffman et al.)</w:t>
            </w:r>
          </w:p>
        </w:tc>
        <w:tc>
          <w:tcPr>
            <w:tcW w:w="2985" w:type="dxa"/>
            <w:tcMar>
              <w:left w:w="108" w:type="dxa"/>
              <w:right w:w="108" w:type="dxa"/>
            </w:tcMar>
          </w:tcPr>
          <w:p w14:paraId="2DC7F372" w14:textId="2E72257C" w:rsidR="502A4FC6" w:rsidRPr="001334F6" w:rsidRDefault="502A4FC6" w:rsidP="502A4FC6">
            <w:pPr>
              <w:spacing w:line="278" w:lineRule="auto"/>
              <w:rPr>
                <w:sz w:val="20"/>
                <w:szCs w:val="20"/>
              </w:rPr>
            </w:pPr>
            <w:r>
              <w:rPr>
                <w:rFonts w:ascii="Aptos" w:eastAsia="Aptos" w:hAnsi="Aptos" w:cs="Aptos"/>
                <w:sz w:val="20"/>
                <w:szCs w:val="20"/>
              </w:rPr>
              <w:t>Satisfaction (EU1)</w:t>
            </w:r>
          </w:p>
        </w:tc>
      </w:tr>
      <w:tr w:rsidR="502A4FC6" w:rsidRPr="001334F6" w14:paraId="2F947D62" w14:textId="77777777" w:rsidTr="502A4FC6">
        <w:trPr>
          <w:trHeight w:val="300"/>
        </w:trPr>
        <w:tc>
          <w:tcPr>
            <w:tcW w:w="1815" w:type="dxa"/>
            <w:tcMar>
              <w:left w:w="108" w:type="dxa"/>
              <w:right w:w="108" w:type="dxa"/>
            </w:tcMar>
          </w:tcPr>
          <w:p w14:paraId="5C8F0D31" w14:textId="787805E8" w:rsidR="502A4FC6" w:rsidRPr="001334F6" w:rsidRDefault="502A4FC6" w:rsidP="502A4FC6">
            <w:pPr>
              <w:spacing w:line="278" w:lineRule="auto"/>
              <w:rPr>
                <w:sz w:val="20"/>
                <w:szCs w:val="20"/>
              </w:rPr>
            </w:pPr>
            <w:r>
              <w:rPr>
                <w:rFonts w:ascii="Aptos" w:eastAsia="Aptos" w:hAnsi="Aptos" w:cs="Aptos"/>
                <w:sz w:val="20"/>
                <w:szCs w:val="20"/>
              </w:rPr>
              <w:t>Hur et al. 2025</w:t>
            </w:r>
          </w:p>
        </w:tc>
        <w:tc>
          <w:tcPr>
            <w:tcW w:w="4275" w:type="dxa"/>
            <w:tcMar>
              <w:left w:w="108" w:type="dxa"/>
              <w:right w:w="108" w:type="dxa"/>
            </w:tcMar>
          </w:tcPr>
          <w:p w14:paraId="41C87ADD" w14:textId="743DA6CA" w:rsidR="502A4FC6" w:rsidRPr="001334F6" w:rsidRDefault="502A4FC6" w:rsidP="502A4FC6">
            <w:pPr>
              <w:spacing w:line="278" w:lineRule="auto"/>
              <w:rPr>
                <w:sz w:val="20"/>
                <w:szCs w:val="20"/>
              </w:rPr>
            </w:pPr>
            <w:r>
              <w:rPr>
                <w:rFonts w:ascii="Aptos" w:eastAsia="Aptos" w:hAnsi="Aptos" w:cs="Aptos"/>
                <w:sz w:val="20"/>
                <w:szCs w:val="20"/>
              </w:rPr>
              <w:t>System Usability Scale (SUS)</w:t>
            </w:r>
          </w:p>
        </w:tc>
        <w:tc>
          <w:tcPr>
            <w:tcW w:w="2985" w:type="dxa"/>
            <w:tcMar>
              <w:left w:w="108" w:type="dxa"/>
              <w:right w:w="108" w:type="dxa"/>
            </w:tcMar>
          </w:tcPr>
          <w:p w14:paraId="3026B604" w14:textId="5F003D06" w:rsidR="502A4FC6" w:rsidRPr="001334F6" w:rsidRDefault="502A4FC6" w:rsidP="502A4FC6">
            <w:pPr>
              <w:spacing w:line="278" w:lineRule="auto"/>
              <w:rPr>
                <w:sz w:val="20"/>
                <w:szCs w:val="20"/>
              </w:rPr>
            </w:pPr>
            <w:r>
              <w:rPr>
                <w:rFonts w:ascii="Aptos" w:eastAsia="Aptos" w:hAnsi="Aptos" w:cs="Aptos"/>
                <w:sz w:val="20"/>
                <w:szCs w:val="20"/>
              </w:rPr>
              <w:t>Satisfaction / usability (EU1; same study-by-construct mapping as above)</w:t>
            </w:r>
          </w:p>
        </w:tc>
      </w:tr>
      <w:tr w:rsidR="502A4FC6" w:rsidRPr="001334F6" w14:paraId="2B9F1A16" w14:textId="77777777" w:rsidTr="502A4FC6">
        <w:trPr>
          <w:trHeight w:val="300"/>
        </w:trPr>
        <w:tc>
          <w:tcPr>
            <w:tcW w:w="1815" w:type="dxa"/>
            <w:tcMar>
              <w:left w:w="108" w:type="dxa"/>
              <w:right w:w="108" w:type="dxa"/>
            </w:tcMar>
          </w:tcPr>
          <w:p w14:paraId="4BDF9974" w14:textId="6A2BBC32" w:rsidR="502A4FC6" w:rsidRPr="001334F6" w:rsidRDefault="502A4FC6" w:rsidP="502A4FC6">
            <w:pPr>
              <w:spacing w:line="278" w:lineRule="auto"/>
              <w:rPr>
                <w:sz w:val="20"/>
                <w:szCs w:val="20"/>
              </w:rPr>
            </w:pPr>
            <w:r>
              <w:rPr>
                <w:rFonts w:ascii="Aptos" w:eastAsia="Aptos" w:hAnsi="Aptos" w:cs="Aptos"/>
                <w:sz w:val="20"/>
                <w:szCs w:val="20"/>
              </w:rPr>
              <w:t>De Oliveira et al. 2025</w:t>
            </w:r>
          </w:p>
        </w:tc>
        <w:tc>
          <w:tcPr>
            <w:tcW w:w="4275" w:type="dxa"/>
            <w:tcMar>
              <w:left w:w="108" w:type="dxa"/>
              <w:right w:w="108" w:type="dxa"/>
            </w:tcMar>
          </w:tcPr>
          <w:p w14:paraId="12C20A6C" w14:textId="3935FC6E" w:rsidR="502A4FC6" w:rsidRPr="001334F6" w:rsidRDefault="502A4FC6" w:rsidP="502A4FC6">
            <w:pPr>
              <w:spacing w:line="278" w:lineRule="auto"/>
              <w:rPr>
                <w:sz w:val="20"/>
                <w:szCs w:val="20"/>
              </w:rPr>
            </w:pPr>
            <w:r>
              <w:rPr>
                <w:rFonts w:ascii="Aptos" w:eastAsia="Aptos" w:hAnsi="Aptos" w:cs="Aptos"/>
                <w:sz w:val="20"/>
                <w:szCs w:val="20"/>
              </w:rPr>
              <w:t>System Causability Scale (SCS)</w:t>
            </w:r>
          </w:p>
        </w:tc>
        <w:tc>
          <w:tcPr>
            <w:tcW w:w="2985" w:type="dxa"/>
            <w:tcMar>
              <w:left w:w="108" w:type="dxa"/>
              <w:right w:w="108" w:type="dxa"/>
            </w:tcMar>
          </w:tcPr>
          <w:p w14:paraId="528FF034" w14:textId="78AF799C" w:rsidR="502A4FC6" w:rsidRPr="001334F6" w:rsidRDefault="502A4FC6" w:rsidP="502A4FC6">
            <w:pPr>
              <w:spacing w:line="278" w:lineRule="auto"/>
              <w:rPr>
                <w:sz w:val="20"/>
                <w:szCs w:val="20"/>
              </w:rPr>
            </w:pPr>
            <w:r>
              <w:rPr>
                <w:rFonts w:ascii="Aptos" w:eastAsia="Aptos" w:hAnsi="Aptos" w:cs="Aptos"/>
                <w:sz w:val="20"/>
                <w:szCs w:val="20"/>
              </w:rPr>
              <w:t>Understandability, Completeness / causability (UM1, UM2)</w:t>
            </w:r>
          </w:p>
        </w:tc>
      </w:tr>
      <w:tr w:rsidR="502A4FC6" w:rsidRPr="001334F6" w14:paraId="31093B0C" w14:textId="77777777" w:rsidTr="502A4FC6">
        <w:trPr>
          <w:trHeight w:val="300"/>
        </w:trPr>
        <w:tc>
          <w:tcPr>
            <w:tcW w:w="1815" w:type="dxa"/>
            <w:tcMar>
              <w:left w:w="108" w:type="dxa"/>
              <w:right w:w="108" w:type="dxa"/>
            </w:tcMar>
          </w:tcPr>
          <w:p w14:paraId="258B651F" w14:textId="382A6139" w:rsidR="502A4FC6" w:rsidRPr="001334F6" w:rsidRDefault="502A4FC6" w:rsidP="502A4FC6">
            <w:pPr>
              <w:spacing w:line="278" w:lineRule="auto"/>
              <w:rPr>
                <w:sz w:val="20"/>
                <w:szCs w:val="20"/>
              </w:rPr>
            </w:pPr>
            <w:r>
              <w:rPr>
                <w:rFonts w:ascii="Aptos" w:eastAsia="Aptos" w:hAnsi="Aptos" w:cs="Aptos"/>
                <w:sz w:val="20"/>
                <w:szCs w:val="20"/>
              </w:rPr>
              <w:t>Naiseh et al. 2023</w:t>
            </w:r>
          </w:p>
        </w:tc>
        <w:tc>
          <w:tcPr>
            <w:tcW w:w="4275" w:type="dxa"/>
            <w:tcMar>
              <w:left w:w="108" w:type="dxa"/>
              <w:right w:w="108" w:type="dxa"/>
            </w:tcMar>
          </w:tcPr>
          <w:p w14:paraId="53E2AF8C" w14:textId="19F0E6F7" w:rsidR="502A4FC6" w:rsidRPr="001334F6" w:rsidRDefault="502A4FC6" w:rsidP="502A4FC6">
            <w:pPr>
              <w:spacing w:line="278" w:lineRule="auto"/>
              <w:rPr>
                <w:sz w:val="20"/>
                <w:szCs w:val="20"/>
              </w:rPr>
            </w:pPr>
            <w:r>
              <w:rPr>
                <w:rFonts w:ascii="Aptos" w:eastAsia="Aptos" w:hAnsi="Aptos" w:cs="Aptos"/>
                <w:sz w:val="20"/>
                <w:szCs w:val="20"/>
              </w:rPr>
              <w:t>Human–Computer Trust Scale (HCTS)</w:t>
            </w:r>
          </w:p>
        </w:tc>
        <w:tc>
          <w:tcPr>
            <w:tcW w:w="2985" w:type="dxa"/>
            <w:tcMar>
              <w:left w:w="108" w:type="dxa"/>
              <w:right w:w="108" w:type="dxa"/>
            </w:tcMar>
          </w:tcPr>
          <w:p w14:paraId="36054C58" w14:textId="00B0127A" w:rsidR="502A4FC6" w:rsidRPr="001334F6" w:rsidRDefault="502A4FC6" w:rsidP="502A4FC6">
            <w:pPr>
              <w:spacing w:line="278" w:lineRule="auto"/>
              <w:rPr>
                <w:sz w:val="20"/>
                <w:szCs w:val="20"/>
              </w:rPr>
            </w:pPr>
            <w:r>
              <w:rPr>
                <w:rFonts w:ascii="Aptos" w:eastAsia="Aptos" w:hAnsi="Aptos" w:cs="Aptos"/>
                <w:sz w:val="20"/>
                <w:szCs w:val="20"/>
              </w:rPr>
              <w:t>Trust (TR1); perceived-understandability component (UM1)</w:t>
            </w:r>
          </w:p>
        </w:tc>
      </w:tr>
      <w:tr w:rsidR="06D7A780" w14:paraId="3680C25F" w14:textId="77777777" w:rsidTr="06D7A780">
        <w:trPr>
          <w:trHeight w:val="300"/>
        </w:trPr>
        <w:tc>
          <w:tcPr>
            <w:tcW w:w="1807" w:type="dxa"/>
            <w:tcMar>
              <w:left w:w="108" w:type="dxa"/>
              <w:right w:w="108" w:type="dxa"/>
            </w:tcMar>
          </w:tcPr>
          <w:p w14:paraId="2E21D935" w14:textId="4E40262A" w:rsidR="5F71F2CC" w:rsidRDefault="5F71F2CC" w:rsidP="06D7A780">
            <w:pPr>
              <w:spacing w:line="278" w:lineRule="auto"/>
              <w:rPr>
                <w:rFonts w:ascii="Aptos" w:eastAsia="Aptos" w:hAnsi="Aptos" w:cs="Aptos"/>
                <w:sz w:val="20"/>
                <w:szCs w:val="20"/>
              </w:rPr>
            </w:pPr>
            <w:r>
              <w:rPr>
                <w:rFonts w:ascii="Aptos" w:eastAsia="Aptos" w:hAnsi="Aptos" w:cs="Aptos"/>
                <w:sz w:val="20"/>
                <w:szCs w:val="20"/>
              </w:rPr>
              <w:t>Panigutti et al. 2022, Panigutti et al. 2023</w:t>
            </w:r>
          </w:p>
        </w:tc>
        <w:tc>
          <w:tcPr>
            <w:tcW w:w="4243" w:type="dxa"/>
            <w:tcMar>
              <w:left w:w="108" w:type="dxa"/>
              <w:right w:w="108" w:type="dxa"/>
            </w:tcMar>
          </w:tcPr>
          <w:p w14:paraId="07F0EC5C" w14:textId="49C1892F" w:rsidR="5F71F2CC" w:rsidRDefault="5F71F2CC" w:rsidP="06D7A780">
            <w:pPr>
              <w:spacing w:line="278" w:lineRule="auto"/>
              <w:rPr>
                <w:rFonts w:ascii="Aptos" w:eastAsia="Aptos" w:hAnsi="Aptos" w:cs="Aptos"/>
                <w:sz w:val="20"/>
                <w:szCs w:val="20"/>
              </w:rPr>
            </w:pPr>
            <w:r>
              <w:rPr>
                <w:rFonts w:ascii="Aptos" w:eastAsia="Aptos" w:hAnsi="Aptos" w:cs="Aptos"/>
                <w:i/>
                <w:iCs/>
                <w:sz w:val="20"/>
                <w:szCs w:val="20"/>
              </w:rPr>
              <w:t>Explanation Satisfaction Scale</w:t>
            </w:r>
          </w:p>
        </w:tc>
        <w:tc>
          <w:tcPr>
            <w:tcW w:w="2971" w:type="dxa"/>
            <w:tcMar>
              <w:left w:w="108" w:type="dxa"/>
              <w:right w:w="108" w:type="dxa"/>
            </w:tcMar>
          </w:tcPr>
          <w:p w14:paraId="2BDAE720" w14:textId="789504C1" w:rsidR="5F71F2CC" w:rsidRDefault="5F71F2CC" w:rsidP="06D7A780">
            <w:pPr>
              <w:spacing w:after="0"/>
              <w:rPr>
                <w:rFonts w:ascii="Aptos" w:eastAsia="Aptos" w:hAnsi="Aptos" w:cs="Aptos"/>
                <w:sz w:val="20"/>
                <w:szCs w:val="20"/>
              </w:rPr>
            </w:pPr>
            <w:r>
              <w:rPr>
                <w:rFonts w:ascii="Aptos" w:eastAsia="Aptos" w:hAnsi="Aptos" w:cs="Aptos"/>
                <w:sz w:val="20"/>
                <w:szCs w:val="20"/>
              </w:rPr>
              <w:t>Satisfaction (EU1)</w:t>
            </w:r>
          </w:p>
          <w:p w14:paraId="3F50F21B" w14:textId="237EAAFD" w:rsidR="06D7A780" w:rsidRDefault="06D7A780" w:rsidP="06D7A780">
            <w:pPr>
              <w:spacing w:line="278" w:lineRule="auto"/>
              <w:rPr>
                <w:rFonts w:ascii="Aptos" w:eastAsia="Aptos" w:hAnsi="Aptos" w:cs="Aptos"/>
                <w:sz w:val="20"/>
                <w:szCs w:val="20"/>
              </w:rPr>
            </w:pPr>
          </w:p>
        </w:tc>
      </w:tr>
    </w:tbl>
    <w:p w14:paraId="3A6C2765" w14:textId="05D22500" w:rsidR="00A80CA5" w:rsidRPr="00AE309A" w:rsidRDefault="2654D3B7" w:rsidP="502A4FC6">
      <w:pPr>
        <w:spacing w:before="240" w:after="180" w:line="276" w:lineRule="auto"/>
      </w:pPr>
      <w:r>
        <w:rPr>
          <w:rFonts w:ascii="Times New Roman" w:eastAsia="Times New Roman" w:hAnsi="Times New Roman" w:cs="Times New Roman"/>
          <w:b/>
          <w:bCs/>
          <w:sz w:val="20"/>
          <w:szCs w:val="20"/>
          <w:lang w:val="en-US"/>
        </w:rPr>
        <w:t xml:space="preserve"> </w:t>
      </w:r>
    </w:p>
    <w:p w14:paraId="76BC28A7" w14:textId="2827EED9" w:rsidR="00A80CA5" w:rsidRPr="00AE309A" w:rsidRDefault="2654D3B7" w:rsidP="502A4FC6">
      <w:pPr>
        <w:spacing w:before="60" w:after="180" w:line="276" w:lineRule="auto"/>
      </w:pPr>
      <w:r>
        <w:rPr>
          <w:rFonts w:ascii="Times New Roman" w:eastAsia="Times New Roman" w:hAnsi="Times New Roman" w:cs="Times New Roman"/>
          <w:b/>
          <w:bCs/>
          <w:sz w:val="28"/>
          <w:szCs w:val="28"/>
          <w:lang w:val="en-US"/>
        </w:rPr>
        <w:t>A2.3 Behavioral and objective measures used in the included studies</w:t>
      </w:r>
    </w:p>
    <w:p w14:paraId="32450D21" w14:textId="4FC9C688" w:rsidR="00A80CA5" w:rsidRPr="00AE309A" w:rsidRDefault="2654D3B7" w:rsidP="502A4FC6">
      <w:pPr>
        <w:spacing w:before="60" w:after="180" w:line="276" w:lineRule="auto"/>
      </w:pPr>
      <w:r>
        <w:rPr>
          <w:rFonts w:ascii="Times New Roman" w:eastAsia="Times New Roman" w:hAnsi="Times New Roman" w:cs="Times New Roman"/>
          <w:b/>
          <w:bCs/>
          <w:sz w:val="20"/>
          <w:szCs w:val="20"/>
          <w:lang w:val="en-US"/>
        </w:rPr>
        <w:t>Table A2.3 Measures supporting the 60 study-by-construct mappings classified as objective behavioral evidence, plus eye-tracking as an additional behavioral process measure. When the same behavioral measure supported both general reliance (TR2) and appropriate reliance (TR3), both constructs are shown in one row; studies may therefore appear multiple times across different constructs.</w:t>
      </w:r>
    </w:p>
    <w:tbl>
      <w:tblPr>
        <w:tblW w:w="0" w:type="auto"/>
        <w:tblLook w:val="04A0" w:firstRow="1" w:lastRow="0" w:firstColumn="1" w:lastColumn="0" w:noHBand="0" w:noVBand="1"/>
      </w:tblPr>
      <w:tblGrid>
        <w:gridCol w:w="1677"/>
        <w:gridCol w:w="2423"/>
        <w:gridCol w:w="2074"/>
        <w:gridCol w:w="1394"/>
        <w:gridCol w:w="1438"/>
      </w:tblGrid>
      <w:tr w:rsidR="502A4FC6" w:rsidRPr="001334F6" w14:paraId="7989AFFB" w14:textId="77777777" w:rsidTr="502A4FC6">
        <w:trPr>
          <w:trHeight w:val="300"/>
        </w:trPr>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263E9A8A" w14:textId="5EC9DA30"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Study</w:t>
            </w:r>
          </w:p>
        </w:tc>
        <w:tc>
          <w:tcPr>
            <w:tcW w:w="244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5CD0C560" w14:textId="083AACB0"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Measure</w:t>
            </w:r>
          </w:p>
        </w:tc>
        <w:tc>
          <w:tcPr>
            <w:tcW w:w="21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4488BD05" w14:textId="6AFF4C08"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Construct(s)</w:t>
            </w:r>
          </w:p>
        </w:tc>
        <w:tc>
          <w:tcPr>
            <w:tcW w:w="13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0A3732BB" w14:textId="34A4E123"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Paradigm</w:t>
            </w:r>
          </w:p>
        </w:tc>
        <w:tc>
          <w:tcPr>
            <w:tcW w:w="14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4F5B3A13" w14:textId="42E977EC" w:rsidR="502A4FC6" w:rsidRPr="001334F6"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Correctness manipulation</w:t>
            </w:r>
          </w:p>
        </w:tc>
      </w:tr>
      <w:tr w:rsidR="502A4FC6" w:rsidRPr="001334F6" w14:paraId="675EF4CB" w14:textId="77777777" w:rsidTr="502A4FC6">
        <w:trPr>
          <w:trHeight w:val="300"/>
        </w:trPr>
        <w:tc>
          <w:tcPr>
            <w:tcW w:w="1695" w:type="dxa"/>
            <w:tcMar>
              <w:left w:w="108" w:type="dxa"/>
              <w:right w:w="108" w:type="dxa"/>
            </w:tcMar>
          </w:tcPr>
          <w:p w14:paraId="1E6DA178" w14:textId="62F158B1" w:rsidR="502A4FC6" w:rsidRPr="001334F6" w:rsidRDefault="502A4FC6" w:rsidP="502A4FC6">
            <w:pPr>
              <w:spacing w:line="278" w:lineRule="auto"/>
              <w:rPr>
                <w:sz w:val="20"/>
                <w:szCs w:val="20"/>
              </w:rPr>
            </w:pPr>
            <w:r>
              <w:rPr>
                <w:rFonts w:ascii="Aptos" w:eastAsia="Aptos" w:hAnsi="Aptos" w:cs="Aptos"/>
                <w:sz w:val="20"/>
                <w:szCs w:val="20"/>
              </w:rPr>
              <w:t>Panigutti et al. 2022</w:t>
            </w:r>
          </w:p>
        </w:tc>
        <w:tc>
          <w:tcPr>
            <w:tcW w:w="2445" w:type="dxa"/>
            <w:tcMar>
              <w:left w:w="108" w:type="dxa"/>
              <w:right w:w="108" w:type="dxa"/>
            </w:tcMar>
          </w:tcPr>
          <w:p w14:paraId="54674A0B" w14:textId="45C5FA98" w:rsidR="502A4FC6" w:rsidRPr="001334F6" w:rsidRDefault="502A4FC6" w:rsidP="502A4FC6">
            <w:pPr>
              <w:spacing w:line="278" w:lineRule="auto"/>
              <w:rPr>
                <w:sz w:val="20"/>
                <w:szCs w:val="20"/>
              </w:rPr>
            </w:pPr>
            <w:r>
              <w:rPr>
                <w:rFonts w:ascii="Aptos" w:eastAsia="Aptos" w:hAnsi="Aptos" w:cs="Aptos"/>
                <w:sz w:val="20"/>
                <w:szCs w:val="20"/>
              </w:rPr>
              <w:t>Weight of Advice (pre-post estimate change)</w:t>
            </w:r>
          </w:p>
        </w:tc>
        <w:tc>
          <w:tcPr>
            <w:tcW w:w="2100" w:type="dxa"/>
            <w:tcMar>
              <w:left w:w="108" w:type="dxa"/>
              <w:right w:w="108" w:type="dxa"/>
            </w:tcMar>
          </w:tcPr>
          <w:p w14:paraId="47E37134" w14:textId="0622A2B4" w:rsidR="502A4FC6" w:rsidRPr="001334F6" w:rsidRDefault="502A4FC6" w:rsidP="502A4FC6">
            <w:pPr>
              <w:spacing w:line="278" w:lineRule="auto"/>
              <w:rPr>
                <w:sz w:val="20"/>
                <w:szCs w:val="20"/>
              </w:rPr>
            </w:pPr>
            <w:r>
              <w:rPr>
                <w:rFonts w:ascii="Aptos" w:eastAsia="Aptos" w:hAnsi="Aptos" w:cs="Aptos"/>
                <w:sz w:val="20"/>
                <w:szCs w:val="20"/>
              </w:rPr>
              <w:t>Reliance (TR2)</w:t>
            </w:r>
          </w:p>
        </w:tc>
        <w:tc>
          <w:tcPr>
            <w:tcW w:w="1395" w:type="dxa"/>
            <w:tcMar>
              <w:left w:w="108" w:type="dxa"/>
              <w:right w:w="108" w:type="dxa"/>
            </w:tcMar>
          </w:tcPr>
          <w:p w14:paraId="53EB153F" w14:textId="66C3EE2E" w:rsidR="502A4FC6" w:rsidRPr="001334F6" w:rsidRDefault="502A4FC6" w:rsidP="502A4FC6">
            <w:pPr>
              <w:spacing w:line="278" w:lineRule="auto"/>
              <w:rPr>
                <w:sz w:val="20"/>
                <w:szCs w:val="20"/>
              </w:rPr>
            </w:pPr>
            <w:r>
              <w:rPr>
                <w:rFonts w:ascii="Aptos" w:eastAsia="Aptos" w:hAnsi="Aptos" w:cs="Aptos"/>
                <w:sz w:val="20"/>
                <w:szCs w:val="20"/>
              </w:rPr>
              <w:t>WoA</w:t>
            </w:r>
          </w:p>
        </w:tc>
        <w:tc>
          <w:tcPr>
            <w:tcW w:w="1440" w:type="dxa"/>
            <w:tcMar>
              <w:left w:w="108" w:type="dxa"/>
              <w:right w:w="108" w:type="dxa"/>
            </w:tcMar>
          </w:tcPr>
          <w:p w14:paraId="623CA25B" w14:textId="178F762F" w:rsidR="502A4FC6" w:rsidRPr="001334F6" w:rsidRDefault="502A4FC6" w:rsidP="502A4FC6">
            <w:pPr>
              <w:spacing w:line="278" w:lineRule="auto"/>
              <w:rPr>
                <w:sz w:val="20"/>
                <w:szCs w:val="20"/>
              </w:rPr>
            </w:pPr>
            <w:r>
              <w:rPr>
                <w:rFonts w:ascii="Aptos" w:eastAsia="Aptos" w:hAnsi="Aptos" w:cs="Aptos"/>
                <w:sz w:val="20"/>
                <w:szCs w:val="20"/>
              </w:rPr>
              <w:t>No</w:t>
            </w:r>
          </w:p>
        </w:tc>
      </w:tr>
      <w:tr w:rsidR="502A4FC6" w:rsidRPr="001334F6" w14:paraId="6C67BD44" w14:textId="77777777" w:rsidTr="502A4FC6">
        <w:trPr>
          <w:trHeight w:val="300"/>
        </w:trPr>
        <w:tc>
          <w:tcPr>
            <w:tcW w:w="1695" w:type="dxa"/>
            <w:tcMar>
              <w:left w:w="108" w:type="dxa"/>
              <w:right w:w="108" w:type="dxa"/>
            </w:tcMar>
          </w:tcPr>
          <w:p w14:paraId="1E3A4867" w14:textId="346C4AD5" w:rsidR="502A4FC6" w:rsidRPr="001334F6" w:rsidRDefault="502A4FC6" w:rsidP="502A4FC6">
            <w:pPr>
              <w:spacing w:line="278" w:lineRule="auto"/>
              <w:rPr>
                <w:sz w:val="20"/>
                <w:szCs w:val="20"/>
              </w:rPr>
            </w:pPr>
            <w:r>
              <w:rPr>
                <w:rFonts w:ascii="Aptos" w:eastAsia="Aptos" w:hAnsi="Aptos" w:cs="Aptos"/>
                <w:sz w:val="20"/>
                <w:szCs w:val="20"/>
              </w:rPr>
              <w:t>Panigutti et al. 2023</w:t>
            </w:r>
          </w:p>
        </w:tc>
        <w:tc>
          <w:tcPr>
            <w:tcW w:w="2445" w:type="dxa"/>
            <w:tcMar>
              <w:left w:w="108" w:type="dxa"/>
              <w:right w:w="108" w:type="dxa"/>
            </w:tcMar>
          </w:tcPr>
          <w:p w14:paraId="3842613B" w14:textId="7A5A362A" w:rsidR="502A4FC6" w:rsidRPr="001334F6" w:rsidRDefault="502A4FC6" w:rsidP="502A4FC6">
            <w:pPr>
              <w:spacing w:line="278" w:lineRule="auto"/>
              <w:rPr>
                <w:sz w:val="20"/>
                <w:szCs w:val="20"/>
              </w:rPr>
            </w:pPr>
            <w:r>
              <w:rPr>
                <w:rFonts w:ascii="Aptos" w:eastAsia="Aptos" w:hAnsi="Aptos" w:cs="Aptos"/>
                <w:sz w:val="20"/>
                <w:szCs w:val="20"/>
              </w:rPr>
              <w:t>Weight of Advice (pre-post estimate change)</w:t>
            </w:r>
          </w:p>
        </w:tc>
        <w:tc>
          <w:tcPr>
            <w:tcW w:w="2100" w:type="dxa"/>
            <w:tcMar>
              <w:left w:w="108" w:type="dxa"/>
              <w:right w:w="108" w:type="dxa"/>
            </w:tcMar>
          </w:tcPr>
          <w:p w14:paraId="1EB67D1E" w14:textId="78495ABC" w:rsidR="502A4FC6" w:rsidRPr="001334F6" w:rsidRDefault="502A4FC6" w:rsidP="502A4FC6">
            <w:pPr>
              <w:spacing w:line="278" w:lineRule="auto"/>
              <w:rPr>
                <w:sz w:val="20"/>
                <w:szCs w:val="20"/>
              </w:rPr>
            </w:pPr>
            <w:r>
              <w:rPr>
                <w:rFonts w:ascii="Aptos" w:eastAsia="Aptos" w:hAnsi="Aptos" w:cs="Aptos"/>
                <w:sz w:val="20"/>
                <w:szCs w:val="20"/>
              </w:rPr>
              <w:t>Reliance (TR2)</w:t>
            </w:r>
          </w:p>
        </w:tc>
        <w:tc>
          <w:tcPr>
            <w:tcW w:w="1395" w:type="dxa"/>
            <w:tcMar>
              <w:left w:w="108" w:type="dxa"/>
              <w:right w:w="108" w:type="dxa"/>
            </w:tcMar>
          </w:tcPr>
          <w:p w14:paraId="6D704900" w14:textId="5B8AFA90" w:rsidR="502A4FC6" w:rsidRPr="001334F6" w:rsidRDefault="502A4FC6" w:rsidP="502A4FC6">
            <w:pPr>
              <w:spacing w:line="278" w:lineRule="auto"/>
              <w:rPr>
                <w:sz w:val="20"/>
                <w:szCs w:val="20"/>
              </w:rPr>
            </w:pPr>
            <w:r>
              <w:rPr>
                <w:rFonts w:ascii="Aptos" w:eastAsia="Aptos" w:hAnsi="Aptos" w:cs="Aptos"/>
                <w:sz w:val="20"/>
                <w:szCs w:val="20"/>
              </w:rPr>
              <w:t>WoA</w:t>
            </w:r>
          </w:p>
        </w:tc>
        <w:tc>
          <w:tcPr>
            <w:tcW w:w="1440" w:type="dxa"/>
            <w:tcMar>
              <w:left w:w="108" w:type="dxa"/>
              <w:right w:w="108" w:type="dxa"/>
            </w:tcMar>
          </w:tcPr>
          <w:p w14:paraId="5C64CE90" w14:textId="53A7F606" w:rsidR="502A4FC6" w:rsidRPr="001334F6" w:rsidRDefault="502A4FC6" w:rsidP="502A4FC6">
            <w:pPr>
              <w:spacing w:line="278" w:lineRule="auto"/>
              <w:rPr>
                <w:sz w:val="20"/>
                <w:szCs w:val="20"/>
              </w:rPr>
            </w:pPr>
            <w:r>
              <w:rPr>
                <w:rFonts w:ascii="Aptos" w:eastAsia="Aptos" w:hAnsi="Aptos" w:cs="Aptos"/>
                <w:sz w:val="20"/>
                <w:szCs w:val="20"/>
              </w:rPr>
              <w:t>No</w:t>
            </w:r>
          </w:p>
        </w:tc>
      </w:tr>
      <w:tr w:rsidR="502A4FC6" w:rsidRPr="001334F6" w14:paraId="1F52B1AD" w14:textId="77777777" w:rsidTr="502A4FC6">
        <w:trPr>
          <w:trHeight w:val="300"/>
        </w:trPr>
        <w:tc>
          <w:tcPr>
            <w:tcW w:w="1695" w:type="dxa"/>
            <w:tcMar>
              <w:left w:w="108" w:type="dxa"/>
              <w:right w:w="108" w:type="dxa"/>
            </w:tcMar>
          </w:tcPr>
          <w:p w14:paraId="7E8AA471" w14:textId="089B2BFC" w:rsidR="502A4FC6" w:rsidRPr="001334F6" w:rsidRDefault="502A4FC6" w:rsidP="502A4FC6">
            <w:pPr>
              <w:spacing w:line="278" w:lineRule="auto"/>
              <w:rPr>
                <w:sz w:val="20"/>
                <w:szCs w:val="20"/>
              </w:rPr>
            </w:pPr>
            <w:r>
              <w:rPr>
                <w:rFonts w:ascii="Aptos" w:eastAsia="Aptos" w:hAnsi="Aptos" w:cs="Aptos"/>
                <w:sz w:val="20"/>
                <w:szCs w:val="20"/>
              </w:rPr>
              <w:t>Hur et al. 2025</w:t>
            </w:r>
          </w:p>
        </w:tc>
        <w:tc>
          <w:tcPr>
            <w:tcW w:w="2445" w:type="dxa"/>
            <w:tcMar>
              <w:left w:w="108" w:type="dxa"/>
              <w:right w:w="108" w:type="dxa"/>
            </w:tcMar>
          </w:tcPr>
          <w:p w14:paraId="1F6DC806" w14:textId="579DAA6A" w:rsidR="502A4FC6" w:rsidRPr="001334F6" w:rsidRDefault="502A4FC6" w:rsidP="502A4FC6">
            <w:pPr>
              <w:spacing w:line="278" w:lineRule="auto"/>
              <w:rPr>
                <w:sz w:val="20"/>
                <w:szCs w:val="20"/>
              </w:rPr>
            </w:pPr>
            <w:r>
              <w:rPr>
                <w:rFonts w:ascii="Aptos" w:eastAsia="Aptos" w:hAnsi="Aptos" w:cs="Aptos"/>
                <w:sz w:val="20"/>
                <w:szCs w:val="20"/>
              </w:rPr>
              <w:t>Weight of Advice (pre-post revision)</w:t>
            </w:r>
          </w:p>
        </w:tc>
        <w:tc>
          <w:tcPr>
            <w:tcW w:w="2100" w:type="dxa"/>
            <w:tcMar>
              <w:left w:w="108" w:type="dxa"/>
              <w:right w:w="108" w:type="dxa"/>
            </w:tcMar>
          </w:tcPr>
          <w:p w14:paraId="4479F201" w14:textId="4A6154F6" w:rsidR="502A4FC6" w:rsidRPr="001334F6" w:rsidRDefault="502A4FC6" w:rsidP="502A4FC6">
            <w:pPr>
              <w:spacing w:line="278" w:lineRule="auto"/>
              <w:rPr>
                <w:sz w:val="20"/>
                <w:szCs w:val="20"/>
              </w:rPr>
            </w:pPr>
            <w:r>
              <w:rPr>
                <w:rFonts w:ascii="Aptos" w:eastAsia="Aptos" w:hAnsi="Aptos" w:cs="Aptos"/>
                <w:sz w:val="20"/>
                <w:szCs w:val="20"/>
              </w:rPr>
              <w:t>Reliance (TR2)</w:t>
            </w:r>
          </w:p>
        </w:tc>
        <w:tc>
          <w:tcPr>
            <w:tcW w:w="1395" w:type="dxa"/>
            <w:tcMar>
              <w:left w:w="108" w:type="dxa"/>
              <w:right w:w="108" w:type="dxa"/>
            </w:tcMar>
          </w:tcPr>
          <w:p w14:paraId="12B535E3" w14:textId="0357BA39" w:rsidR="502A4FC6" w:rsidRPr="001334F6" w:rsidRDefault="502A4FC6" w:rsidP="502A4FC6">
            <w:pPr>
              <w:spacing w:line="278" w:lineRule="auto"/>
              <w:rPr>
                <w:sz w:val="20"/>
                <w:szCs w:val="20"/>
              </w:rPr>
            </w:pPr>
            <w:r>
              <w:rPr>
                <w:rFonts w:ascii="Aptos" w:eastAsia="Aptos" w:hAnsi="Aptos" w:cs="Aptos"/>
                <w:sz w:val="20"/>
                <w:szCs w:val="20"/>
              </w:rPr>
              <w:t>WoA</w:t>
            </w:r>
          </w:p>
        </w:tc>
        <w:tc>
          <w:tcPr>
            <w:tcW w:w="1440" w:type="dxa"/>
            <w:tcMar>
              <w:left w:w="108" w:type="dxa"/>
              <w:right w:w="108" w:type="dxa"/>
            </w:tcMar>
          </w:tcPr>
          <w:p w14:paraId="7E3D79FB" w14:textId="0F495D6D" w:rsidR="502A4FC6" w:rsidRPr="001334F6" w:rsidRDefault="502A4FC6" w:rsidP="502A4FC6">
            <w:pPr>
              <w:spacing w:line="278" w:lineRule="auto"/>
              <w:rPr>
                <w:sz w:val="20"/>
                <w:szCs w:val="20"/>
              </w:rPr>
            </w:pPr>
            <w:r>
              <w:rPr>
                <w:rFonts w:ascii="Aptos" w:eastAsia="Aptos" w:hAnsi="Aptos" w:cs="Aptos"/>
                <w:sz w:val="20"/>
                <w:szCs w:val="20"/>
              </w:rPr>
              <w:t>No</w:t>
            </w:r>
          </w:p>
        </w:tc>
      </w:tr>
      <w:tr w:rsidR="502A4FC6" w:rsidRPr="001334F6" w14:paraId="50C2B93D" w14:textId="77777777" w:rsidTr="502A4FC6">
        <w:trPr>
          <w:trHeight w:val="300"/>
        </w:trPr>
        <w:tc>
          <w:tcPr>
            <w:tcW w:w="1695" w:type="dxa"/>
            <w:tcMar>
              <w:left w:w="108" w:type="dxa"/>
              <w:right w:w="108" w:type="dxa"/>
            </w:tcMar>
          </w:tcPr>
          <w:p w14:paraId="70DCB3DB" w14:textId="2B83DD59" w:rsidR="502A4FC6" w:rsidRPr="001334F6" w:rsidRDefault="502A4FC6" w:rsidP="502A4FC6">
            <w:pPr>
              <w:spacing w:line="278" w:lineRule="auto"/>
              <w:rPr>
                <w:sz w:val="20"/>
                <w:szCs w:val="20"/>
              </w:rPr>
            </w:pPr>
            <w:r>
              <w:rPr>
                <w:rFonts w:ascii="Aptos" w:eastAsia="Aptos" w:hAnsi="Aptos" w:cs="Aptos"/>
                <w:sz w:val="20"/>
                <w:szCs w:val="20"/>
              </w:rPr>
              <w:t>Laxar et al. 2023</w:t>
            </w:r>
          </w:p>
        </w:tc>
        <w:tc>
          <w:tcPr>
            <w:tcW w:w="2445" w:type="dxa"/>
            <w:tcMar>
              <w:left w:w="108" w:type="dxa"/>
              <w:right w:w="108" w:type="dxa"/>
            </w:tcMar>
          </w:tcPr>
          <w:p w14:paraId="01D1E450" w14:textId="2D241D99" w:rsidR="502A4FC6" w:rsidRPr="001334F6" w:rsidRDefault="502A4FC6" w:rsidP="502A4FC6">
            <w:pPr>
              <w:spacing w:line="278" w:lineRule="auto"/>
              <w:rPr>
                <w:sz w:val="20"/>
                <w:szCs w:val="20"/>
              </w:rPr>
            </w:pPr>
            <w:r>
              <w:rPr>
                <w:rFonts w:ascii="Aptos" w:eastAsia="Aptos" w:hAnsi="Aptos" w:cs="Aptos"/>
                <w:sz w:val="20"/>
                <w:szCs w:val="20"/>
              </w:rPr>
              <w:t>Weight of Advice / advice uptake</w:t>
            </w:r>
          </w:p>
        </w:tc>
        <w:tc>
          <w:tcPr>
            <w:tcW w:w="2100" w:type="dxa"/>
            <w:tcMar>
              <w:left w:w="108" w:type="dxa"/>
              <w:right w:w="108" w:type="dxa"/>
            </w:tcMar>
          </w:tcPr>
          <w:p w14:paraId="0140AF50" w14:textId="15B0E867" w:rsidR="502A4FC6" w:rsidRPr="001334F6" w:rsidRDefault="502A4FC6" w:rsidP="502A4FC6">
            <w:pPr>
              <w:spacing w:line="278" w:lineRule="auto"/>
              <w:rPr>
                <w:sz w:val="20"/>
                <w:szCs w:val="20"/>
              </w:rPr>
            </w:pPr>
            <w:r>
              <w:rPr>
                <w:rFonts w:ascii="Aptos" w:eastAsia="Aptos" w:hAnsi="Aptos" w:cs="Aptos"/>
                <w:sz w:val="20"/>
                <w:szCs w:val="20"/>
              </w:rPr>
              <w:t>Reliance (TR2)</w:t>
            </w:r>
          </w:p>
        </w:tc>
        <w:tc>
          <w:tcPr>
            <w:tcW w:w="1395" w:type="dxa"/>
            <w:tcMar>
              <w:left w:w="108" w:type="dxa"/>
              <w:right w:w="108" w:type="dxa"/>
            </w:tcMar>
          </w:tcPr>
          <w:p w14:paraId="1717ADD4" w14:textId="643263F2" w:rsidR="502A4FC6" w:rsidRPr="001334F6" w:rsidRDefault="502A4FC6" w:rsidP="502A4FC6">
            <w:pPr>
              <w:spacing w:line="278" w:lineRule="auto"/>
              <w:rPr>
                <w:sz w:val="20"/>
                <w:szCs w:val="20"/>
              </w:rPr>
            </w:pPr>
            <w:r>
              <w:rPr>
                <w:rFonts w:ascii="Aptos" w:eastAsia="Aptos" w:hAnsi="Aptos" w:cs="Aptos"/>
                <w:sz w:val="20"/>
                <w:szCs w:val="20"/>
              </w:rPr>
              <w:t>WoA</w:t>
            </w:r>
          </w:p>
        </w:tc>
        <w:tc>
          <w:tcPr>
            <w:tcW w:w="1440" w:type="dxa"/>
            <w:tcMar>
              <w:left w:w="108" w:type="dxa"/>
              <w:right w:w="108" w:type="dxa"/>
            </w:tcMar>
          </w:tcPr>
          <w:p w14:paraId="5CDD6F41" w14:textId="05905F10" w:rsidR="502A4FC6" w:rsidRPr="001334F6" w:rsidRDefault="502A4FC6" w:rsidP="502A4FC6">
            <w:pPr>
              <w:spacing w:line="278" w:lineRule="auto"/>
              <w:rPr>
                <w:sz w:val="20"/>
                <w:szCs w:val="20"/>
              </w:rPr>
            </w:pPr>
            <w:r>
              <w:rPr>
                <w:rFonts w:ascii="Aptos" w:eastAsia="Aptos" w:hAnsi="Aptos" w:cs="Aptos"/>
                <w:sz w:val="20"/>
                <w:szCs w:val="20"/>
              </w:rPr>
              <w:t>No</w:t>
            </w:r>
          </w:p>
        </w:tc>
      </w:tr>
      <w:tr w:rsidR="502A4FC6" w:rsidRPr="001334F6" w14:paraId="56F6719E" w14:textId="77777777" w:rsidTr="502A4FC6">
        <w:trPr>
          <w:trHeight w:val="300"/>
        </w:trPr>
        <w:tc>
          <w:tcPr>
            <w:tcW w:w="1695" w:type="dxa"/>
            <w:tcMar>
              <w:left w:w="108" w:type="dxa"/>
              <w:right w:w="108" w:type="dxa"/>
            </w:tcMar>
          </w:tcPr>
          <w:p w14:paraId="70148066" w14:textId="42E75C00" w:rsidR="502A4FC6" w:rsidRPr="001334F6" w:rsidRDefault="502A4FC6" w:rsidP="502A4FC6">
            <w:pPr>
              <w:spacing w:line="278" w:lineRule="auto"/>
              <w:rPr>
                <w:sz w:val="20"/>
                <w:szCs w:val="20"/>
              </w:rPr>
            </w:pPr>
            <w:r>
              <w:rPr>
                <w:rFonts w:ascii="Aptos" w:eastAsia="Aptos" w:hAnsi="Aptos" w:cs="Aptos"/>
                <w:sz w:val="20"/>
                <w:szCs w:val="20"/>
              </w:rPr>
              <w:t>Du et al. 2022</w:t>
            </w:r>
          </w:p>
        </w:tc>
        <w:tc>
          <w:tcPr>
            <w:tcW w:w="2445" w:type="dxa"/>
            <w:tcMar>
              <w:left w:w="108" w:type="dxa"/>
              <w:right w:w="108" w:type="dxa"/>
            </w:tcMar>
          </w:tcPr>
          <w:p w14:paraId="45C3EA1B" w14:textId="477C5AB3" w:rsidR="502A4FC6" w:rsidRPr="001334F6" w:rsidRDefault="502A4FC6" w:rsidP="502A4FC6">
            <w:pPr>
              <w:spacing w:line="278" w:lineRule="auto"/>
              <w:rPr>
                <w:sz w:val="20"/>
                <w:szCs w:val="20"/>
              </w:rPr>
            </w:pPr>
            <w:r>
              <w:rPr>
                <w:rFonts w:ascii="Aptos" w:eastAsia="Aptos" w:hAnsi="Aptos" w:cs="Aptos"/>
                <w:sz w:val="20"/>
                <w:szCs w:val="20"/>
              </w:rPr>
              <w:t>Weight of Advice under correct and incorrect predictions</w:t>
            </w:r>
          </w:p>
        </w:tc>
        <w:tc>
          <w:tcPr>
            <w:tcW w:w="2100" w:type="dxa"/>
            <w:tcMar>
              <w:left w:w="108" w:type="dxa"/>
              <w:right w:w="108" w:type="dxa"/>
            </w:tcMar>
          </w:tcPr>
          <w:p w14:paraId="5995BAE3" w14:textId="145DE094"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4398291E" w14:textId="4D1ADC8A" w:rsidR="502A4FC6" w:rsidRPr="001334F6" w:rsidRDefault="502A4FC6" w:rsidP="502A4FC6">
            <w:pPr>
              <w:spacing w:line="278" w:lineRule="auto"/>
              <w:rPr>
                <w:sz w:val="20"/>
                <w:szCs w:val="20"/>
              </w:rPr>
            </w:pPr>
            <w:r>
              <w:rPr>
                <w:rFonts w:ascii="Aptos" w:eastAsia="Aptos" w:hAnsi="Aptos" w:cs="Aptos"/>
                <w:sz w:val="20"/>
                <w:szCs w:val="20"/>
              </w:rPr>
              <w:t>WoA + correctness</w:t>
            </w:r>
          </w:p>
        </w:tc>
        <w:tc>
          <w:tcPr>
            <w:tcW w:w="1440" w:type="dxa"/>
            <w:tcMar>
              <w:left w:w="108" w:type="dxa"/>
              <w:right w:w="108" w:type="dxa"/>
            </w:tcMar>
          </w:tcPr>
          <w:p w14:paraId="7465A729" w14:textId="5ACD0FF9" w:rsidR="502A4FC6" w:rsidRPr="001334F6" w:rsidRDefault="502A4FC6" w:rsidP="502A4FC6">
            <w:pPr>
              <w:spacing w:line="278" w:lineRule="auto"/>
              <w:rPr>
                <w:sz w:val="20"/>
                <w:szCs w:val="20"/>
              </w:rPr>
            </w:pPr>
            <w:r>
              <w:rPr>
                <w:rFonts w:ascii="Aptos" w:eastAsia="Aptos" w:hAnsi="Aptos" w:cs="Aptos"/>
                <w:sz w:val="20"/>
                <w:szCs w:val="20"/>
              </w:rPr>
              <w:t>Correctness varied across cases</w:t>
            </w:r>
          </w:p>
        </w:tc>
      </w:tr>
      <w:tr w:rsidR="502A4FC6" w:rsidRPr="001334F6" w14:paraId="67342274" w14:textId="77777777" w:rsidTr="502A4FC6">
        <w:trPr>
          <w:trHeight w:val="300"/>
        </w:trPr>
        <w:tc>
          <w:tcPr>
            <w:tcW w:w="1695" w:type="dxa"/>
            <w:tcMar>
              <w:left w:w="108" w:type="dxa"/>
              <w:right w:w="108" w:type="dxa"/>
            </w:tcMar>
          </w:tcPr>
          <w:p w14:paraId="7056D387" w14:textId="64840992" w:rsidR="502A4FC6" w:rsidRPr="001334F6" w:rsidRDefault="502A4FC6" w:rsidP="502A4FC6">
            <w:pPr>
              <w:spacing w:line="278" w:lineRule="auto"/>
              <w:rPr>
                <w:sz w:val="20"/>
                <w:szCs w:val="20"/>
              </w:rPr>
            </w:pPr>
            <w:r>
              <w:rPr>
                <w:rFonts w:ascii="Aptos" w:eastAsia="Aptos" w:hAnsi="Aptos" w:cs="Aptos"/>
                <w:sz w:val="20"/>
                <w:szCs w:val="20"/>
              </w:rPr>
              <w:lastRenderedPageBreak/>
              <w:t>Nicolson et al. 2025</w:t>
            </w:r>
          </w:p>
        </w:tc>
        <w:tc>
          <w:tcPr>
            <w:tcW w:w="2445" w:type="dxa"/>
            <w:tcMar>
              <w:left w:w="108" w:type="dxa"/>
              <w:right w:w="108" w:type="dxa"/>
            </w:tcMar>
          </w:tcPr>
          <w:p w14:paraId="6BC98927" w14:textId="0744E4CC" w:rsidR="502A4FC6" w:rsidRPr="001334F6" w:rsidRDefault="502A4FC6" w:rsidP="502A4FC6">
            <w:pPr>
              <w:spacing w:line="278" w:lineRule="auto"/>
              <w:rPr>
                <w:sz w:val="20"/>
                <w:szCs w:val="20"/>
              </w:rPr>
            </w:pPr>
            <w:r>
              <w:rPr>
                <w:rFonts w:ascii="Aptos" w:eastAsia="Aptos" w:hAnsi="Aptos" w:cs="Aptos"/>
                <w:sz w:val="20"/>
                <w:szCs w:val="20"/>
              </w:rPr>
              <w:t>WoA + agreement; calibrated appropriate / over- / under-reliance classification</w:t>
            </w:r>
          </w:p>
        </w:tc>
        <w:tc>
          <w:tcPr>
            <w:tcW w:w="2100" w:type="dxa"/>
            <w:tcMar>
              <w:left w:w="108" w:type="dxa"/>
              <w:right w:w="108" w:type="dxa"/>
            </w:tcMar>
          </w:tcPr>
          <w:p w14:paraId="3736CE04" w14:textId="180F922F"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51CEA3E9" w14:textId="06453592" w:rsidR="502A4FC6" w:rsidRPr="001334F6" w:rsidRDefault="502A4FC6" w:rsidP="502A4FC6">
            <w:pPr>
              <w:spacing w:line="278" w:lineRule="auto"/>
              <w:rPr>
                <w:sz w:val="20"/>
                <w:szCs w:val="20"/>
              </w:rPr>
            </w:pPr>
            <w:r>
              <w:rPr>
                <w:rFonts w:ascii="Aptos" w:eastAsia="Aptos" w:hAnsi="Aptos" w:cs="Aptos"/>
                <w:sz w:val="20"/>
                <w:szCs w:val="20"/>
              </w:rPr>
              <w:t>WoA + correctness</w:t>
            </w:r>
          </w:p>
        </w:tc>
        <w:tc>
          <w:tcPr>
            <w:tcW w:w="1440" w:type="dxa"/>
            <w:tcMar>
              <w:left w:w="108" w:type="dxa"/>
              <w:right w:w="108" w:type="dxa"/>
            </w:tcMar>
          </w:tcPr>
          <w:p w14:paraId="14C85465" w14:textId="38E944DF"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7F7FA30A" w14:textId="77777777" w:rsidTr="502A4FC6">
        <w:trPr>
          <w:trHeight w:val="300"/>
        </w:trPr>
        <w:tc>
          <w:tcPr>
            <w:tcW w:w="1695" w:type="dxa"/>
            <w:tcMar>
              <w:left w:w="108" w:type="dxa"/>
              <w:right w:w="108" w:type="dxa"/>
            </w:tcMar>
          </w:tcPr>
          <w:p w14:paraId="65482147" w14:textId="0FE755DA" w:rsidR="502A4FC6" w:rsidRPr="001334F6" w:rsidRDefault="502A4FC6" w:rsidP="502A4FC6">
            <w:pPr>
              <w:spacing w:line="278" w:lineRule="auto"/>
              <w:rPr>
                <w:sz w:val="20"/>
                <w:szCs w:val="20"/>
              </w:rPr>
            </w:pPr>
            <w:r>
              <w:rPr>
                <w:rFonts w:ascii="Aptos" w:eastAsia="Aptos" w:hAnsi="Aptos" w:cs="Aptos"/>
                <w:sz w:val="20"/>
                <w:szCs w:val="20"/>
              </w:rPr>
              <w:t>Nagendran et al. 2024</w:t>
            </w:r>
          </w:p>
        </w:tc>
        <w:tc>
          <w:tcPr>
            <w:tcW w:w="2445" w:type="dxa"/>
            <w:tcMar>
              <w:left w:w="108" w:type="dxa"/>
              <w:right w:w="108" w:type="dxa"/>
            </w:tcMar>
          </w:tcPr>
          <w:p w14:paraId="231DB609" w14:textId="1504C37F" w:rsidR="502A4FC6" w:rsidRPr="001334F6" w:rsidRDefault="502A4FC6" w:rsidP="502A4FC6">
            <w:pPr>
              <w:spacing w:line="278" w:lineRule="auto"/>
              <w:rPr>
                <w:sz w:val="20"/>
                <w:szCs w:val="20"/>
              </w:rPr>
            </w:pPr>
            <w:r>
              <w:rPr>
                <w:rFonts w:ascii="Aptos" w:eastAsia="Aptos" w:hAnsi="Aptos" w:cs="Aptos"/>
                <w:sz w:val="20"/>
                <w:szCs w:val="20"/>
              </w:rPr>
              <w:t>Continuous WoA under safe vs. unsafe AI recommendations</w:t>
            </w:r>
          </w:p>
        </w:tc>
        <w:tc>
          <w:tcPr>
            <w:tcW w:w="2100" w:type="dxa"/>
            <w:tcMar>
              <w:left w:w="108" w:type="dxa"/>
              <w:right w:w="108" w:type="dxa"/>
            </w:tcMar>
          </w:tcPr>
          <w:p w14:paraId="4B3BD51C" w14:textId="5168F678"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6D999C09" w14:textId="311ECD6D" w:rsidR="502A4FC6" w:rsidRPr="001334F6" w:rsidRDefault="502A4FC6" w:rsidP="502A4FC6">
            <w:pPr>
              <w:spacing w:line="278" w:lineRule="auto"/>
              <w:rPr>
                <w:sz w:val="20"/>
                <w:szCs w:val="20"/>
              </w:rPr>
            </w:pPr>
            <w:r>
              <w:rPr>
                <w:rFonts w:ascii="Aptos" w:eastAsia="Aptos" w:hAnsi="Aptos" w:cs="Aptos"/>
                <w:sz w:val="20"/>
                <w:szCs w:val="20"/>
              </w:rPr>
              <w:t>WoA + correctness</w:t>
            </w:r>
          </w:p>
        </w:tc>
        <w:tc>
          <w:tcPr>
            <w:tcW w:w="1440" w:type="dxa"/>
            <w:tcMar>
              <w:left w:w="108" w:type="dxa"/>
              <w:right w:w="108" w:type="dxa"/>
            </w:tcMar>
          </w:tcPr>
          <w:p w14:paraId="0B2217FC" w14:textId="51D193DC" w:rsidR="502A4FC6" w:rsidRPr="001334F6" w:rsidRDefault="502A4FC6" w:rsidP="502A4FC6">
            <w:pPr>
              <w:spacing w:line="278" w:lineRule="auto"/>
              <w:rPr>
                <w:sz w:val="20"/>
                <w:szCs w:val="20"/>
              </w:rPr>
            </w:pPr>
            <w:r>
              <w:rPr>
                <w:rFonts w:ascii="Aptos" w:eastAsia="Aptos" w:hAnsi="Aptos" w:cs="Aptos"/>
                <w:sz w:val="20"/>
                <w:szCs w:val="20"/>
              </w:rPr>
              <w:t>Yes (safe / unsafe)</w:t>
            </w:r>
          </w:p>
        </w:tc>
      </w:tr>
      <w:tr w:rsidR="502A4FC6" w:rsidRPr="001334F6" w14:paraId="5EC1A59D" w14:textId="77777777" w:rsidTr="502A4FC6">
        <w:trPr>
          <w:trHeight w:val="300"/>
        </w:trPr>
        <w:tc>
          <w:tcPr>
            <w:tcW w:w="1695" w:type="dxa"/>
            <w:tcMar>
              <w:left w:w="108" w:type="dxa"/>
              <w:right w:w="108" w:type="dxa"/>
            </w:tcMar>
          </w:tcPr>
          <w:p w14:paraId="5D5BB102" w14:textId="23D8D68A" w:rsidR="502A4FC6" w:rsidRPr="001334F6" w:rsidRDefault="502A4FC6" w:rsidP="502A4FC6">
            <w:pPr>
              <w:spacing w:line="278" w:lineRule="auto"/>
              <w:rPr>
                <w:sz w:val="20"/>
                <w:szCs w:val="20"/>
              </w:rPr>
            </w:pPr>
            <w:r>
              <w:rPr>
                <w:rFonts w:ascii="Aptos" w:eastAsia="Aptos" w:hAnsi="Aptos" w:cs="Aptos"/>
                <w:sz w:val="20"/>
                <w:szCs w:val="20"/>
              </w:rPr>
              <w:t>Bussone et al. 2015</w:t>
            </w:r>
          </w:p>
        </w:tc>
        <w:tc>
          <w:tcPr>
            <w:tcW w:w="2445" w:type="dxa"/>
            <w:tcMar>
              <w:left w:w="108" w:type="dxa"/>
              <w:right w:w="108" w:type="dxa"/>
            </w:tcMar>
          </w:tcPr>
          <w:p w14:paraId="30F08E68" w14:textId="11FFF6B7" w:rsidR="502A4FC6" w:rsidRPr="001334F6" w:rsidRDefault="502A4FC6" w:rsidP="502A4FC6">
            <w:pPr>
              <w:spacing w:line="278" w:lineRule="auto"/>
              <w:rPr>
                <w:sz w:val="20"/>
                <w:szCs w:val="20"/>
              </w:rPr>
            </w:pPr>
            <w:r>
              <w:rPr>
                <w:rFonts w:ascii="Aptos" w:eastAsia="Aptos" w:hAnsi="Aptos" w:cs="Aptos"/>
                <w:sz w:val="20"/>
                <w:szCs w:val="20"/>
              </w:rPr>
              <w:t>Behavioral agreement / decision revision under correct vs. incorrect AI advice</w:t>
            </w:r>
          </w:p>
        </w:tc>
        <w:tc>
          <w:tcPr>
            <w:tcW w:w="2100" w:type="dxa"/>
            <w:tcMar>
              <w:left w:w="108" w:type="dxa"/>
              <w:right w:w="108" w:type="dxa"/>
            </w:tcMar>
          </w:tcPr>
          <w:p w14:paraId="244DFCB8" w14:textId="0F01D25F"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295F8A80" w14:textId="27E73909" w:rsidR="502A4FC6" w:rsidRPr="001334F6" w:rsidRDefault="502A4FC6" w:rsidP="502A4FC6">
            <w:pPr>
              <w:spacing w:line="278" w:lineRule="auto"/>
              <w:rPr>
                <w:sz w:val="20"/>
                <w:szCs w:val="20"/>
              </w:rPr>
            </w:pPr>
            <w:r>
              <w:rPr>
                <w:rFonts w:ascii="Aptos" w:eastAsia="Aptos" w:hAnsi="Aptos" w:cs="Aptos"/>
                <w:sz w:val="20"/>
                <w:szCs w:val="20"/>
              </w:rPr>
              <w:t>Correctness-sensitive reliance</w:t>
            </w:r>
          </w:p>
        </w:tc>
        <w:tc>
          <w:tcPr>
            <w:tcW w:w="1440" w:type="dxa"/>
            <w:tcMar>
              <w:left w:w="108" w:type="dxa"/>
              <w:right w:w="108" w:type="dxa"/>
            </w:tcMar>
          </w:tcPr>
          <w:p w14:paraId="393CAEB7" w14:textId="45B44CA8"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59C55EA4" w14:textId="77777777" w:rsidTr="502A4FC6">
        <w:trPr>
          <w:trHeight w:val="300"/>
        </w:trPr>
        <w:tc>
          <w:tcPr>
            <w:tcW w:w="1695" w:type="dxa"/>
            <w:tcMar>
              <w:left w:w="108" w:type="dxa"/>
              <w:right w:w="108" w:type="dxa"/>
            </w:tcMar>
          </w:tcPr>
          <w:p w14:paraId="621A5918" w14:textId="5B14C109" w:rsidR="502A4FC6" w:rsidRPr="001334F6" w:rsidRDefault="502A4FC6" w:rsidP="502A4FC6">
            <w:pPr>
              <w:spacing w:line="278" w:lineRule="auto"/>
              <w:rPr>
                <w:sz w:val="20"/>
                <w:szCs w:val="20"/>
              </w:rPr>
            </w:pPr>
            <w:r>
              <w:rPr>
                <w:rFonts w:ascii="Aptos" w:eastAsia="Aptos" w:hAnsi="Aptos" w:cs="Aptos"/>
                <w:sz w:val="20"/>
                <w:szCs w:val="20"/>
              </w:rPr>
              <w:t>Cabitza et al. 2023</w:t>
            </w:r>
          </w:p>
        </w:tc>
        <w:tc>
          <w:tcPr>
            <w:tcW w:w="2445" w:type="dxa"/>
            <w:tcMar>
              <w:left w:w="108" w:type="dxa"/>
              <w:right w:w="108" w:type="dxa"/>
            </w:tcMar>
          </w:tcPr>
          <w:p w14:paraId="3AD972F3" w14:textId="0477B5D1" w:rsidR="502A4FC6" w:rsidRPr="001334F6" w:rsidRDefault="502A4FC6" w:rsidP="502A4FC6">
            <w:pPr>
              <w:spacing w:line="278" w:lineRule="auto"/>
              <w:rPr>
                <w:sz w:val="20"/>
                <w:szCs w:val="20"/>
              </w:rPr>
            </w:pPr>
            <w:r>
              <w:rPr>
                <w:rFonts w:ascii="Aptos" w:eastAsia="Aptos" w:hAnsi="Aptos" w:cs="Aptos"/>
                <w:sz w:val="20"/>
                <w:szCs w:val="20"/>
              </w:rPr>
              <w:t>Decision change under correct vs. incorrect AI classifications</w:t>
            </w:r>
          </w:p>
        </w:tc>
        <w:tc>
          <w:tcPr>
            <w:tcW w:w="2100" w:type="dxa"/>
            <w:tcMar>
              <w:left w:w="108" w:type="dxa"/>
              <w:right w:w="108" w:type="dxa"/>
            </w:tcMar>
          </w:tcPr>
          <w:p w14:paraId="25D210DF" w14:textId="4CC415D7"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7BC0AC3E" w14:textId="16D09726" w:rsidR="502A4FC6" w:rsidRPr="001334F6" w:rsidRDefault="502A4FC6" w:rsidP="502A4FC6">
            <w:pPr>
              <w:spacing w:line="278" w:lineRule="auto"/>
              <w:rPr>
                <w:sz w:val="20"/>
                <w:szCs w:val="20"/>
              </w:rPr>
            </w:pPr>
            <w:r>
              <w:rPr>
                <w:rFonts w:ascii="Aptos" w:eastAsia="Aptos" w:hAnsi="Aptos" w:cs="Aptos"/>
                <w:sz w:val="20"/>
                <w:szCs w:val="20"/>
              </w:rPr>
              <w:t>Correctness-sensitive decision change</w:t>
            </w:r>
          </w:p>
        </w:tc>
        <w:tc>
          <w:tcPr>
            <w:tcW w:w="1440" w:type="dxa"/>
            <w:tcMar>
              <w:left w:w="108" w:type="dxa"/>
              <w:right w:w="108" w:type="dxa"/>
            </w:tcMar>
          </w:tcPr>
          <w:p w14:paraId="4BFAE32A" w14:textId="5F351820"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687543F0" w14:textId="77777777" w:rsidTr="502A4FC6">
        <w:trPr>
          <w:trHeight w:val="300"/>
        </w:trPr>
        <w:tc>
          <w:tcPr>
            <w:tcW w:w="1695" w:type="dxa"/>
            <w:tcMar>
              <w:left w:w="108" w:type="dxa"/>
              <w:right w:w="108" w:type="dxa"/>
            </w:tcMar>
          </w:tcPr>
          <w:p w14:paraId="702D783D" w14:textId="1F1C02B4" w:rsidR="502A4FC6" w:rsidRPr="001334F6" w:rsidRDefault="502A4FC6" w:rsidP="502A4FC6">
            <w:pPr>
              <w:spacing w:line="278" w:lineRule="auto"/>
              <w:rPr>
                <w:sz w:val="20"/>
                <w:szCs w:val="20"/>
              </w:rPr>
            </w:pPr>
            <w:r>
              <w:rPr>
                <w:rFonts w:ascii="Aptos" w:eastAsia="Aptos" w:hAnsi="Aptos" w:cs="Aptos"/>
                <w:sz w:val="20"/>
                <w:szCs w:val="20"/>
              </w:rPr>
              <w:t>Das et al. 2023</w:t>
            </w:r>
          </w:p>
        </w:tc>
        <w:tc>
          <w:tcPr>
            <w:tcW w:w="2445" w:type="dxa"/>
            <w:tcMar>
              <w:left w:w="108" w:type="dxa"/>
              <w:right w:w="108" w:type="dxa"/>
            </w:tcMar>
          </w:tcPr>
          <w:p w14:paraId="253D52F8" w14:textId="35E57B19" w:rsidR="502A4FC6" w:rsidRPr="001334F6" w:rsidRDefault="502A4FC6" w:rsidP="502A4FC6">
            <w:pPr>
              <w:spacing w:line="278" w:lineRule="auto"/>
              <w:rPr>
                <w:sz w:val="20"/>
                <w:szCs w:val="20"/>
              </w:rPr>
            </w:pPr>
            <w:r>
              <w:rPr>
                <w:rFonts w:ascii="Aptos" w:eastAsia="Aptos" w:hAnsi="Aptos" w:cs="Aptos"/>
                <w:sz w:val="20"/>
                <w:szCs w:val="20"/>
              </w:rPr>
              <w:t>Diagnostic decision updates under intentionally incorrect AI suggestions</w:t>
            </w:r>
          </w:p>
        </w:tc>
        <w:tc>
          <w:tcPr>
            <w:tcW w:w="2100" w:type="dxa"/>
            <w:tcMar>
              <w:left w:w="108" w:type="dxa"/>
              <w:right w:w="108" w:type="dxa"/>
            </w:tcMar>
          </w:tcPr>
          <w:p w14:paraId="670F5C10" w14:textId="19E6B1DF"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16563819" w14:textId="67206DDE" w:rsidR="502A4FC6" w:rsidRPr="001334F6" w:rsidRDefault="502A4FC6" w:rsidP="502A4FC6">
            <w:pPr>
              <w:spacing w:line="278" w:lineRule="auto"/>
              <w:rPr>
                <w:sz w:val="20"/>
                <w:szCs w:val="20"/>
              </w:rPr>
            </w:pPr>
            <w:r>
              <w:rPr>
                <w:rFonts w:ascii="Aptos" w:eastAsia="Aptos" w:hAnsi="Aptos" w:cs="Aptos"/>
                <w:sz w:val="20"/>
                <w:szCs w:val="20"/>
              </w:rPr>
              <w:t>Correctness-sensitive decision change</w:t>
            </w:r>
          </w:p>
        </w:tc>
        <w:tc>
          <w:tcPr>
            <w:tcW w:w="1440" w:type="dxa"/>
            <w:tcMar>
              <w:left w:w="108" w:type="dxa"/>
              <w:right w:w="108" w:type="dxa"/>
            </w:tcMar>
          </w:tcPr>
          <w:p w14:paraId="491921B7" w14:textId="12BF9B57"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7085A180" w14:textId="77777777" w:rsidTr="502A4FC6">
        <w:trPr>
          <w:trHeight w:val="300"/>
        </w:trPr>
        <w:tc>
          <w:tcPr>
            <w:tcW w:w="1695" w:type="dxa"/>
            <w:tcMar>
              <w:left w:w="108" w:type="dxa"/>
              <w:right w:w="108" w:type="dxa"/>
            </w:tcMar>
          </w:tcPr>
          <w:p w14:paraId="0279A5D0" w14:textId="33E4EF52" w:rsidR="502A4FC6" w:rsidRPr="001334F6" w:rsidRDefault="502A4FC6" w:rsidP="502A4FC6">
            <w:pPr>
              <w:spacing w:line="278" w:lineRule="auto"/>
              <w:rPr>
                <w:sz w:val="20"/>
                <w:szCs w:val="20"/>
              </w:rPr>
            </w:pPr>
            <w:r>
              <w:rPr>
                <w:rFonts w:ascii="Aptos" w:eastAsia="Aptos" w:hAnsi="Aptos" w:cs="Aptos"/>
                <w:sz w:val="20"/>
                <w:szCs w:val="20"/>
              </w:rPr>
              <w:t>Gombolay et al. 2024</w:t>
            </w:r>
          </w:p>
        </w:tc>
        <w:tc>
          <w:tcPr>
            <w:tcW w:w="2445" w:type="dxa"/>
            <w:tcMar>
              <w:left w:w="108" w:type="dxa"/>
              <w:right w:w="108" w:type="dxa"/>
            </w:tcMar>
          </w:tcPr>
          <w:p w14:paraId="44F812AC" w14:textId="52A3648B" w:rsidR="502A4FC6" w:rsidRPr="001334F6" w:rsidRDefault="502A4FC6" w:rsidP="502A4FC6">
            <w:pPr>
              <w:spacing w:line="278" w:lineRule="auto"/>
              <w:rPr>
                <w:sz w:val="20"/>
                <w:szCs w:val="20"/>
              </w:rPr>
            </w:pPr>
            <w:r>
              <w:rPr>
                <w:rFonts w:ascii="Aptos" w:eastAsia="Aptos" w:hAnsi="Aptos" w:cs="Aptos"/>
                <w:sz w:val="20"/>
                <w:szCs w:val="20"/>
              </w:rPr>
              <w:t>Behavioral compliance under correct vs. incorrect recommendations</w:t>
            </w:r>
          </w:p>
        </w:tc>
        <w:tc>
          <w:tcPr>
            <w:tcW w:w="2100" w:type="dxa"/>
            <w:tcMar>
              <w:left w:w="108" w:type="dxa"/>
              <w:right w:w="108" w:type="dxa"/>
            </w:tcMar>
          </w:tcPr>
          <w:p w14:paraId="2B4FFD87" w14:textId="0A482A2B"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6C585AEB" w14:textId="72EF99D2" w:rsidR="502A4FC6" w:rsidRPr="001334F6" w:rsidRDefault="502A4FC6" w:rsidP="502A4FC6">
            <w:pPr>
              <w:spacing w:line="278" w:lineRule="auto"/>
              <w:rPr>
                <w:sz w:val="20"/>
                <w:szCs w:val="20"/>
              </w:rPr>
            </w:pPr>
            <w:r>
              <w:rPr>
                <w:rFonts w:ascii="Aptos" w:eastAsia="Aptos" w:hAnsi="Aptos" w:cs="Aptos"/>
                <w:sz w:val="20"/>
                <w:szCs w:val="20"/>
              </w:rPr>
              <w:t>Correctness-sensitive compliance</w:t>
            </w:r>
          </w:p>
        </w:tc>
        <w:tc>
          <w:tcPr>
            <w:tcW w:w="1440" w:type="dxa"/>
            <w:tcMar>
              <w:left w:w="108" w:type="dxa"/>
              <w:right w:w="108" w:type="dxa"/>
            </w:tcMar>
          </w:tcPr>
          <w:p w14:paraId="13B0CE0C" w14:textId="011FBDDA"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7E62AB64" w14:textId="77777777" w:rsidTr="502A4FC6">
        <w:trPr>
          <w:trHeight w:val="300"/>
        </w:trPr>
        <w:tc>
          <w:tcPr>
            <w:tcW w:w="1695" w:type="dxa"/>
            <w:tcMar>
              <w:left w:w="108" w:type="dxa"/>
              <w:right w:w="108" w:type="dxa"/>
            </w:tcMar>
          </w:tcPr>
          <w:p w14:paraId="6AF1A869" w14:textId="2BD82505" w:rsidR="502A4FC6" w:rsidRPr="001334F6" w:rsidRDefault="502A4FC6" w:rsidP="502A4FC6">
            <w:pPr>
              <w:spacing w:line="278" w:lineRule="auto"/>
              <w:rPr>
                <w:sz w:val="20"/>
                <w:szCs w:val="20"/>
              </w:rPr>
            </w:pPr>
            <w:r>
              <w:rPr>
                <w:rFonts w:ascii="Aptos" w:eastAsia="Aptos" w:hAnsi="Aptos" w:cs="Aptos"/>
                <w:sz w:val="20"/>
                <w:szCs w:val="20"/>
              </w:rPr>
              <w:t>Naiseh et al. 2023</w:t>
            </w:r>
          </w:p>
        </w:tc>
        <w:tc>
          <w:tcPr>
            <w:tcW w:w="2445" w:type="dxa"/>
            <w:tcMar>
              <w:left w:w="108" w:type="dxa"/>
              <w:right w:w="108" w:type="dxa"/>
            </w:tcMar>
          </w:tcPr>
          <w:p w14:paraId="4A876563" w14:textId="39B47912" w:rsidR="502A4FC6" w:rsidRPr="001334F6" w:rsidRDefault="502A4FC6" w:rsidP="502A4FC6">
            <w:pPr>
              <w:spacing w:line="278" w:lineRule="auto"/>
              <w:rPr>
                <w:sz w:val="20"/>
                <w:szCs w:val="20"/>
              </w:rPr>
            </w:pPr>
            <w:r>
              <w:rPr>
                <w:rFonts w:ascii="Aptos" w:eastAsia="Aptos" w:hAnsi="Aptos" w:cs="Aptos"/>
                <w:sz w:val="20"/>
                <w:szCs w:val="20"/>
              </w:rPr>
              <w:t>Agreement / switching under correct vs. incorrect recommendations</w:t>
            </w:r>
          </w:p>
        </w:tc>
        <w:tc>
          <w:tcPr>
            <w:tcW w:w="2100" w:type="dxa"/>
            <w:tcMar>
              <w:left w:w="108" w:type="dxa"/>
              <w:right w:w="108" w:type="dxa"/>
            </w:tcMar>
          </w:tcPr>
          <w:p w14:paraId="33F161FE" w14:textId="68078ED9" w:rsidR="502A4FC6" w:rsidRPr="001334F6" w:rsidRDefault="502A4FC6" w:rsidP="502A4FC6">
            <w:pPr>
              <w:spacing w:line="278" w:lineRule="auto"/>
              <w:rPr>
                <w:sz w:val="20"/>
                <w:szCs w:val="20"/>
              </w:rPr>
            </w:pPr>
            <w:r>
              <w:rPr>
                <w:rFonts w:ascii="Aptos" w:eastAsia="Aptos" w:hAnsi="Aptos" w:cs="Aptos"/>
                <w:sz w:val="20"/>
                <w:szCs w:val="20"/>
              </w:rPr>
              <w:t>Reliance (TR2, TR3)</w:t>
            </w:r>
          </w:p>
        </w:tc>
        <w:tc>
          <w:tcPr>
            <w:tcW w:w="1395" w:type="dxa"/>
            <w:tcMar>
              <w:left w:w="108" w:type="dxa"/>
              <w:right w:w="108" w:type="dxa"/>
            </w:tcMar>
          </w:tcPr>
          <w:p w14:paraId="3AE98BF7" w14:textId="2447B091" w:rsidR="502A4FC6" w:rsidRPr="001334F6" w:rsidRDefault="502A4FC6" w:rsidP="502A4FC6">
            <w:pPr>
              <w:spacing w:line="278" w:lineRule="auto"/>
              <w:rPr>
                <w:sz w:val="20"/>
                <w:szCs w:val="20"/>
              </w:rPr>
            </w:pPr>
            <w:r>
              <w:rPr>
                <w:rFonts w:ascii="Aptos" w:eastAsia="Aptos" w:hAnsi="Aptos" w:cs="Aptos"/>
                <w:sz w:val="20"/>
                <w:szCs w:val="20"/>
              </w:rPr>
              <w:t>Correctness-sensitive reliance</w:t>
            </w:r>
          </w:p>
        </w:tc>
        <w:tc>
          <w:tcPr>
            <w:tcW w:w="1440" w:type="dxa"/>
            <w:tcMar>
              <w:left w:w="108" w:type="dxa"/>
              <w:right w:w="108" w:type="dxa"/>
            </w:tcMar>
          </w:tcPr>
          <w:p w14:paraId="5B225422" w14:textId="60FB91DA" w:rsidR="502A4FC6" w:rsidRPr="001334F6" w:rsidRDefault="502A4FC6" w:rsidP="502A4FC6">
            <w:pPr>
              <w:spacing w:line="278" w:lineRule="auto"/>
              <w:rPr>
                <w:sz w:val="20"/>
                <w:szCs w:val="20"/>
              </w:rPr>
            </w:pPr>
            <w:r>
              <w:rPr>
                <w:rFonts w:ascii="Aptos" w:eastAsia="Aptos" w:hAnsi="Aptos" w:cs="Aptos"/>
                <w:sz w:val="20"/>
                <w:szCs w:val="20"/>
              </w:rPr>
              <w:t>Correctness varied across cases</w:t>
            </w:r>
          </w:p>
        </w:tc>
      </w:tr>
      <w:tr w:rsidR="502A4FC6" w:rsidRPr="001334F6" w14:paraId="4CAD788F" w14:textId="77777777" w:rsidTr="502A4FC6">
        <w:trPr>
          <w:trHeight w:val="300"/>
        </w:trPr>
        <w:tc>
          <w:tcPr>
            <w:tcW w:w="1695" w:type="dxa"/>
            <w:tcMar>
              <w:left w:w="108" w:type="dxa"/>
              <w:right w:w="108" w:type="dxa"/>
            </w:tcMar>
          </w:tcPr>
          <w:p w14:paraId="6F7744BD" w14:textId="0322B11A" w:rsidR="502A4FC6" w:rsidRPr="001334F6" w:rsidRDefault="502A4FC6" w:rsidP="502A4FC6">
            <w:pPr>
              <w:spacing w:line="278" w:lineRule="auto"/>
              <w:rPr>
                <w:sz w:val="20"/>
                <w:szCs w:val="20"/>
              </w:rPr>
            </w:pPr>
            <w:r>
              <w:rPr>
                <w:rFonts w:ascii="Aptos" w:eastAsia="Aptos" w:hAnsi="Aptos" w:cs="Aptos"/>
                <w:sz w:val="20"/>
                <w:szCs w:val="20"/>
              </w:rPr>
              <w:t>Bussone et al. 2015</w:t>
            </w:r>
          </w:p>
        </w:tc>
        <w:tc>
          <w:tcPr>
            <w:tcW w:w="2445" w:type="dxa"/>
            <w:tcMar>
              <w:left w:w="108" w:type="dxa"/>
              <w:right w:w="108" w:type="dxa"/>
            </w:tcMar>
          </w:tcPr>
          <w:p w14:paraId="3C2363D8" w14:textId="31701D7A" w:rsidR="502A4FC6" w:rsidRPr="001334F6" w:rsidRDefault="502A4FC6" w:rsidP="502A4FC6">
            <w:pPr>
              <w:spacing w:line="278" w:lineRule="auto"/>
              <w:rPr>
                <w:sz w:val="20"/>
                <w:szCs w:val="20"/>
              </w:rPr>
            </w:pPr>
            <w:r>
              <w:rPr>
                <w:rFonts w:ascii="Aptos" w:eastAsia="Aptos" w:hAnsi="Aptos" w:cs="Aptos"/>
                <w:sz w:val="20"/>
                <w:szCs w:val="20"/>
              </w:rPr>
              <w:t>Experimental comparison of explanation formats</w:t>
            </w:r>
          </w:p>
        </w:tc>
        <w:tc>
          <w:tcPr>
            <w:tcW w:w="2100" w:type="dxa"/>
            <w:tcMar>
              <w:left w:w="108" w:type="dxa"/>
              <w:right w:w="108" w:type="dxa"/>
            </w:tcMar>
          </w:tcPr>
          <w:p w14:paraId="64363383" w14:textId="5E514B6A"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7D4EC2F8" w14:textId="6D793288"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5ADE90C8" w14:textId="558FCD71"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0865F9B" w14:textId="77777777" w:rsidTr="502A4FC6">
        <w:trPr>
          <w:trHeight w:val="300"/>
        </w:trPr>
        <w:tc>
          <w:tcPr>
            <w:tcW w:w="1695" w:type="dxa"/>
            <w:tcMar>
              <w:left w:w="108" w:type="dxa"/>
              <w:right w:w="108" w:type="dxa"/>
            </w:tcMar>
          </w:tcPr>
          <w:p w14:paraId="626CBDD8" w14:textId="22A34062" w:rsidR="502A4FC6" w:rsidRPr="001334F6" w:rsidRDefault="502A4FC6" w:rsidP="502A4FC6">
            <w:pPr>
              <w:spacing w:line="278" w:lineRule="auto"/>
              <w:rPr>
                <w:sz w:val="20"/>
                <w:szCs w:val="20"/>
              </w:rPr>
            </w:pPr>
            <w:r>
              <w:rPr>
                <w:rFonts w:ascii="Aptos" w:eastAsia="Aptos" w:hAnsi="Aptos" w:cs="Aptos"/>
                <w:sz w:val="20"/>
                <w:szCs w:val="20"/>
              </w:rPr>
              <w:t>Famiglini et al. 2024</w:t>
            </w:r>
          </w:p>
        </w:tc>
        <w:tc>
          <w:tcPr>
            <w:tcW w:w="2445" w:type="dxa"/>
            <w:tcMar>
              <w:left w:w="108" w:type="dxa"/>
              <w:right w:w="108" w:type="dxa"/>
            </w:tcMar>
          </w:tcPr>
          <w:p w14:paraId="6870EA65" w14:textId="400B680E" w:rsidR="502A4FC6" w:rsidRPr="001334F6" w:rsidRDefault="502A4FC6" w:rsidP="502A4FC6">
            <w:pPr>
              <w:spacing w:line="278" w:lineRule="auto"/>
              <w:rPr>
                <w:sz w:val="20"/>
                <w:szCs w:val="20"/>
              </w:rPr>
            </w:pPr>
            <w:r>
              <w:rPr>
                <w:rFonts w:ascii="Aptos" w:eastAsia="Aptos" w:hAnsi="Aptos" w:cs="Aptos"/>
                <w:sz w:val="20"/>
                <w:szCs w:val="20"/>
              </w:rPr>
              <w:t>Experimental comparison of CAM layer and coloring variants</w:t>
            </w:r>
          </w:p>
        </w:tc>
        <w:tc>
          <w:tcPr>
            <w:tcW w:w="2100" w:type="dxa"/>
            <w:tcMar>
              <w:left w:w="108" w:type="dxa"/>
              <w:right w:w="108" w:type="dxa"/>
            </w:tcMar>
          </w:tcPr>
          <w:p w14:paraId="78EDE9F7" w14:textId="1D1DA597"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1033A61B" w14:textId="762868B1"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469C53B3" w14:textId="6C63C1A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B88D901" w14:textId="77777777" w:rsidTr="502A4FC6">
        <w:trPr>
          <w:trHeight w:val="300"/>
        </w:trPr>
        <w:tc>
          <w:tcPr>
            <w:tcW w:w="1695" w:type="dxa"/>
            <w:tcMar>
              <w:left w:w="108" w:type="dxa"/>
              <w:right w:w="108" w:type="dxa"/>
            </w:tcMar>
          </w:tcPr>
          <w:p w14:paraId="2040DD5A" w14:textId="417914D8" w:rsidR="502A4FC6" w:rsidRPr="001334F6" w:rsidRDefault="502A4FC6" w:rsidP="502A4FC6">
            <w:pPr>
              <w:spacing w:line="278" w:lineRule="auto"/>
              <w:rPr>
                <w:sz w:val="20"/>
                <w:szCs w:val="20"/>
              </w:rPr>
            </w:pPr>
            <w:r>
              <w:rPr>
                <w:rFonts w:ascii="Aptos" w:eastAsia="Aptos" w:hAnsi="Aptos" w:cs="Aptos"/>
                <w:sz w:val="20"/>
                <w:szCs w:val="20"/>
              </w:rPr>
              <w:t>Gombolay et al. 2024</w:t>
            </w:r>
          </w:p>
        </w:tc>
        <w:tc>
          <w:tcPr>
            <w:tcW w:w="2445" w:type="dxa"/>
            <w:tcMar>
              <w:left w:w="108" w:type="dxa"/>
              <w:right w:w="108" w:type="dxa"/>
            </w:tcMar>
          </w:tcPr>
          <w:p w14:paraId="6B0E6A39" w14:textId="229FC9AF" w:rsidR="502A4FC6" w:rsidRPr="001334F6" w:rsidRDefault="502A4FC6" w:rsidP="502A4FC6">
            <w:pPr>
              <w:spacing w:line="278" w:lineRule="auto"/>
              <w:rPr>
                <w:sz w:val="20"/>
                <w:szCs w:val="20"/>
              </w:rPr>
            </w:pPr>
            <w:r>
              <w:rPr>
                <w:rFonts w:ascii="Aptos" w:eastAsia="Aptos" w:hAnsi="Aptos" w:cs="Aptos"/>
                <w:sz w:val="20"/>
                <w:szCs w:val="20"/>
              </w:rPr>
              <w:t>Experimental comparison of explanation types</w:t>
            </w:r>
          </w:p>
        </w:tc>
        <w:tc>
          <w:tcPr>
            <w:tcW w:w="2100" w:type="dxa"/>
            <w:tcMar>
              <w:left w:w="108" w:type="dxa"/>
              <w:right w:w="108" w:type="dxa"/>
            </w:tcMar>
          </w:tcPr>
          <w:p w14:paraId="4BD97AB0" w14:textId="6A8C2825"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11DB3AAF" w14:textId="04A625DA"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1F90C610" w14:textId="4CDB763E"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290E30E3" w14:textId="77777777" w:rsidTr="502A4FC6">
        <w:trPr>
          <w:trHeight w:val="300"/>
        </w:trPr>
        <w:tc>
          <w:tcPr>
            <w:tcW w:w="1695" w:type="dxa"/>
            <w:tcMar>
              <w:left w:w="108" w:type="dxa"/>
              <w:right w:w="108" w:type="dxa"/>
            </w:tcMar>
          </w:tcPr>
          <w:p w14:paraId="11B2A618" w14:textId="09035909" w:rsidR="502A4FC6" w:rsidRPr="001334F6" w:rsidRDefault="502A4FC6" w:rsidP="502A4FC6">
            <w:pPr>
              <w:spacing w:line="278" w:lineRule="auto"/>
              <w:rPr>
                <w:sz w:val="20"/>
                <w:szCs w:val="20"/>
              </w:rPr>
            </w:pPr>
            <w:r>
              <w:rPr>
                <w:rFonts w:ascii="Aptos" w:eastAsia="Aptos" w:hAnsi="Aptos" w:cs="Aptos"/>
                <w:sz w:val="20"/>
                <w:szCs w:val="20"/>
              </w:rPr>
              <w:t>Harari et al. 2024</w:t>
            </w:r>
          </w:p>
        </w:tc>
        <w:tc>
          <w:tcPr>
            <w:tcW w:w="2445" w:type="dxa"/>
            <w:tcMar>
              <w:left w:w="108" w:type="dxa"/>
              <w:right w:w="108" w:type="dxa"/>
            </w:tcMar>
          </w:tcPr>
          <w:p w14:paraId="43E90A85" w14:textId="4212D4F2" w:rsidR="502A4FC6" w:rsidRPr="001334F6" w:rsidRDefault="502A4FC6" w:rsidP="502A4FC6">
            <w:pPr>
              <w:spacing w:line="278" w:lineRule="auto"/>
              <w:rPr>
                <w:sz w:val="20"/>
                <w:szCs w:val="20"/>
              </w:rPr>
            </w:pPr>
            <w:r>
              <w:rPr>
                <w:rFonts w:ascii="Aptos" w:eastAsia="Aptos" w:hAnsi="Aptos" w:cs="Aptos"/>
                <w:sz w:val="20"/>
                <w:szCs w:val="20"/>
              </w:rPr>
              <w:t>Experimental comparison of explanation / AR modalities</w:t>
            </w:r>
          </w:p>
        </w:tc>
        <w:tc>
          <w:tcPr>
            <w:tcW w:w="2100" w:type="dxa"/>
            <w:tcMar>
              <w:left w:w="108" w:type="dxa"/>
              <w:right w:w="108" w:type="dxa"/>
            </w:tcMar>
          </w:tcPr>
          <w:p w14:paraId="18F23E3C" w14:textId="6F9223C8"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1C712EC7" w14:textId="45F84E87"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49C08542" w14:textId="306B3A56"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F13B155" w14:textId="77777777" w:rsidTr="502A4FC6">
        <w:trPr>
          <w:trHeight w:val="300"/>
        </w:trPr>
        <w:tc>
          <w:tcPr>
            <w:tcW w:w="1695" w:type="dxa"/>
            <w:tcMar>
              <w:left w:w="108" w:type="dxa"/>
              <w:right w:w="108" w:type="dxa"/>
            </w:tcMar>
          </w:tcPr>
          <w:p w14:paraId="6E467301" w14:textId="33AA0080" w:rsidR="502A4FC6" w:rsidRPr="001334F6" w:rsidRDefault="502A4FC6" w:rsidP="502A4FC6">
            <w:pPr>
              <w:spacing w:line="278" w:lineRule="auto"/>
              <w:rPr>
                <w:sz w:val="20"/>
                <w:szCs w:val="20"/>
              </w:rPr>
            </w:pPr>
            <w:r>
              <w:rPr>
                <w:rFonts w:ascii="Aptos" w:eastAsia="Aptos" w:hAnsi="Aptos" w:cs="Aptos"/>
                <w:sz w:val="20"/>
                <w:szCs w:val="20"/>
              </w:rPr>
              <w:lastRenderedPageBreak/>
              <w:t>Jacobs et al. 2021</w:t>
            </w:r>
          </w:p>
        </w:tc>
        <w:tc>
          <w:tcPr>
            <w:tcW w:w="2445" w:type="dxa"/>
            <w:tcMar>
              <w:left w:w="108" w:type="dxa"/>
              <w:right w:w="108" w:type="dxa"/>
            </w:tcMar>
          </w:tcPr>
          <w:p w14:paraId="7793AC80" w14:textId="412413A3" w:rsidR="502A4FC6" w:rsidRPr="001334F6" w:rsidRDefault="502A4FC6" w:rsidP="502A4FC6">
            <w:pPr>
              <w:spacing w:line="278" w:lineRule="auto"/>
              <w:rPr>
                <w:sz w:val="20"/>
                <w:szCs w:val="20"/>
              </w:rPr>
            </w:pPr>
            <w:r>
              <w:rPr>
                <w:rFonts w:ascii="Aptos" w:eastAsia="Aptos" w:hAnsi="Aptos" w:cs="Aptos"/>
                <w:sz w:val="20"/>
                <w:szCs w:val="20"/>
              </w:rPr>
              <w:t>Experimental comparison of explanation formats</w:t>
            </w:r>
          </w:p>
        </w:tc>
        <w:tc>
          <w:tcPr>
            <w:tcW w:w="2100" w:type="dxa"/>
            <w:tcMar>
              <w:left w:w="108" w:type="dxa"/>
              <w:right w:w="108" w:type="dxa"/>
            </w:tcMar>
          </w:tcPr>
          <w:p w14:paraId="4EF1F45B" w14:textId="53A77E0A"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52EB1D37" w14:textId="58B5B930"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12B7F457" w14:textId="6978BA24"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264161F0" w14:textId="77777777" w:rsidTr="502A4FC6">
        <w:trPr>
          <w:trHeight w:val="300"/>
        </w:trPr>
        <w:tc>
          <w:tcPr>
            <w:tcW w:w="1695" w:type="dxa"/>
            <w:tcMar>
              <w:left w:w="108" w:type="dxa"/>
              <w:right w:w="108" w:type="dxa"/>
            </w:tcMar>
          </w:tcPr>
          <w:p w14:paraId="5E9BF582" w14:textId="40E01D53" w:rsidR="502A4FC6" w:rsidRPr="001334F6" w:rsidRDefault="502A4FC6" w:rsidP="502A4FC6">
            <w:pPr>
              <w:spacing w:line="278" w:lineRule="auto"/>
              <w:rPr>
                <w:sz w:val="20"/>
                <w:szCs w:val="20"/>
              </w:rPr>
            </w:pPr>
            <w:r>
              <w:rPr>
                <w:rFonts w:ascii="Aptos" w:eastAsia="Aptos" w:hAnsi="Aptos" w:cs="Aptos"/>
                <w:sz w:val="20"/>
                <w:szCs w:val="20"/>
              </w:rPr>
              <w:t>Nagendran et al. 2023</w:t>
            </w:r>
          </w:p>
        </w:tc>
        <w:tc>
          <w:tcPr>
            <w:tcW w:w="2445" w:type="dxa"/>
            <w:tcMar>
              <w:left w:w="108" w:type="dxa"/>
              <w:right w:w="108" w:type="dxa"/>
            </w:tcMar>
          </w:tcPr>
          <w:p w14:paraId="3FDD0A4A" w14:textId="23065B69" w:rsidR="502A4FC6" w:rsidRPr="001334F6" w:rsidRDefault="502A4FC6" w:rsidP="502A4FC6">
            <w:pPr>
              <w:spacing w:line="278" w:lineRule="auto"/>
              <w:rPr>
                <w:sz w:val="20"/>
                <w:szCs w:val="20"/>
              </w:rPr>
            </w:pPr>
            <w:r>
              <w:rPr>
                <w:rFonts w:ascii="Aptos" w:eastAsia="Aptos" w:hAnsi="Aptos" w:cs="Aptos"/>
                <w:sz w:val="20"/>
                <w:szCs w:val="20"/>
              </w:rPr>
              <w:t>Experimental comparison of AI vs. XAI conditions</w:t>
            </w:r>
          </w:p>
        </w:tc>
        <w:tc>
          <w:tcPr>
            <w:tcW w:w="2100" w:type="dxa"/>
            <w:tcMar>
              <w:left w:w="108" w:type="dxa"/>
              <w:right w:w="108" w:type="dxa"/>
            </w:tcMar>
          </w:tcPr>
          <w:p w14:paraId="43BD5A97" w14:textId="12704C6C"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6F9607A7" w14:textId="74B8290F"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7AFB8BC3" w14:textId="5768CEDA"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1B92F5E" w14:textId="77777777" w:rsidTr="502A4FC6">
        <w:trPr>
          <w:trHeight w:val="300"/>
        </w:trPr>
        <w:tc>
          <w:tcPr>
            <w:tcW w:w="1695" w:type="dxa"/>
            <w:tcMar>
              <w:left w:w="108" w:type="dxa"/>
              <w:right w:w="108" w:type="dxa"/>
            </w:tcMar>
          </w:tcPr>
          <w:p w14:paraId="638B9927" w14:textId="4FFCDF82" w:rsidR="502A4FC6" w:rsidRPr="001334F6" w:rsidRDefault="502A4FC6" w:rsidP="502A4FC6">
            <w:pPr>
              <w:spacing w:line="278" w:lineRule="auto"/>
              <w:rPr>
                <w:sz w:val="20"/>
                <w:szCs w:val="20"/>
              </w:rPr>
            </w:pPr>
            <w:r>
              <w:rPr>
                <w:rFonts w:ascii="Aptos" w:eastAsia="Aptos" w:hAnsi="Aptos" w:cs="Aptos"/>
                <w:sz w:val="20"/>
                <w:szCs w:val="20"/>
              </w:rPr>
              <w:t>Sivaraman et al. 2023</w:t>
            </w:r>
          </w:p>
        </w:tc>
        <w:tc>
          <w:tcPr>
            <w:tcW w:w="2445" w:type="dxa"/>
            <w:tcMar>
              <w:left w:w="108" w:type="dxa"/>
              <w:right w:w="108" w:type="dxa"/>
            </w:tcMar>
          </w:tcPr>
          <w:p w14:paraId="48D438B1" w14:textId="29E8C0B2" w:rsidR="502A4FC6" w:rsidRPr="001334F6" w:rsidRDefault="502A4FC6" w:rsidP="502A4FC6">
            <w:pPr>
              <w:spacing w:line="278" w:lineRule="auto"/>
              <w:rPr>
                <w:sz w:val="20"/>
                <w:szCs w:val="20"/>
              </w:rPr>
            </w:pPr>
            <w:r>
              <w:rPr>
                <w:rFonts w:ascii="Aptos" w:eastAsia="Aptos" w:hAnsi="Aptos" w:cs="Aptos"/>
                <w:sz w:val="20"/>
                <w:szCs w:val="20"/>
              </w:rPr>
              <w:t>Experimental comparison of Text Only, Feature Explanation, and Alternative Treatments</w:t>
            </w:r>
          </w:p>
        </w:tc>
        <w:tc>
          <w:tcPr>
            <w:tcW w:w="2100" w:type="dxa"/>
            <w:tcMar>
              <w:left w:w="108" w:type="dxa"/>
              <w:right w:w="108" w:type="dxa"/>
            </w:tcMar>
          </w:tcPr>
          <w:p w14:paraId="5B5FB1C9" w14:textId="280CA90B"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0C7AACC3" w14:textId="768E4C80"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487FB666" w14:textId="1782806C"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4479BBC" w14:textId="77777777" w:rsidTr="502A4FC6">
        <w:trPr>
          <w:trHeight w:val="300"/>
        </w:trPr>
        <w:tc>
          <w:tcPr>
            <w:tcW w:w="1695" w:type="dxa"/>
            <w:tcMar>
              <w:left w:w="108" w:type="dxa"/>
              <w:right w:w="108" w:type="dxa"/>
            </w:tcMar>
          </w:tcPr>
          <w:p w14:paraId="069DFDEC" w14:textId="09384E42" w:rsidR="502A4FC6" w:rsidRPr="001334F6" w:rsidRDefault="502A4FC6" w:rsidP="502A4FC6">
            <w:pPr>
              <w:spacing w:line="278" w:lineRule="auto"/>
              <w:rPr>
                <w:sz w:val="20"/>
                <w:szCs w:val="20"/>
              </w:rPr>
            </w:pPr>
            <w:r>
              <w:rPr>
                <w:rFonts w:ascii="Aptos" w:eastAsia="Aptos" w:hAnsi="Aptos" w:cs="Aptos"/>
                <w:sz w:val="20"/>
                <w:szCs w:val="20"/>
              </w:rPr>
              <w:t>Ackerhans et al. 2025</w:t>
            </w:r>
          </w:p>
        </w:tc>
        <w:tc>
          <w:tcPr>
            <w:tcW w:w="2445" w:type="dxa"/>
            <w:tcMar>
              <w:left w:w="108" w:type="dxa"/>
              <w:right w:w="108" w:type="dxa"/>
            </w:tcMar>
          </w:tcPr>
          <w:p w14:paraId="7C740149" w14:textId="73318C90" w:rsidR="502A4FC6" w:rsidRPr="001334F6" w:rsidRDefault="502A4FC6" w:rsidP="502A4FC6">
            <w:pPr>
              <w:spacing w:line="278" w:lineRule="auto"/>
              <w:rPr>
                <w:sz w:val="20"/>
                <w:szCs w:val="20"/>
              </w:rPr>
            </w:pPr>
            <w:r>
              <w:rPr>
                <w:rFonts w:ascii="Aptos" w:eastAsia="Aptos" w:hAnsi="Aptos" w:cs="Aptos"/>
                <w:sz w:val="20"/>
                <w:szCs w:val="20"/>
              </w:rPr>
              <w:t>Factorial manipulation of explainability and AI-CDSS design features</w:t>
            </w:r>
          </w:p>
        </w:tc>
        <w:tc>
          <w:tcPr>
            <w:tcW w:w="2100" w:type="dxa"/>
            <w:tcMar>
              <w:left w:w="108" w:type="dxa"/>
              <w:right w:w="108" w:type="dxa"/>
            </w:tcMar>
          </w:tcPr>
          <w:p w14:paraId="4EB616B4" w14:textId="0B772FED"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7F984D1B" w14:textId="759D6AFF" w:rsidR="502A4FC6" w:rsidRPr="001334F6" w:rsidRDefault="502A4FC6" w:rsidP="502A4FC6">
            <w:pPr>
              <w:spacing w:line="278" w:lineRule="auto"/>
              <w:rPr>
                <w:sz w:val="20"/>
                <w:szCs w:val="20"/>
              </w:rPr>
            </w:pPr>
            <w:r>
              <w:rPr>
                <w:rFonts w:ascii="Aptos" w:eastAsia="Aptos" w:hAnsi="Aptos" w:cs="Aptos"/>
                <w:sz w:val="20"/>
                <w:szCs w:val="20"/>
              </w:rPr>
              <w:t>Factorial experiment</w:t>
            </w:r>
          </w:p>
        </w:tc>
        <w:tc>
          <w:tcPr>
            <w:tcW w:w="1440" w:type="dxa"/>
            <w:tcMar>
              <w:left w:w="108" w:type="dxa"/>
              <w:right w:w="108" w:type="dxa"/>
            </w:tcMar>
          </w:tcPr>
          <w:p w14:paraId="5AAC2FCD" w14:textId="03A68FC0"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279723B" w14:textId="77777777" w:rsidTr="502A4FC6">
        <w:trPr>
          <w:trHeight w:val="300"/>
        </w:trPr>
        <w:tc>
          <w:tcPr>
            <w:tcW w:w="1695" w:type="dxa"/>
            <w:tcMar>
              <w:left w:w="108" w:type="dxa"/>
              <w:right w:w="108" w:type="dxa"/>
            </w:tcMar>
          </w:tcPr>
          <w:p w14:paraId="386C7AEF" w14:textId="31CC40CB" w:rsidR="502A4FC6" w:rsidRPr="001334F6" w:rsidRDefault="502A4FC6" w:rsidP="502A4FC6">
            <w:pPr>
              <w:spacing w:line="278" w:lineRule="auto"/>
              <w:rPr>
                <w:sz w:val="20"/>
                <w:szCs w:val="20"/>
              </w:rPr>
            </w:pPr>
            <w:r>
              <w:rPr>
                <w:rFonts w:ascii="Aptos" w:eastAsia="Aptos" w:hAnsi="Aptos" w:cs="Aptos"/>
                <w:sz w:val="20"/>
                <w:szCs w:val="20"/>
              </w:rPr>
              <w:t>Gomez et al. 2024</w:t>
            </w:r>
          </w:p>
        </w:tc>
        <w:tc>
          <w:tcPr>
            <w:tcW w:w="2445" w:type="dxa"/>
            <w:tcMar>
              <w:left w:w="108" w:type="dxa"/>
              <w:right w:w="108" w:type="dxa"/>
            </w:tcMar>
          </w:tcPr>
          <w:p w14:paraId="0DBFC4F3" w14:textId="21257CA2" w:rsidR="502A4FC6" w:rsidRPr="001334F6" w:rsidRDefault="502A4FC6" w:rsidP="502A4FC6">
            <w:pPr>
              <w:spacing w:line="278" w:lineRule="auto"/>
              <w:rPr>
                <w:sz w:val="20"/>
                <w:szCs w:val="20"/>
              </w:rPr>
            </w:pPr>
            <w:r>
              <w:rPr>
                <w:rFonts w:ascii="Aptos" w:eastAsia="Aptos" w:hAnsi="Aptos" w:cs="Aptos"/>
                <w:sz w:val="20"/>
                <w:szCs w:val="20"/>
              </w:rPr>
              <w:t>Experimental comparison of multiple explanation strategies</w:t>
            </w:r>
          </w:p>
        </w:tc>
        <w:tc>
          <w:tcPr>
            <w:tcW w:w="2100" w:type="dxa"/>
            <w:tcMar>
              <w:left w:w="108" w:type="dxa"/>
              <w:right w:w="108" w:type="dxa"/>
            </w:tcMar>
          </w:tcPr>
          <w:p w14:paraId="31765457" w14:textId="3684A2E1"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25C7C92E" w14:textId="13B00542"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16D65BF1" w14:textId="26545659"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4C562690" w14:textId="77777777" w:rsidTr="502A4FC6">
        <w:trPr>
          <w:trHeight w:val="300"/>
        </w:trPr>
        <w:tc>
          <w:tcPr>
            <w:tcW w:w="1695" w:type="dxa"/>
            <w:tcMar>
              <w:left w:w="108" w:type="dxa"/>
              <w:right w:w="108" w:type="dxa"/>
            </w:tcMar>
          </w:tcPr>
          <w:p w14:paraId="24BBA643" w14:textId="50EEBC65" w:rsidR="502A4FC6" w:rsidRPr="001334F6" w:rsidRDefault="502A4FC6" w:rsidP="502A4FC6">
            <w:pPr>
              <w:spacing w:line="278" w:lineRule="auto"/>
              <w:rPr>
                <w:sz w:val="20"/>
                <w:szCs w:val="20"/>
              </w:rPr>
            </w:pPr>
            <w:r>
              <w:rPr>
                <w:rFonts w:ascii="Aptos" w:eastAsia="Aptos" w:hAnsi="Aptos" w:cs="Aptos"/>
                <w:sz w:val="20"/>
                <w:szCs w:val="20"/>
              </w:rPr>
              <w:t>Hur et al. 2025</w:t>
            </w:r>
          </w:p>
        </w:tc>
        <w:tc>
          <w:tcPr>
            <w:tcW w:w="2445" w:type="dxa"/>
            <w:tcMar>
              <w:left w:w="108" w:type="dxa"/>
              <w:right w:w="108" w:type="dxa"/>
            </w:tcMar>
          </w:tcPr>
          <w:p w14:paraId="65119531" w14:textId="2EDE1E82" w:rsidR="502A4FC6" w:rsidRPr="001334F6" w:rsidRDefault="502A4FC6" w:rsidP="502A4FC6">
            <w:pPr>
              <w:spacing w:line="278" w:lineRule="auto"/>
              <w:rPr>
                <w:sz w:val="20"/>
                <w:szCs w:val="20"/>
              </w:rPr>
            </w:pPr>
            <w:r>
              <w:rPr>
                <w:rFonts w:ascii="Aptos" w:eastAsia="Aptos" w:hAnsi="Aptos" w:cs="Aptos"/>
                <w:sz w:val="20"/>
                <w:szCs w:val="20"/>
              </w:rPr>
              <w:t>Experimental comparison of results-only, SHAP, and clinician-friendly explanation conditions</w:t>
            </w:r>
          </w:p>
        </w:tc>
        <w:tc>
          <w:tcPr>
            <w:tcW w:w="2100" w:type="dxa"/>
            <w:tcMar>
              <w:left w:w="108" w:type="dxa"/>
              <w:right w:w="108" w:type="dxa"/>
            </w:tcMar>
          </w:tcPr>
          <w:p w14:paraId="3F8A015F" w14:textId="6A9D9F1D"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6F248EC3" w14:textId="6A000FE1"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6848B9E9" w14:textId="0BC4A842"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66254CB" w14:textId="77777777" w:rsidTr="502A4FC6">
        <w:trPr>
          <w:trHeight w:val="300"/>
        </w:trPr>
        <w:tc>
          <w:tcPr>
            <w:tcW w:w="1695" w:type="dxa"/>
            <w:tcMar>
              <w:left w:w="108" w:type="dxa"/>
              <w:right w:w="108" w:type="dxa"/>
            </w:tcMar>
          </w:tcPr>
          <w:p w14:paraId="65C55B8D" w14:textId="65051405" w:rsidR="502A4FC6" w:rsidRPr="001334F6" w:rsidRDefault="502A4FC6" w:rsidP="502A4FC6">
            <w:pPr>
              <w:spacing w:line="278" w:lineRule="auto"/>
              <w:rPr>
                <w:sz w:val="20"/>
                <w:szCs w:val="20"/>
              </w:rPr>
            </w:pPr>
            <w:r>
              <w:rPr>
                <w:rFonts w:ascii="Aptos" w:eastAsia="Aptos" w:hAnsi="Aptos" w:cs="Aptos"/>
                <w:sz w:val="20"/>
                <w:szCs w:val="20"/>
              </w:rPr>
              <w:t>Rezaeian et al. 2025</w:t>
            </w:r>
          </w:p>
        </w:tc>
        <w:tc>
          <w:tcPr>
            <w:tcW w:w="2445" w:type="dxa"/>
            <w:tcMar>
              <w:left w:w="108" w:type="dxa"/>
              <w:right w:w="108" w:type="dxa"/>
            </w:tcMar>
          </w:tcPr>
          <w:p w14:paraId="1AB3D58D" w14:textId="0712F69D" w:rsidR="502A4FC6" w:rsidRPr="001334F6" w:rsidRDefault="502A4FC6" w:rsidP="502A4FC6">
            <w:pPr>
              <w:spacing w:line="278" w:lineRule="auto"/>
              <w:rPr>
                <w:sz w:val="20"/>
                <w:szCs w:val="20"/>
              </w:rPr>
            </w:pPr>
            <w:r>
              <w:rPr>
                <w:rFonts w:ascii="Aptos" w:eastAsia="Aptos" w:hAnsi="Aptos" w:cs="Aptos"/>
                <w:sz w:val="20"/>
                <w:szCs w:val="20"/>
              </w:rPr>
              <w:t>Comparison across multiple AI explanation levels</w:t>
            </w:r>
          </w:p>
        </w:tc>
        <w:tc>
          <w:tcPr>
            <w:tcW w:w="2100" w:type="dxa"/>
            <w:tcMar>
              <w:left w:w="108" w:type="dxa"/>
              <w:right w:w="108" w:type="dxa"/>
            </w:tcMar>
          </w:tcPr>
          <w:p w14:paraId="0A842E0B" w14:textId="19E62D3F"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49303991" w14:textId="30A39FD2"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0771E619" w14:textId="3F740DD9"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1BCC240" w14:textId="77777777" w:rsidTr="502A4FC6">
        <w:trPr>
          <w:trHeight w:val="300"/>
        </w:trPr>
        <w:tc>
          <w:tcPr>
            <w:tcW w:w="1695" w:type="dxa"/>
            <w:tcMar>
              <w:left w:w="108" w:type="dxa"/>
              <w:right w:w="108" w:type="dxa"/>
            </w:tcMar>
          </w:tcPr>
          <w:p w14:paraId="3A7A0A94" w14:textId="33166147" w:rsidR="502A4FC6" w:rsidRPr="001334F6" w:rsidRDefault="502A4FC6" w:rsidP="502A4FC6">
            <w:pPr>
              <w:spacing w:line="278" w:lineRule="auto"/>
              <w:rPr>
                <w:sz w:val="20"/>
                <w:szCs w:val="20"/>
              </w:rPr>
            </w:pPr>
            <w:r>
              <w:rPr>
                <w:rFonts w:ascii="Aptos" w:eastAsia="Aptos" w:hAnsi="Aptos" w:cs="Aptos"/>
                <w:sz w:val="20"/>
                <w:szCs w:val="20"/>
              </w:rPr>
              <w:t>De Oliveira et al. 2025</w:t>
            </w:r>
          </w:p>
        </w:tc>
        <w:tc>
          <w:tcPr>
            <w:tcW w:w="2445" w:type="dxa"/>
            <w:tcMar>
              <w:left w:w="108" w:type="dxa"/>
              <w:right w:w="108" w:type="dxa"/>
            </w:tcMar>
          </w:tcPr>
          <w:p w14:paraId="4795847E" w14:textId="3F1F1547" w:rsidR="502A4FC6" w:rsidRPr="001334F6" w:rsidRDefault="502A4FC6" w:rsidP="502A4FC6">
            <w:pPr>
              <w:spacing w:line="278" w:lineRule="auto"/>
              <w:rPr>
                <w:sz w:val="20"/>
                <w:szCs w:val="20"/>
              </w:rPr>
            </w:pPr>
            <w:r>
              <w:rPr>
                <w:rFonts w:ascii="Aptos" w:eastAsia="Aptos" w:hAnsi="Aptos" w:cs="Aptos"/>
                <w:sz w:val="20"/>
                <w:szCs w:val="20"/>
              </w:rPr>
              <w:t>Between-group comparison of explanation and educational-intervention conditions</w:t>
            </w:r>
          </w:p>
        </w:tc>
        <w:tc>
          <w:tcPr>
            <w:tcW w:w="2100" w:type="dxa"/>
            <w:tcMar>
              <w:left w:w="108" w:type="dxa"/>
              <w:right w:w="108" w:type="dxa"/>
            </w:tcMar>
          </w:tcPr>
          <w:p w14:paraId="4E6D49F9" w14:textId="43CA5E6E"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2386A8A6" w14:textId="09A38122" w:rsidR="502A4FC6" w:rsidRPr="001334F6" w:rsidRDefault="502A4FC6" w:rsidP="502A4FC6">
            <w:pPr>
              <w:spacing w:line="278" w:lineRule="auto"/>
              <w:rPr>
                <w:sz w:val="20"/>
                <w:szCs w:val="20"/>
              </w:rPr>
            </w:pPr>
            <w:r>
              <w:rPr>
                <w:rFonts w:ascii="Aptos" w:eastAsia="Aptos" w:hAnsi="Aptos" w:cs="Aptos"/>
                <w:sz w:val="20"/>
                <w:szCs w:val="20"/>
              </w:rPr>
              <w:t>Factorial experiment</w:t>
            </w:r>
          </w:p>
        </w:tc>
        <w:tc>
          <w:tcPr>
            <w:tcW w:w="1440" w:type="dxa"/>
            <w:tcMar>
              <w:left w:w="108" w:type="dxa"/>
              <w:right w:w="108" w:type="dxa"/>
            </w:tcMar>
          </w:tcPr>
          <w:p w14:paraId="4C33023F" w14:textId="68D5E9C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1A49BC1E" w14:textId="77777777" w:rsidTr="502A4FC6">
        <w:trPr>
          <w:trHeight w:val="300"/>
        </w:trPr>
        <w:tc>
          <w:tcPr>
            <w:tcW w:w="1695" w:type="dxa"/>
            <w:tcMar>
              <w:left w:w="108" w:type="dxa"/>
              <w:right w:w="108" w:type="dxa"/>
            </w:tcMar>
          </w:tcPr>
          <w:p w14:paraId="63471C8C" w14:textId="5DA3FE22" w:rsidR="502A4FC6" w:rsidRPr="001334F6" w:rsidRDefault="502A4FC6" w:rsidP="502A4FC6">
            <w:pPr>
              <w:spacing w:line="278" w:lineRule="auto"/>
              <w:rPr>
                <w:sz w:val="20"/>
                <w:szCs w:val="20"/>
              </w:rPr>
            </w:pPr>
            <w:r>
              <w:rPr>
                <w:rFonts w:ascii="Aptos" w:eastAsia="Aptos" w:hAnsi="Aptos" w:cs="Aptos"/>
                <w:sz w:val="20"/>
                <w:szCs w:val="20"/>
              </w:rPr>
              <w:t>Du et al. 2022</w:t>
            </w:r>
          </w:p>
        </w:tc>
        <w:tc>
          <w:tcPr>
            <w:tcW w:w="2445" w:type="dxa"/>
            <w:tcMar>
              <w:left w:w="108" w:type="dxa"/>
              <w:right w:w="108" w:type="dxa"/>
            </w:tcMar>
          </w:tcPr>
          <w:p w14:paraId="731D65D5" w14:textId="17E5C804" w:rsidR="502A4FC6" w:rsidRPr="001334F6" w:rsidRDefault="502A4FC6" w:rsidP="502A4FC6">
            <w:pPr>
              <w:spacing w:line="278" w:lineRule="auto"/>
              <w:rPr>
                <w:sz w:val="20"/>
                <w:szCs w:val="20"/>
              </w:rPr>
            </w:pPr>
            <w:r>
              <w:rPr>
                <w:rFonts w:ascii="Aptos" w:eastAsia="Aptos" w:hAnsi="Aptos" w:cs="Aptos"/>
                <w:sz w:val="20"/>
                <w:szCs w:val="20"/>
              </w:rPr>
              <w:t>Experimental comparison of feature-contribution and example-based explanations</w:t>
            </w:r>
          </w:p>
        </w:tc>
        <w:tc>
          <w:tcPr>
            <w:tcW w:w="2100" w:type="dxa"/>
            <w:tcMar>
              <w:left w:w="108" w:type="dxa"/>
              <w:right w:w="108" w:type="dxa"/>
            </w:tcMar>
          </w:tcPr>
          <w:p w14:paraId="21111C50" w14:textId="0EC26DD7"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5BD2EC69" w14:textId="446C38C0" w:rsidR="502A4FC6" w:rsidRPr="001334F6" w:rsidRDefault="502A4FC6" w:rsidP="502A4FC6">
            <w:pPr>
              <w:spacing w:line="278" w:lineRule="auto"/>
              <w:rPr>
                <w:sz w:val="20"/>
                <w:szCs w:val="20"/>
              </w:rPr>
            </w:pPr>
            <w:r>
              <w:rPr>
                <w:rFonts w:ascii="Aptos" w:eastAsia="Aptos" w:hAnsi="Aptos" w:cs="Aptos"/>
                <w:sz w:val="20"/>
                <w:szCs w:val="20"/>
              </w:rPr>
              <w:t>Within-participant comparison</w:t>
            </w:r>
          </w:p>
        </w:tc>
        <w:tc>
          <w:tcPr>
            <w:tcW w:w="1440" w:type="dxa"/>
            <w:tcMar>
              <w:left w:w="108" w:type="dxa"/>
              <w:right w:w="108" w:type="dxa"/>
            </w:tcMar>
          </w:tcPr>
          <w:p w14:paraId="283BEC47" w14:textId="22A84E16"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91EAE2D" w14:textId="77777777" w:rsidTr="502A4FC6">
        <w:trPr>
          <w:trHeight w:val="300"/>
        </w:trPr>
        <w:tc>
          <w:tcPr>
            <w:tcW w:w="1695" w:type="dxa"/>
            <w:tcMar>
              <w:left w:w="108" w:type="dxa"/>
              <w:right w:w="108" w:type="dxa"/>
            </w:tcMar>
          </w:tcPr>
          <w:p w14:paraId="167E9037" w14:textId="46F74BC5" w:rsidR="502A4FC6" w:rsidRPr="001334F6" w:rsidRDefault="502A4FC6" w:rsidP="502A4FC6">
            <w:pPr>
              <w:spacing w:line="278" w:lineRule="auto"/>
              <w:rPr>
                <w:sz w:val="20"/>
                <w:szCs w:val="20"/>
              </w:rPr>
            </w:pPr>
            <w:r>
              <w:rPr>
                <w:rFonts w:ascii="Aptos" w:eastAsia="Aptos" w:hAnsi="Aptos" w:cs="Aptos"/>
                <w:sz w:val="20"/>
                <w:szCs w:val="20"/>
              </w:rPr>
              <w:t>Naiseh et al. 2023</w:t>
            </w:r>
          </w:p>
        </w:tc>
        <w:tc>
          <w:tcPr>
            <w:tcW w:w="2445" w:type="dxa"/>
            <w:tcMar>
              <w:left w:w="108" w:type="dxa"/>
              <w:right w:w="108" w:type="dxa"/>
            </w:tcMar>
          </w:tcPr>
          <w:p w14:paraId="5512D12C" w14:textId="2462CAD3" w:rsidR="502A4FC6" w:rsidRPr="001334F6" w:rsidRDefault="502A4FC6" w:rsidP="502A4FC6">
            <w:pPr>
              <w:spacing w:line="278" w:lineRule="auto"/>
              <w:rPr>
                <w:sz w:val="20"/>
                <w:szCs w:val="20"/>
              </w:rPr>
            </w:pPr>
            <w:r>
              <w:rPr>
                <w:rFonts w:ascii="Aptos" w:eastAsia="Aptos" w:hAnsi="Aptos" w:cs="Aptos"/>
                <w:sz w:val="20"/>
                <w:szCs w:val="20"/>
              </w:rPr>
              <w:t>Within-subject comparison of four explanation classes and no-explanation control</w:t>
            </w:r>
          </w:p>
        </w:tc>
        <w:tc>
          <w:tcPr>
            <w:tcW w:w="2100" w:type="dxa"/>
            <w:tcMar>
              <w:left w:w="108" w:type="dxa"/>
              <w:right w:w="108" w:type="dxa"/>
            </w:tcMar>
          </w:tcPr>
          <w:p w14:paraId="3692ACAE" w14:textId="1FDA4175" w:rsidR="502A4FC6" w:rsidRPr="001334F6" w:rsidRDefault="502A4FC6" w:rsidP="502A4FC6">
            <w:pPr>
              <w:spacing w:line="278" w:lineRule="auto"/>
              <w:rPr>
                <w:sz w:val="20"/>
                <w:szCs w:val="20"/>
              </w:rPr>
            </w:pPr>
            <w:r>
              <w:rPr>
                <w:rFonts w:ascii="Aptos" w:eastAsia="Aptos" w:hAnsi="Aptos" w:cs="Aptos"/>
                <w:sz w:val="20"/>
                <w:szCs w:val="20"/>
              </w:rPr>
              <w:t>Explanation comparison / preference (EU4)</w:t>
            </w:r>
          </w:p>
        </w:tc>
        <w:tc>
          <w:tcPr>
            <w:tcW w:w="1395" w:type="dxa"/>
            <w:tcMar>
              <w:left w:w="108" w:type="dxa"/>
              <w:right w:w="108" w:type="dxa"/>
            </w:tcMar>
          </w:tcPr>
          <w:p w14:paraId="0DE6EE1A" w14:textId="7ACB8049" w:rsidR="502A4FC6" w:rsidRPr="001334F6" w:rsidRDefault="502A4FC6" w:rsidP="502A4FC6">
            <w:pPr>
              <w:spacing w:line="278" w:lineRule="auto"/>
              <w:rPr>
                <w:sz w:val="20"/>
                <w:szCs w:val="20"/>
              </w:rPr>
            </w:pPr>
            <w:r>
              <w:rPr>
                <w:rFonts w:ascii="Aptos" w:eastAsia="Aptos" w:hAnsi="Aptos" w:cs="Aptos"/>
                <w:sz w:val="20"/>
                <w:szCs w:val="20"/>
              </w:rPr>
              <w:t>Comparative experiment</w:t>
            </w:r>
          </w:p>
        </w:tc>
        <w:tc>
          <w:tcPr>
            <w:tcW w:w="1440" w:type="dxa"/>
            <w:tcMar>
              <w:left w:w="108" w:type="dxa"/>
              <w:right w:w="108" w:type="dxa"/>
            </w:tcMar>
          </w:tcPr>
          <w:p w14:paraId="460DEFF7" w14:textId="3EE9536B"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F6F6508" w14:textId="77777777" w:rsidTr="502A4FC6">
        <w:trPr>
          <w:trHeight w:val="300"/>
        </w:trPr>
        <w:tc>
          <w:tcPr>
            <w:tcW w:w="1695" w:type="dxa"/>
            <w:tcMar>
              <w:left w:w="108" w:type="dxa"/>
              <w:right w:w="108" w:type="dxa"/>
            </w:tcMar>
          </w:tcPr>
          <w:p w14:paraId="5227256E" w14:textId="13EE3FCD" w:rsidR="502A4FC6" w:rsidRPr="001334F6" w:rsidRDefault="502A4FC6" w:rsidP="502A4FC6">
            <w:pPr>
              <w:spacing w:line="278" w:lineRule="auto"/>
              <w:rPr>
                <w:sz w:val="20"/>
                <w:szCs w:val="20"/>
              </w:rPr>
            </w:pPr>
            <w:r>
              <w:rPr>
                <w:rFonts w:ascii="Aptos" w:eastAsia="Aptos" w:hAnsi="Aptos" w:cs="Aptos"/>
                <w:sz w:val="20"/>
                <w:szCs w:val="20"/>
              </w:rPr>
              <w:t>Bussone et al. 2015</w:t>
            </w:r>
          </w:p>
        </w:tc>
        <w:tc>
          <w:tcPr>
            <w:tcW w:w="2445" w:type="dxa"/>
            <w:tcMar>
              <w:left w:w="108" w:type="dxa"/>
              <w:right w:w="108" w:type="dxa"/>
            </w:tcMar>
          </w:tcPr>
          <w:p w14:paraId="58C951F0" w14:textId="2C792516" w:rsidR="502A4FC6" w:rsidRPr="001334F6" w:rsidRDefault="502A4FC6" w:rsidP="502A4FC6">
            <w:pPr>
              <w:spacing w:line="278" w:lineRule="auto"/>
              <w:rPr>
                <w:sz w:val="20"/>
                <w:szCs w:val="20"/>
              </w:rPr>
            </w:pPr>
            <w:r>
              <w:rPr>
                <w:rFonts w:ascii="Aptos" w:eastAsia="Aptos" w:hAnsi="Aptos" w:cs="Aptos"/>
                <w:sz w:val="20"/>
                <w:szCs w:val="20"/>
              </w:rPr>
              <w:t>Correct vs. incorrect diagnostic decisions</w:t>
            </w:r>
          </w:p>
        </w:tc>
        <w:tc>
          <w:tcPr>
            <w:tcW w:w="2100" w:type="dxa"/>
            <w:tcMar>
              <w:left w:w="108" w:type="dxa"/>
              <w:right w:w="108" w:type="dxa"/>
            </w:tcMar>
          </w:tcPr>
          <w:p w14:paraId="5EEABC60" w14:textId="11AF9726"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4F15D24" w14:textId="34AD98C6"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0B35D17E" w14:textId="1B8DE08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11033FC" w14:textId="77777777" w:rsidTr="502A4FC6">
        <w:trPr>
          <w:trHeight w:val="300"/>
        </w:trPr>
        <w:tc>
          <w:tcPr>
            <w:tcW w:w="1695" w:type="dxa"/>
            <w:tcMar>
              <w:left w:w="108" w:type="dxa"/>
              <w:right w:w="108" w:type="dxa"/>
            </w:tcMar>
          </w:tcPr>
          <w:p w14:paraId="4D221D98" w14:textId="3D52604B" w:rsidR="502A4FC6" w:rsidRPr="001334F6" w:rsidRDefault="502A4FC6" w:rsidP="502A4FC6">
            <w:pPr>
              <w:spacing w:line="278" w:lineRule="auto"/>
              <w:rPr>
                <w:sz w:val="20"/>
                <w:szCs w:val="20"/>
              </w:rPr>
            </w:pPr>
            <w:r>
              <w:rPr>
                <w:rFonts w:ascii="Aptos" w:eastAsia="Aptos" w:hAnsi="Aptos" w:cs="Aptos"/>
                <w:sz w:val="20"/>
                <w:szCs w:val="20"/>
              </w:rPr>
              <w:t>Chanda et al. 2024</w:t>
            </w:r>
          </w:p>
        </w:tc>
        <w:tc>
          <w:tcPr>
            <w:tcW w:w="2445" w:type="dxa"/>
            <w:tcMar>
              <w:left w:w="108" w:type="dxa"/>
              <w:right w:w="108" w:type="dxa"/>
            </w:tcMar>
          </w:tcPr>
          <w:p w14:paraId="31870F17" w14:textId="58AF1094" w:rsidR="502A4FC6" w:rsidRPr="001334F6" w:rsidRDefault="502A4FC6" w:rsidP="502A4FC6">
            <w:pPr>
              <w:spacing w:line="278" w:lineRule="auto"/>
              <w:rPr>
                <w:sz w:val="20"/>
                <w:szCs w:val="20"/>
              </w:rPr>
            </w:pPr>
            <w:r>
              <w:rPr>
                <w:rFonts w:ascii="Aptos" w:eastAsia="Aptos" w:hAnsi="Aptos" w:cs="Aptos"/>
                <w:sz w:val="20"/>
                <w:szCs w:val="20"/>
              </w:rPr>
              <w:t>Diagnostic accuracy (melanoma)</w:t>
            </w:r>
          </w:p>
        </w:tc>
        <w:tc>
          <w:tcPr>
            <w:tcW w:w="2100" w:type="dxa"/>
            <w:tcMar>
              <w:left w:w="108" w:type="dxa"/>
              <w:right w:w="108" w:type="dxa"/>
            </w:tcMar>
          </w:tcPr>
          <w:p w14:paraId="0322E783" w14:textId="66866500"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325AF93C" w14:textId="512F7FF4"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38F89DF7" w14:textId="5A3E320F"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7E75D27D" w14:textId="77777777" w:rsidTr="502A4FC6">
        <w:trPr>
          <w:trHeight w:val="300"/>
        </w:trPr>
        <w:tc>
          <w:tcPr>
            <w:tcW w:w="1695" w:type="dxa"/>
            <w:tcMar>
              <w:left w:w="108" w:type="dxa"/>
              <w:right w:w="108" w:type="dxa"/>
            </w:tcMar>
          </w:tcPr>
          <w:p w14:paraId="1B2BE626" w14:textId="23ABD184" w:rsidR="502A4FC6" w:rsidRPr="001334F6" w:rsidRDefault="502A4FC6" w:rsidP="502A4FC6">
            <w:pPr>
              <w:spacing w:line="278" w:lineRule="auto"/>
              <w:rPr>
                <w:sz w:val="20"/>
                <w:szCs w:val="20"/>
              </w:rPr>
            </w:pPr>
            <w:r>
              <w:rPr>
                <w:rFonts w:ascii="Aptos" w:eastAsia="Aptos" w:hAnsi="Aptos" w:cs="Aptos"/>
                <w:sz w:val="20"/>
                <w:szCs w:val="20"/>
              </w:rPr>
              <w:lastRenderedPageBreak/>
              <w:t>Rezaeian et al. 2025</w:t>
            </w:r>
          </w:p>
        </w:tc>
        <w:tc>
          <w:tcPr>
            <w:tcW w:w="2445" w:type="dxa"/>
            <w:tcMar>
              <w:left w:w="108" w:type="dxa"/>
              <w:right w:w="108" w:type="dxa"/>
            </w:tcMar>
          </w:tcPr>
          <w:p w14:paraId="378FA03E" w14:textId="6F598CE1" w:rsidR="502A4FC6" w:rsidRPr="001334F6" w:rsidRDefault="502A4FC6" w:rsidP="502A4FC6">
            <w:pPr>
              <w:spacing w:line="278" w:lineRule="auto"/>
              <w:rPr>
                <w:sz w:val="20"/>
                <w:szCs w:val="20"/>
              </w:rPr>
            </w:pPr>
            <w:r>
              <w:rPr>
                <w:rFonts w:ascii="Aptos" w:eastAsia="Aptos" w:hAnsi="Aptos" w:cs="Aptos"/>
                <w:sz w:val="20"/>
                <w:szCs w:val="20"/>
              </w:rPr>
              <w:t>Breast-cancer diagnostic accuracy</w:t>
            </w:r>
          </w:p>
        </w:tc>
        <w:tc>
          <w:tcPr>
            <w:tcW w:w="2100" w:type="dxa"/>
            <w:tcMar>
              <w:left w:w="108" w:type="dxa"/>
              <w:right w:w="108" w:type="dxa"/>
            </w:tcMar>
          </w:tcPr>
          <w:p w14:paraId="1FDC9373" w14:textId="77CA12C7"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70BD95A" w14:textId="5F1E9387"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14CEC899" w14:textId="570FD583"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1A2ED014" w14:textId="77777777" w:rsidTr="502A4FC6">
        <w:trPr>
          <w:trHeight w:val="300"/>
        </w:trPr>
        <w:tc>
          <w:tcPr>
            <w:tcW w:w="1695" w:type="dxa"/>
            <w:tcMar>
              <w:left w:w="108" w:type="dxa"/>
              <w:right w:w="108" w:type="dxa"/>
            </w:tcMar>
          </w:tcPr>
          <w:p w14:paraId="77C2F0CA" w14:textId="5B421361" w:rsidR="502A4FC6" w:rsidRPr="001334F6" w:rsidRDefault="502A4FC6" w:rsidP="502A4FC6">
            <w:pPr>
              <w:spacing w:line="278" w:lineRule="auto"/>
              <w:rPr>
                <w:sz w:val="20"/>
                <w:szCs w:val="20"/>
              </w:rPr>
            </w:pPr>
            <w:r>
              <w:rPr>
                <w:rFonts w:ascii="Aptos" w:eastAsia="Aptos" w:hAnsi="Aptos" w:cs="Aptos"/>
                <w:sz w:val="20"/>
                <w:szCs w:val="20"/>
              </w:rPr>
              <w:t>Nicolson et al. 2025</w:t>
            </w:r>
          </w:p>
        </w:tc>
        <w:tc>
          <w:tcPr>
            <w:tcW w:w="2445" w:type="dxa"/>
            <w:tcMar>
              <w:left w:w="108" w:type="dxa"/>
              <w:right w:w="108" w:type="dxa"/>
            </w:tcMar>
          </w:tcPr>
          <w:p w14:paraId="49EF3B63" w14:textId="77441E2C" w:rsidR="502A4FC6" w:rsidRPr="001334F6" w:rsidRDefault="502A4FC6" w:rsidP="502A4FC6">
            <w:pPr>
              <w:spacing w:line="278" w:lineRule="auto"/>
              <w:rPr>
                <w:sz w:val="20"/>
                <w:szCs w:val="20"/>
              </w:rPr>
            </w:pPr>
            <w:r>
              <w:rPr>
                <w:rFonts w:ascii="Aptos" w:eastAsia="Aptos" w:hAnsi="Aptos" w:cs="Aptos"/>
                <w:sz w:val="20"/>
                <w:szCs w:val="20"/>
              </w:rPr>
              <w:t>Mean Absolute Error against ground truth</w:t>
            </w:r>
          </w:p>
        </w:tc>
        <w:tc>
          <w:tcPr>
            <w:tcW w:w="2100" w:type="dxa"/>
            <w:tcMar>
              <w:left w:w="108" w:type="dxa"/>
              <w:right w:w="108" w:type="dxa"/>
            </w:tcMar>
          </w:tcPr>
          <w:p w14:paraId="5FFA9BA9" w14:textId="51DE5757"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73F938B1" w14:textId="794F049A"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4E5811A8" w14:textId="62E38CFA"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AEB5C8A" w14:textId="77777777" w:rsidTr="502A4FC6">
        <w:trPr>
          <w:trHeight w:val="300"/>
        </w:trPr>
        <w:tc>
          <w:tcPr>
            <w:tcW w:w="1695" w:type="dxa"/>
            <w:tcMar>
              <w:left w:w="108" w:type="dxa"/>
              <w:right w:w="108" w:type="dxa"/>
            </w:tcMar>
          </w:tcPr>
          <w:p w14:paraId="42E0E59E" w14:textId="07E6757A" w:rsidR="502A4FC6" w:rsidRPr="001334F6" w:rsidRDefault="502A4FC6" w:rsidP="502A4FC6">
            <w:pPr>
              <w:spacing w:line="278" w:lineRule="auto"/>
              <w:rPr>
                <w:sz w:val="20"/>
                <w:szCs w:val="20"/>
              </w:rPr>
            </w:pPr>
            <w:r>
              <w:rPr>
                <w:rFonts w:ascii="Aptos" w:eastAsia="Aptos" w:hAnsi="Aptos" w:cs="Aptos"/>
                <w:sz w:val="20"/>
                <w:szCs w:val="20"/>
              </w:rPr>
              <w:t>Wysocki et al. 2023</w:t>
            </w:r>
          </w:p>
        </w:tc>
        <w:tc>
          <w:tcPr>
            <w:tcW w:w="2445" w:type="dxa"/>
            <w:tcMar>
              <w:left w:w="108" w:type="dxa"/>
              <w:right w:w="108" w:type="dxa"/>
            </w:tcMar>
          </w:tcPr>
          <w:p w14:paraId="35F8601F" w14:textId="43494ABA" w:rsidR="502A4FC6" w:rsidRPr="001334F6" w:rsidRDefault="502A4FC6" w:rsidP="502A4FC6">
            <w:pPr>
              <w:spacing w:line="278" w:lineRule="auto"/>
              <w:rPr>
                <w:sz w:val="20"/>
                <w:szCs w:val="20"/>
              </w:rPr>
            </w:pPr>
            <w:r>
              <w:rPr>
                <w:rFonts w:ascii="Aptos" w:eastAsia="Aptos" w:hAnsi="Aptos" w:cs="Aptos"/>
                <w:sz w:val="20"/>
                <w:szCs w:val="20"/>
              </w:rPr>
              <w:t>Decision correctness vs. expert-approved actions</w:t>
            </w:r>
          </w:p>
        </w:tc>
        <w:tc>
          <w:tcPr>
            <w:tcW w:w="2100" w:type="dxa"/>
            <w:tcMar>
              <w:left w:w="108" w:type="dxa"/>
              <w:right w:w="108" w:type="dxa"/>
            </w:tcMar>
          </w:tcPr>
          <w:p w14:paraId="04590239" w14:textId="7D8BEB6E"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5B904535" w14:textId="5389A576" w:rsidR="502A4FC6" w:rsidRPr="001334F6" w:rsidRDefault="502A4FC6" w:rsidP="502A4FC6">
            <w:pPr>
              <w:spacing w:line="278" w:lineRule="auto"/>
              <w:rPr>
                <w:sz w:val="20"/>
                <w:szCs w:val="20"/>
              </w:rPr>
            </w:pPr>
            <w:r>
              <w:rPr>
                <w:rFonts w:ascii="Aptos" w:eastAsia="Aptos" w:hAnsi="Aptos" w:cs="Aptos"/>
                <w:sz w:val="20"/>
                <w:szCs w:val="20"/>
              </w:rPr>
              <w:t>Ground truth / expert</w:t>
            </w:r>
          </w:p>
        </w:tc>
        <w:tc>
          <w:tcPr>
            <w:tcW w:w="1440" w:type="dxa"/>
            <w:tcMar>
              <w:left w:w="108" w:type="dxa"/>
              <w:right w:w="108" w:type="dxa"/>
            </w:tcMar>
          </w:tcPr>
          <w:p w14:paraId="60B520DB" w14:textId="2678E23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E93EB38" w14:textId="77777777" w:rsidTr="502A4FC6">
        <w:trPr>
          <w:trHeight w:val="300"/>
        </w:trPr>
        <w:tc>
          <w:tcPr>
            <w:tcW w:w="1695" w:type="dxa"/>
            <w:tcMar>
              <w:left w:w="108" w:type="dxa"/>
              <w:right w:w="108" w:type="dxa"/>
            </w:tcMar>
          </w:tcPr>
          <w:p w14:paraId="377AB23E" w14:textId="39B39D4D" w:rsidR="502A4FC6" w:rsidRPr="001334F6" w:rsidRDefault="502A4FC6" w:rsidP="502A4FC6">
            <w:pPr>
              <w:spacing w:line="278" w:lineRule="auto"/>
              <w:rPr>
                <w:sz w:val="20"/>
                <w:szCs w:val="20"/>
              </w:rPr>
            </w:pPr>
            <w:r>
              <w:rPr>
                <w:rFonts w:ascii="Aptos" w:eastAsia="Aptos" w:hAnsi="Aptos" w:cs="Aptos"/>
                <w:sz w:val="20"/>
                <w:szCs w:val="20"/>
              </w:rPr>
              <w:t>Famiglini et al. 2024</w:t>
            </w:r>
          </w:p>
        </w:tc>
        <w:tc>
          <w:tcPr>
            <w:tcW w:w="2445" w:type="dxa"/>
            <w:tcMar>
              <w:left w:w="108" w:type="dxa"/>
              <w:right w:w="108" w:type="dxa"/>
            </w:tcMar>
          </w:tcPr>
          <w:p w14:paraId="7DD91BEB" w14:textId="6A607FCF" w:rsidR="502A4FC6" w:rsidRPr="001334F6" w:rsidRDefault="502A4FC6" w:rsidP="502A4FC6">
            <w:pPr>
              <w:spacing w:line="278" w:lineRule="auto"/>
              <w:rPr>
                <w:sz w:val="20"/>
                <w:szCs w:val="20"/>
              </w:rPr>
            </w:pPr>
            <w:r>
              <w:rPr>
                <w:rFonts w:ascii="Aptos" w:eastAsia="Aptos" w:hAnsi="Aptos" w:cs="Aptos"/>
                <w:sz w:val="20"/>
                <w:szCs w:val="20"/>
              </w:rPr>
              <w:t>Diagnostic image interpretation accuracy</w:t>
            </w:r>
          </w:p>
        </w:tc>
        <w:tc>
          <w:tcPr>
            <w:tcW w:w="2100" w:type="dxa"/>
            <w:tcMar>
              <w:left w:w="108" w:type="dxa"/>
              <w:right w:w="108" w:type="dxa"/>
            </w:tcMar>
          </w:tcPr>
          <w:p w14:paraId="3A35C1C5" w14:textId="03F8B499"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0DB9000E" w14:textId="3B4FE849"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77F79740" w14:textId="2DC1543B"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20381C2A" w14:textId="77777777" w:rsidTr="502A4FC6">
        <w:trPr>
          <w:trHeight w:val="300"/>
        </w:trPr>
        <w:tc>
          <w:tcPr>
            <w:tcW w:w="1695" w:type="dxa"/>
            <w:tcMar>
              <w:left w:w="108" w:type="dxa"/>
              <w:right w:w="108" w:type="dxa"/>
            </w:tcMar>
          </w:tcPr>
          <w:p w14:paraId="3A6CE5BE" w14:textId="58229690" w:rsidR="502A4FC6" w:rsidRPr="001334F6" w:rsidRDefault="502A4FC6" w:rsidP="502A4FC6">
            <w:pPr>
              <w:spacing w:line="278" w:lineRule="auto"/>
              <w:rPr>
                <w:sz w:val="20"/>
                <w:szCs w:val="20"/>
              </w:rPr>
            </w:pPr>
            <w:r>
              <w:rPr>
                <w:rFonts w:ascii="Aptos" w:eastAsia="Aptos" w:hAnsi="Aptos" w:cs="Aptos"/>
                <w:sz w:val="20"/>
                <w:szCs w:val="20"/>
              </w:rPr>
              <w:t>Glick et al. 2022</w:t>
            </w:r>
          </w:p>
        </w:tc>
        <w:tc>
          <w:tcPr>
            <w:tcW w:w="2445" w:type="dxa"/>
            <w:tcMar>
              <w:left w:w="108" w:type="dxa"/>
              <w:right w:w="108" w:type="dxa"/>
            </w:tcMar>
          </w:tcPr>
          <w:p w14:paraId="589F7928" w14:textId="75FA5271" w:rsidR="502A4FC6" w:rsidRPr="001334F6" w:rsidRDefault="502A4FC6" w:rsidP="502A4FC6">
            <w:pPr>
              <w:spacing w:line="278" w:lineRule="auto"/>
              <w:rPr>
                <w:sz w:val="20"/>
                <w:szCs w:val="20"/>
              </w:rPr>
            </w:pPr>
            <w:r>
              <w:rPr>
                <w:rFonts w:ascii="Aptos" w:eastAsia="Aptos" w:hAnsi="Aptos" w:cs="Aptos"/>
                <w:sz w:val="20"/>
                <w:szCs w:val="20"/>
              </w:rPr>
              <w:t>Diagnostic accuracy (dental radiographs)</w:t>
            </w:r>
          </w:p>
        </w:tc>
        <w:tc>
          <w:tcPr>
            <w:tcW w:w="2100" w:type="dxa"/>
            <w:tcMar>
              <w:left w:w="108" w:type="dxa"/>
              <w:right w:w="108" w:type="dxa"/>
            </w:tcMar>
          </w:tcPr>
          <w:p w14:paraId="2BA8AC56" w14:textId="364EF759"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CD19773" w14:textId="759B4196"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1A425B06" w14:textId="5E34625D"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47EC8A3" w14:textId="77777777" w:rsidTr="502A4FC6">
        <w:trPr>
          <w:trHeight w:val="300"/>
        </w:trPr>
        <w:tc>
          <w:tcPr>
            <w:tcW w:w="1695" w:type="dxa"/>
            <w:tcMar>
              <w:left w:w="108" w:type="dxa"/>
              <w:right w:w="108" w:type="dxa"/>
            </w:tcMar>
          </w:tcPr>
          <w:p w14:paraId="094C1782" w14:textId="39473395" w:rsidR="502A4FC6" w:rsidRPr="001334F6" w:rsidRDefault="502A4FC6" w:rsidP="502A4FC6">
            <w:pPr>
              <w:spacing w:line="278" w:lineRule="auto"/>
              <w:rPr>
                <w:sz w:val="20"/>
                <w:szCs w:val="20"/>
              </w:rPr>
            </w:pPr>
            <w:r>
              <w:rPr>
                <w:rFonts w:ascii="Aptos" w:eastAsia="Aptos" w:hAnsi="Aptos" w:cs="Aptos"/>
                <w:sz w:val="20"/>
                <w:szCs w:val="20"/>
              </w:rPr>
              <w:t>Jabbour et al. 2023</w:t>
            </w:r>
          </w:p>
        </w:tc>
        <w:tc>
          <w:tcPr>
            <w:tcW w:w="2445" w:type="dxa"/>
            <w:tcMar>
              <w:left w:w="108" w:type="dxa"/>
              <w:right w:w="108" w:type="dxa"/>
            </w:tcMar>
          </w:tcPr>
          <w:p w14:paraId="23CAEC95" w14:textId="7DC779E6" w:rsidR="502A4FC6" w:rsidRPr="001334F6" w:rsidRDefault="502A4FC6" w:rsidP="502A4FC6">
            <w:pPr>
              <w:spacing w:line="278" w:lineRule="auto"/>
              <w:rPr>
                <w:sz w:val="20"/>
                <w:szCs w:val="20"/>
              </w:rPr>
            </w:pPr>
            <w:r>
              <w:rPr>
                <w:rFonts w:ascii="Aptos" w:eastAsia="Aptos" w:hAnsi="Aptos" w:cs="Aptos"/>
                <w:sz w:val="20"/>
                <w:szCs w:val="20"/>
              </w:rPr>
              <w:t>Diagnostic accuracy</w:t>
            </w:r>
          </w:p>
        </w:tc>
        <w:tc>
          <w:tcPr>
            <w:tcW w:w="2100" w:type="dxa"/>
            <w:tcMar>
              <w:left w:w="108" w:type="dxa"/>
              <w:right w:w="108" w:type="dxa"/>
            </w:tcMar>
          </w:tcPr>
          <w:p w14:paraId="72025FF2" w14:textId="5D1B5F70"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6026E664" w14:textId="45B1ECD1"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32FD1A14" w14:textId="7530798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E4F07C5" w14:textId="77777777" w:rsidTr="502A4FC6">
        <w:trPr>
          <w:trHeight w:val="300"/>
        </w:trPr>
        <w:tc>
          <w:tcPr>
            <w:tcW w:w="1695" w:type="dxa"/>
            <w:tcMar>
              <w:left w:w="108" w:type="dxa"/>
              <w:right w:w="108" w:type="dxa"/>
            </w:tcMar>
          </w:tcPr>
          <w:p w14:paraId="3AF50EEA" w14:textId="0881B49A" w:rsidR="502A4FC6" w:rsidRPr="001334F6" w:rsidRDefault="502A4FC6" w:rsidP="502A4FC6">
            <w:pPr>
              <w:spacing w:line="278" w:lineRule="auto"/>
              <w:rPr>
                <w:sz w:val="20"/>
                <w:szCs w:val="20"/>
              </w:rPr>
            </w:pPr>
            <w:r>
              <w:rPr>
                <w:rFonts w:ascii="Aptos" w:eastAsia="Aptos" w:hAnsi="Aptos" w:cs="Aptos"/>
                <w:sz w:val="20"/>
                <w:szCs w:val="20"/>
              </w:rPr>
              <w:t>Das et al. 2023</w:t>
            </w:r>
          </w:p>
        </w:tc>
        <w:tc>
          <w:tcPr>
            <w:tcW w:w="2445" w:type="dxa"/>
            <w:tcMar>
              <w:left w:w="108" w:type="dxa"/>
              <w:right w:w="108" w:type="dxa"/>
            </w:tcMar>
          </w:tcPr>
          <w:p w14:paraId="1C245283" w14:textId="010622CC" w:rsidR="502A4FC6" w:rsidRPr="001334F6" w:rsidRDefault="502A4FC6" w:rsidP="502A4FC6">
            <w:pPr>
              <w:spacing w:line="278" w:lineRule="auto"/>
              <w:rPr>
                <w:sz w:val="20"/>
                <w:szCs w:val="20"/>
              </w:rPr>
            </w:pPr>
            <w:r>
              <w:rPr>
                <w:rFonts w:ascii="Aptos" w:eastAsia="Aptos" w:hAnsi="Aptos" w:cs="Aptos"/>
                <w:sz w:val="20"/>
                <w:szCs w:val="20"/>
              </w:rPr>
              <w:t>Diagnostic accuracy + differential diagnosis performance</w:t>
            </w:r>
          </w:p>
        </w:tc>
        <w:tc>
          <w:tcPr>
            <w:tcW w:w="2100" w:type="dxa"/>
            <w:tcMar>
              <w:left w:w="108" w:type="dxa"/>
              <w:right w:w="108" w:type="dxa"/>
            </w:tcMar>
          </w:tcPr>
          <w:p w14:paraId="48083F29" w14:textId="351A92AC"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63A2D586" w14:textId="7B5EBD50"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35313038" w14:textId="2104B73E"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D651A85" w14:textId="77777777" w:rsidTr="502A4FC6">
        <w:trPr>
          <w:trHeight w:val="300"/>
        </w:trPr>
        <w:tc>
          <w:tcPr>
            <w:tcW w:w="1695" w:type="dxa"/>
            <w:tcMar>
              <w:left w:w="108" w:type="dxa"/>
              <w:right w:w="108" w:type="dxa"/>
            </w:tcMar>
          </w:tcPr>
          <w:p w14:paraId="050CB210" w14:textId="292C109E" w:rsidR="502A4FC6" w:rsidRPr="001334F6" w:rsidRDefault="502A4FC6" w:rsidP="502A4FC6">
            <w:pPr>
              <w:spacing w:line="278" w:lineRule="auto"/>
              <w:rPr>
                <w:sz w:val="20"/>
                <w:szCs w:val="20"/>
              </w:rPr>
            </w:pPr>
            <w:r>
              <w:rPr>
                <w:rFonts w:ascii="Aptos" w:eastAsia="Aptos" w:hAnsi="Aptos" w:cs="Aptos"/>
                <w:sz w:val="20"/>
                <w:szCs w:val="20"/>
              </w:rPr>
              <w:t>Gomez et al. 2024</w:t>
            </w:r>
          </w:p>
        </w:tc>
        <w:tc>
          <w:tcPr>
            <w:tcW w:w="2445" w:type="dxa"/>
            <w:tcMar>
              <w:left w:w="108" w:type="dxa"/>
              <w:right w:w="108" w:type="dxa"/>
            </w:tcMar>
          </w:tcPr>
          <w:p w14:paraId="583B2811" w14:textId="47F585F2" w:rsidR="502A4FC6" w:rsidRPr="001334F6" w:rsidRDefault="502A4FC6" w:rsidP="502A4FC6">
            <w:pPr>
              <w:spacing w:line="278" w:lineRule="auto"/>
              <w:rPr>
                <w:sz w:val="20"/>
                <w:szCs w:val="20"/>
              </w:rPr>
            </w:pPr>
            <w:r>
              <w:rPr>
                <w:rFonts w:ascii="Aptos" w:eastAsia="Aptos" w:hAnsi="Aptos" w:cs="Aptos"/>
                <w:sz w:val="20"/>
                <w:szCs w:val="20"/>
              </w:rPr>
              <w:t>Diagnostic accuracy (strep-throat screening)</w:t>
            </w:r>
          </w:p>
        </w:tc>
        <w:tc>
          <w:tcPr>
            <w:tcW w:w="2100" w:type="dxa"/>
            <w:tcMar>
              <w:left w:w="108" w:type="dxa"/>
              <w:right w:w="108" w:type="dxa"/>
            </w:tcMar>
          </w:tcPr>
          <w:p w14:paraId="0CC7D1CC" w14:textId="36E6A8E3"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5E53BCCB" w14:textId="15CBFEDF"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53A10B13" w14:textId="39620424"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73B732E8" w14:textId="77777777" w:rsidTr="502A4FC6">
        <w:trPr>
          <w:trHeight w:val="300"/>
        </w:trPr>
        <w:tc>
          <w:tcPr>
            <w:tcW w:w="1695" w:type="dxa"/>
            <w:tcMar>
              <w:left w:w="108" w:type="dxa"/>
              <w:right w:w="108" w:type="dxa"/>
            </w:tcMar>
          </w:tcPr>
          <w:p w14:paraId="471DC69E" w14:textId="3C035386" w:rsidR="502A4FC6" w:rsidRPr="001334F6" w:rsidRDefault="502A4FC6" w:rsidP="502A4FC6">
            <w:pPr>
              <w:spacing w:line="278" w:lineRule="auto"/>
              <w:rPr>
                <w:sz w:val="20"/>
                <w:szCs w:val="20"/>
              </w:rPr>
            </w:pPr>
            <w:r>
              <w:rPr>
                <w:rFonts w:ascii="Aptos" w:eastAsia="Aptos" w:hAnsi="Aptos" w:cs="Aptos"/>
                <w:sz w:val="20"/>
                <w:szCs w:val="20"/>
              </w:rPr>
              <w:t>Gombolay et al. 2024</w:t>
            </w:r>
          </w:p>
        </w:tc>
        <w:tc>
          <w:tcPr>
            <w:tcW w:w="2445" w:type="dxa"/>
            <w:tcMar>
              <w:left w:w="108" w:type="dxa"/>
              <w:right w:w="108" w:type="dxa"/>
            </w:tcMar>
          </w:tcPr>
          <w:p w14:paraId="3B1FFAFD" w14:textId="6658B75C" w:rsidR="502A4FC6" w:rsidRPr="001334F6" w:rsidRDefault="502A4FC6" w:rsidP="502A4FC6">
            <w:pPr>
              <w:spacing w:line="278" w:lineRule="auto"/>
              <w:rPr>
                <w:sz w:val="20"/>
                <w:szCs w:val="20"/>
              </w:rPr>
            </w:pPr>
            <w:r>
              <w:rPr>
                <w:rFonts w:ascii="Aptos" w:eastAsia="Aptos" w:hAnsi="Aptos" w:cs="Aptos"/>
                <w:sz w:val="20"/>
                <w:szCs w:val="20"/>
              </w:rPr>
              <w:t>Diagnostic accuracy</w:t>
            </w:r>
          </w:p>
        </w:tc>
        <w:tc>
          <w:tcPr>
            <w:tcW w:w="2100" w:type="dxa"/>
            <w:tcMar>
              <w:left w:w="108" w:type="dxa"/>
              <w:right w:w="108" w:type="dxa"/>
            </w:tcMar>
          </w:tcPr>
          <w:p w14:paraId="146C8068" w14:textId="2C0189F8"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6A74955C" w14:textId="34C76EC1"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0D4C1443" w14:textId="57F715BE"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C2807D2" w14:textId="77777777" w:rsidTr="502A4FC6">
        <w:trPr>
          <w:trHeight w:val="300"/>
        </w:trPr>
        <w:tc>
          <w:tcPr>
            <w:tcW w:w="1695" w:type="dxa"/>
            <w:tcMar>
              <w:left w:w="108" w:type="dxa"/>
              <w:right w:w="108" w:type="dxa"/>
            </w:tcMar>
          </w:tcPr>
          <w:p w14:paraId="2D2F2D77" w14:textId="2CBE770A" w:rsidR="502A4FC6" w:rsidRPr="001334F6" w:rsidRDefault="502A4FC6" w:rsidP="502A4FC6">
            <w:pPr>
              <w:spacing w:line="278" w:lineRule="auto"/>
              <w:rPr>
                <w:sz w:val="20"/>
                <w:szCs w:val="20"/>
              </w:rPr>
            </w:pPr>
            <w:r>
              <w:rPr>
                <w:rFonts w:ascii="Aptos" w:eastAsia="Aptos" w:hAnsi="Aptos" w:cs="Aptos"/>
                <w:sz w:val="20"/>
                <w:szCs w:val="20"/>
              </w:rPr>
              <w:t>Chen et al. 2026</w:t>
            </w:r>
          </w:p>
        </w:tc>
        <w:tc>
          <w:tcPr>
            <w:tcW w:w="2445" w:type="dxa"/>
            <w:tcMar>
              <w:left w:w="108" w:type="dxa"/>
              <w:right w:w="108" w:type="dxa"/>
            </w:tcMar>
          </w:tcPr>
          <w:p w14:paraId="07D44623" w14:textId="65AA86CB" w:rsidR="502A4FC6" w:rsidRPr="001334F6" w:rsidRDefault="502A4FC6" w:rsidP="502A4FC6">
            <w:pPr>
              <w:spacing w:line="278" w:lineRule="auto"/>
              <w:rPr>
                <w:sz w:val="20"/>
                <w:szCs w:val="20"/>
              </w:rPr>
            </w:pPr>
            <w:r>
              <w:rPr>
                <w:rFonts w:ascii="Aptos" w:eastAsia="Aptos" w:hAnsi="Aptos" w:cs="Aptos"/>
                <w:sz w:val="20"/>
                <w:szCs w:val="20"/>
              </w:rPr>
              <w:t>Cancer-subtyping diagnostic accuracy</w:t>
            </w:r>
          </w:p>
        </w:tc>
        <w:tc>
          <w:tcPr>
            <w:tcW w:w="2100" w:type="dxa"/>
            <w:tcMar>
              <w:left w:w="108" w:type="dxa"/>
              <w:right w:w="108" w:type="dxa"/>
            </w:tcMar>
          </w:tcPr>
          <w:p w14:paraId="22AC1277" w14:textId="69896779"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639B102E" w14:textId="4D64A0F7"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2FF55755" w14:textId="5AB70BAC"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C9E1EFB" w14:textId="77777777" w:rsidTr="502A4FC6">
        <w:trPr>
          <w:trHeight w:val="300"/>
        </w:trPr>
        <w:tc>
          <w:tcPr>
            <w:tcW w:w="1695" w:type="dxa"/>
            <w:tcMar>
              <w:left w:w="108" w:type="dxa"/>
              <w:right w:w="108" w:type="dxa"/>
            </w:tcMar>
          </w:tcPr>
          <w:p w14:paraId="7C3BD71A" w14:textId="48C2F773" w:rsidR="502A4FC6" w:rsidRPr="001334F6" w:rsidRDefault="502A4FC6" w:rsidP="502A4FC6">
            <w:pPr>
              <w:spacing w:line="278" w:lineRule="auto"/>
              <w:rPr>
                <w:sz w:val="20"/>
                <w:szCs w:val="20"/>
              </w:rPr>
            </w:pPr>
            <w:r>
              <w:rPr>
                <w:rFonts w:ascii="Aptos" w:eastAsia="Aptos" w:hAnsi="Aptos" w:cs="Aptos"/>
                <w:sz w:val="20"/>
                <w:szCs w:val="20"/>
              </w:rPr>
              <w:t>Gomez et al. 2025</w:t>
            </w:r>
          </w:p>
        </w:tc>
        <w:tc>
          <w:tcPr>
            <w:tcW w:w="2445" w:type="dxa"/>
            <w:tcMar>
              <w:left w:w="108" w:type="dxa"/>
              <w:right w:w="108" w:type="dxa"/>
            </w:tcMar>
          </w:tcPr>
          <w:p w14:paraId="290D2F59" w14:textId="416514EE" w:rsidR="502A4FC6" w:rsidRPr="001334F6" w:rsidRDefault="502A4FC6" w:rsidP="502A4FC6">
            <w:pPr>
              <w:spacing w:line="278" w:lineRule="auto"/>
              <w:rPr>
                <w:sz w:val="20"/>
                <w:szCs w:val="20"/>
              </w:rPr>
            </w:pPr>
            <w:r>
              <w:rPr>
                <w:rFonts w:ascii="Aptos" w:eastAsia="Aptos" w:hAnsi="Aptos" w:cs="Aptos"/>
                <w:sz w:val="20"/>
                <w:szCs w:val="20"/>
              </w:rPr>
              <w:t>Referral accuracy (glaucoma)</w:t>
            </w:r>
          </w:p>
        </w:tc>
        <w:tc>
          <w:tcPr>
            <w:tcW w:w="2100" w:type="dxa"/>
            <w:tcMar>
              <w:left w:w="108" w:type="dxa"/>
              <w:right w:w="108" w:type="dxa"/>
            </w:tcMar>
          </w:tcPr>
          <w:p w14:paraId="5F987437" w14:textId="687883D2"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696F762A" w14:textId="29842E8C"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27BF9706" w14:textId="37D009E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6DFCC65" w14:textId="77777777" w:rsidTr="502A4FC6">
        <w:trPr>
          <w:trHeight w:val="300"/>
        </w:trPr>
        <w:tc>
          <w:tcPr>
            <w:tcW w:w="1695" w:type="dxa"/>
            <w:tcMar>
              <w:left w:w="108" w:type="dxa"/>
              <w:right w:w="108" w:type="dxa"/>
            </w:tcMar>
          </w:tcPr>
          <w:p w14:paraId="19EE8435" w14:textId="6D4FE09B" w:rsidR="502A4FC6" w:rsidRPr="001334F6" w:rsidRDefault="502A4FC6" w:rsidP="502A4FC6">
            <w:pPr>
              <w:spacing w:line="278" w:lineRule="auto"/>
              <w:rPr>
                <w:sz w:val="20"/>
                <w:szCs w:val="20"/>
              </w:rPr>
            </w:pPr>
            <w:r>
              <w:rPr>
                <w:rFonts w:ascii="Aptos" w:eastAsia="Aptos" w:hAnsi="Aptos" w:cs="Aptos"/>
                <w:sz w:val="20"/>
                <w:szCs w:val="20"/>
              </w:rPr>
              <w:t>Jacobs et al. 2021</w:t>
            </w:r>
          </w:p>
        </w:tc>
        <w:tc>
          <w:tcPr>
            <w:tcW w:w="2445" w:type="dxa"/>
            <w:tcMar>
              <w:left w:w="108" w:type="dxa"/>
              <w:right w:w="108" w:type="dxa"/>
            </w:tcMar>
          </w:tcPr>
          <w:p w14:paraId="7D2A4B2D" w14:textId="42046F92" w:rsidR="502A4FC6" w:rsidRPr="001334F6" w:rsidRDefault="502A4FC6" w:rsidP="502A4FC6">
            <w:pPr>
              <w:spacing w:line="278" w:lineRule="auto"/>
              <w:rPr>
                <w:sz w:val="20"/>
                <w:szCs w:val="20"/>
              </w:rPr>
            </w:pPr>
            <w:r>
              <w:rPr>
                <w:rFonts w:ascii="Aptos" w:eastAsia="Aptos" w:hAnsi="Aptos" w:cs="Aptos"/>
                <w:sz w:val="20"/>
                <w:szCs w:val="20"/>
              </w:rPr>
              <w:t>Treatment selection accuracy</w:t>
            </w:r>
          </w:p>
        </w:tc>
        <w:tc>
          <w:tcPr>
            <w:tcW w:w="2100" w:type="dxa"/>
            <w:tcMar>
              <w:left w:w="108" w:type="dxa"/>
              <w:right w:w="108" w:type="dxa"/>
            </w:tcMar>
          </w:tcPr>
          <w:p w14:paraId="655DA2D8" w14:textId="19BB8772"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05B1C928" w14:textId="568AEE56"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1E8AE0C6" w14:textId="1F776535"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C824A6F" w14:textId="77777777" w:rsidTr="502A4FC6">
        <w:trPr>
          <w:trHeight w:val="300"/>
        </w:trPr>
        <w:tc>
          <w:tcPr>
            <w:tcW w:w="1695" w:type="dxa"/>
            <w:tcMar>
              <w:left w:w="108" w:type="dxa"/>
              <w:right w:w="108" w:type="dxa"/>
            </w:tcMar>
          </w:tcPr>
          <w:p w14:paraId="2033D73B" w14:textId="237AE2FB" w:rsidR="502A4FC6" w:rsidRPr="001334F6" w:rsidRDefault="502A4FC6" w:rsidP="502A4FC6">
            <w:pPr>
              <w:spacing w:line="278" w:lineRule="auto"/>
              <w:rPr>
                <w:sz w:val="20"/>
                <w:szCs w:val="20"/>
              </w:rPr>
            </w:pPr>
            <w:r>
              <w:rPr>
                <w:rFonts w:ascii="Aptos" w:eastAsia="Aptos" w:hAnsi="Aptos" w:cs="Aptos"/>
                <w:sz w:val="20"/>
                <w:szCs w:val="20"/>
              </w:rPr>
              <w:t>Naiseh et al. 2023</w:t>
            </w:r>
          </w:p>
        </w:tc>
        <w:tc>
          <w:tcPr>
            <w:tcW w:w="2445" w:type="dxa"/>
            <w:tcMar>
              <w:left w:w="108" w:type="dxa"/>
              <w:right w:w="108" w:type="dxa"/>
            </w:tcMar>
          </w:tcPr>
          <w:p w14:paraId="1912C839" w14:textId="3C46B462" w:rsidR="502A4FC6" w:rsidRPr="001334F6" w:rsidRDefault="502A4FC6" w:rsidP="502A4FC6">
            <w:pPr>
              <w:spacing w:line="278" w:lineRule="auto"/>
              <w:rPr>
                <w:sz w:val="20"/>
                <w:szCs w:val="20"/>
              </w:rPr>
            </w:pPr>
            <w:r>
              <w:rPr>
                <w:rFonts w:ascii="Aptos" w:eastAsia="Aptos" w:hAnsi="Aptos" w:cs="Aptos"/>
                <w:sz w:val="20"/>
                <w:szCs w:val="20"/>
              </w:rPr>
              <w:t>Prescription / treatment-decision performance under AI recommendations</w:t>
            </w:r>
          </w:p>
        </w:tc>
        <w:tc>
          <w:tcPr>
            <w:tcW w:w="2100" w:type="dxa"/>
            <w:tcMar>
              <w:left w:w="108" w:type="dxa"/>
              <w:right w:w="108" w:type="dxa"/>
            </w:tcMar>
          </w:tcPr>
          <w:p w14:paraId="45430051" w14:textId="1CFB3402"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DC80BDA" w14:textId="05394125"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6E97D192" w14:textId="58A1BD29"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7430FB6" w14:textId="77777777" w:rsidTr="502A4FC6">
        <w:trPr>
          <w:trHeight w:val="300"/>
        </w:trPr>
        <w:tc>
          <w:tcPr>
            <w:tcW w:w="1695" w:type="dxa"/>
            <w:tcMar>
              <w:left w:w="108" w:type="dxa"/>
              <w:right w:w="108" w:type="dxa"/>
            </w:tcMar>
          </w:tcPr>
          <w:p w14:paraId="23CBA874" w14:textId="713607AC" w:rsidR="502A4FC6" w:rsidRPr="001334F6" w:rsidRDefault="502A4FC6" w:rsidP="502A4FC6">
            <w:pPr>
              <w:spacing w:line="278" w:lineRule="auto"/>
              <w:rPr>
                <w:sz w:val="20"/>
                <w:szCs w:val="20"/>
              </w:rPr>
            </w:pPr>
            <w:r>
              <w:rPr>
                <w:rFonts w:ascii="Aptos" w:eastAsia="Aptos" w:hAnsi="Aptos" w:cs="Aptos"/>
                <w:sz w:val="20"/>
                <w:szCs w:val="20"/>
              </w:rPr>
              <w:t>Gaube et al. 2023</w:t>
            </w:r>
          </w:p>
        </w:tc>
        <w:tc>
          <w:tcPr>
            <w:tcW w:w="2445" w:type="dxa"/>
            <w:tcMar>
              <w:left w:w="108" w:type="dxa"/>
              <w:right w:w="108" w:type="dxa"/>
            </w:tcMar>
          </w:tcPr>
          <w:p w14:paraId="0CABF4C1" w14:textId="20807327" w:rsidR="502A4FC6" w:rsidRPr="001334F6" w:rsidRDefault="502A4FC6" w:rsidP="502A4FC6">
            <w:pPr>
              <w:spacing w:line="278" w:lineRule="auto"/>
              <w:rPr>
                <w:sz w:val="20"/>
                <w:szCs w:val="20"/>
              </w:rPr>
            </w:pPr>
            <w:r>
              <w:rPr>
                <w:rFonts w:ascii="Aptos" w:eastAsia="Aptos" w:hAnsi="Aptos" w:cs="Aptos"/>
                <w:sz w:val="20"/>
                <w:szCs w:val="20"/>
              </w:rPr>
              <w:t>Diagnostic accuracy in X-ray review</w:t>
            </w:r>
          </w:p>
        </w:tc>
        <w:tc>
          <w:tcPr>
            <w:tcW w:w="2100" w:type="dxa"/>
            <w:tcMar>
              <w:left w:w="108" w:type="dxa"/>
              <w:right w:w="108" w:type="dxa"/>
            </w:tcMar>
          </w:tcPr>
          <w:p w14:paraId="5FC6E504" w14:textId="20E70130"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D012D04" w14:textId="0E59D11A"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7D758333" w14:textId="039D4B23"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21BC0B5" w14:textId="77777777" w:rsidTr="502A4FC6">
        <w:trPr>
          <w:trHeight w:val="300"/>
        </w:trPr>
        <w:tc>
          <w:tcPr>
            <w:tcW w:w="1695" w:type="dxa"/>
            <w:tcMar>
              <w:left w:w="108" w:type="dxa"/>
              <w:right w:w="108" w:type="dxa"/>
            </w:tcMar>
          </w:tcPr>
          <w:p w14:paraId="18AF7FCF" w14:textId="031C1AB6" w:rsidR="502A4FC6" w:rsidRPr="001334F6" w:rsidRDefault="502A4FC6" w:rsidP="502A4FC6">
            <w:pPr>
              <w:spacing w:line="278" w:lineRule="auto"/>
              <w:rPr>
                <w:sz w:val="20"/>
                <w:szCs w:val="20"/>
              </w:rPr>
            </w:pPr>
            <w:r>
              <w:rPr>
                <w:rFonts w:ascii="Aptos" w:eastAsia="Aptos" w:hAnsi="Aptos" w:cs="Aptos"/>
                <w:sz w:val="20"/>
                <w:szCs w:val="20"/>
              </w:rPr>
              <w:t>Harari et al. 2024</w:t>
            </w:r>
          </w:p>
        </w:tc>
        <w:tc>
          <w:tcPr>
            <w:tcW w:w="2445" w:type="dxa"/>
            <w:tcMar>
              <w:left w:w="108" w:type="dxa"/>
              <w:right w:w="108" w:type="dxa"/>
            </w:tcMar>
          </w:tcPr>
          <w:p w14:paraId="6F8BD4BE" w14:textId="1255E903" w:rsidR="502A4FC6" w:rsidRPr="001334F6" w:rsidRDefault="502A4FC6" w:rsidP="502A4FC6">
            <w:pPr>
              <w:spacing w:line="278" w:lineRule="auto"/>
              <w:rPr>
                <w:sz w:val="20"/>
                <w:szCs w:val="20"/>
              </w:rPr>
            </w:pPr>
            <w:r>
              <w:rPr>
                <w:rFonts w:ascii="Aptos" w:eastAsia="Aptos" w:hAnsi="Aptos" w:cs="Aptos"/>
                <w:sz w:val="20"/>
                <w:szCs w:val="20"/>
              </w:rPr>
              <w:t>Decision accuracy (TEE)</w:t>
            </w:r>
          </w:p>
        </w:tc>
        <w:tc>
          <w:tcPr>
            <w:tcW w:w="2100" w:type="dxa"/>
            <w:tcMar>
              <w:left w:w="108" w:type="dxa"/>
              <w:right w:w="108" w:type="dxa"/>
            </w:tcMar>
          </w:tcPr>
          <w:p w14:paraId="77DFBDD6" w14:textId="36604E5C" w:rsidR="502A4FC6" w:rsidRPr="001334F6" w:rsidRDefault="502A4FC6" w:rsidP="502A4FC6">
            <w:pPr>
              <w:spacing w:line="278" w:lineRule="auto"/>
              <w:rPr>
                <w:sz w:val="20"/>
                <w:szCs w:val="20"/>
              </w:rPr>
            </w:pPr>
            <w:r>
              <w:rPr>
                <w:rFonts w:ascii="Aptos" w:eastAsia="Aptos" w:hAnsi="Aptos" w:cs="Aptos"/>
                <w:sz w:val="20"/>
                <w:szCs w:val="20"/>
              </w:rPr>
              <w:t>Human–AI task performance (HP1)</w:t>
            </w:r>
          </w:p>
        </w:tc>
        <w:tc>
          <w:tcPr>
            <w:tcW w:w="1395" w:type="dxa"/>
            <w:tcMar>
              <w:left w:w="108" w:type="dxa"/>
              <w:right w:w="108" w:type="dxa"/>
            </w:tcMar>
          </w:tcPr>
          <w:p w14:paraId="262A73D2" w14:textId="1CDC5072" w:rsidR="502A4FC6" w:rsidRPr="001334F6" w:rsidRDefault="502A4FC6" w:rsidP="502A4FC6">
            <w:pPr>
              <w:spacing w:line="278" w:lineRule="auto"/>
              <w:rPr>
                <w:sz w:val="20"/>
                <w:szCs w:val="20"/>
              </w:rPr>
            </w:pPr>
            <w:r>
              <w:rPr>
                <w:rFonts w:ascii="Aptos" w:eastAsia="Aptos" w:hAnsi="Aptos" w:cs="Aptos"/>
                <w:sz w:val="20"/>
                <w:szCs w:val="20"/>
              </w:rPr>
              <w:t>Ground truth</w:t>
            </w:r>
          </w:p>
        </w:tc>
        <w:tc>
          <w:tcPr>
            <w:tcW w:w="1440" w:type="dxa"/>
            <w:tcMar>
              <w:left w:w="108" w:type="dxa"/>
              <w:right w:w="108" w:type="dxa"/>
            </w:tcMar>
          </w:tcPr>
          <w:p w14:paraId="55CCEF3D" w14:textId="4B55083B"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6ED2AF64" w14:textId="77777777" w:rsidTr="502A4FC6">
        <w:trPr>
          <w:trHeight w:val="300"/>
        </w:trPr>
        <w:tc>
          <w:tcPr>
            <w:tcW w:w="1695" w:type="dxa"/>
            <w:tcMar>
              <w:left w:w="108" w:type="dxa"/>
              <w:right w:w="108" w:type="dxa"/>
            </w:tcMar>
          </w:tcPr>
          <w:p w14:paraId="4984E422" w14:textId="7B3E1F2A" w:rsidR="502A4FC6" w:rsidRPr="001334F6" w:rsidRDefault="502A4FC6" w:rsidP="502A4FC6">
            <w:pPr>
              <w:spacing w:line="278" w:lineRule="auto"/>
              <w:rPr>
                <w:sz w:val="20"/>
                <w:szCs w:val="20"/>
              </w:rPr>
            </w:pPr>
            <w:r>
              <w:rPr>
                <w:rFonts w:ascii="Aptos" w:eastAsia="Aptos" w:hAnsi="Aptos" w:cs="Aptos"/>
                <w:sz w:val="20"/>
                <w:szCs w:val="20"/>
              </w:rPr>
              <w:t>Glick et al. 2022</w:t>
            </w:r>
          </w:p>
        </w:tc>
        <w:tc>
          <w:tcPr>
            <w:tcW w:w="2445" w:type="dxa"/>
            <w:tcMar>
              <w:left w:w="108" w:type="dxa"/>
              <w:right w:w="108" w:type="dxa"/>
            </w:tcMar>
          </w:tcPr>
          <w:p w14:paraId="557942BD" w14:textId="61FB5230" w:rsidR="502A4FC6" w:rsidRPr="001334F6" w:rsidRDefault="502A4FC6" w:rsidP="502A4FC6">
            <w:pPr>
              <w:spacing w:line="278" w:lineRule="auto"/>
              <w:rPr>
                <w:sz w:val="20"/>
                <w:szCs w:val="20"/>
              </w:rPr>
            </w:pPr>
            <w:r>
              <w:rPr>
                <w:rFonts w:ascii="Aptos" w:eastAsia="Aptos" w:hAnsi="Aptos" w:cs="Aptos"/>
                <w:sz w:val="20"/>
                <w:szCs w:val="20"/>
              </w:rPr>
              <w:t>Task completion time</w:t>
            </w:r>
          </w:p>
        </w:tc>
        <w:tc>
          <w:tcPr>
            <w:tcW w:w="2100" w:type="dxa"/>
            <w:tcMar>
              <w:left w:w="108" w:type="dxa"/>
              <w:right w:w="108" w:type="dxa"/>
            </w:tcMar>
          </w:tcPr>
          <w:p w14:paraId="1BBCE759" w14:textId="4F0E3CEC"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730E370C" w14:textId="11F87192"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7E8412B7" w14:textId="451B133A"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5E408A5" w14:textId="77777777" w:rsidTr="502A4FC6">
        <w:trPr>
          <w:trHeight w:val="300"/>
        </w:trPr>
        <w:tc>
          <w:tcPr>
            <w:tcW w:w="1695" w:type="dxa"/>
            <w:tcMar>
              <w:left w:w="108" w:type="dxa"/>
              <w:right w:w="108" w:type="dxa"/>
            </w:tcMar>
          </w:tcPr>
          <w:p w14:paraId="2D6FE83E" w14:textId="41C34FCE" w:rsidR="502A4FC6" w:rsidRPr="001334F6" w:rsidRDefault="502A4FC6" w:rsidP="502A4FC6">
            <w:pPr>
              <w:spacing w:line="278" w:lineRule="auto"/>
              <w:rPr>
                <w:sz w:val="20"/>
                <w:szCs w:val="20"/>
              </w:rPr>
            </w:pPr>
            <w:r>
              <w:rPr>
                <w:rFonts w:ascii="Aptos" w:eastAsia="Aptos" w:hAnsi="Aptos" w:cs="Aptos"/>
                <w:sz w:val="20"/>
                <w:szCs w:val="20"/>
              </w:rPr>
              <w:t>Harari et al. 2024</w:t>
            </w:r>
          </w:p>
        </w:tc>
        <w:tc>
          <w:tcPr>
            <w:tcW w:w="2445" w:type="dxa"/>
            <w:tcMar>
              <w:left w:w="108" w:type="dxa"/>
              <w:right w:w="108" w:type="dxa"/>
            </w:tcMar>
          </w:tcPr>
          <w:p w14:paraId="55E777AD" w14:textId="427670B8"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2100" w:type="dxa"/>
            <w:tcMar>
              <w:left w:w="108" w:type="dxa"/>
              <w:right w:w="108" w:type="dxa"/>
            </w:tcMar>
          </w:tcPr>
          <w:p w14:paraId="5C26BA81" w14:textId="63F81415"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5587C3A3" w14:textId="6F7F32FF"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2BDAA006" w14:textId="09026A89"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194E0E87" w14:textId="77777777" w:rsidTr="502A4FC6">
        <w:trPr>
          <w:trHeight w:val="300"/>
        </w:trPr>
        <w:tc>
          <w:tcPr>
            <w:tcW w:w="1695" w:type="dxa"/>
            <w:tcMar>
              <w:left w:w="108" w:type="dxa"/>
              <w:right w:w="108" w:type="dxa"/>
            </w:tcMar>
          </w:tcPr>
          <w:p w14:paraId="6EE926CC" w14:textId="2D659306" w:rsidR="502A4FC6" w:rsidRPr="001334F6" w:rsidRDefault="502A4FC6" w:rsidP="502A4FC6">
            <w:pPr>
              <w:spacing w:line="278" w:lineRule="auto"/>
              <w:rPr>
                <w:sz w:val="20"/>
                <w:szCs w:val="20"/>
              </w:rPr>
            </w:pPr>
            <w:r>
              <w:rPr>
                <w:rFonts w:ascii="Aptos" w:eastAsia="Aptos" w:hAnsi="Aptos" w:cs="Aptos"/>
                <w:sz w:val="20"/>
                <w:szCs w:val="20"/>
              </w:rPr>
              <w:t>Laxar et al. 2023</w:t>
            </w:r>
          </w:p>
        </w:tc>
        <w:tc>
          <w:tcPr>
            <w:tcW w:w="2445" w:type="dxa"/>
            <w:tcMar>
              <w:left w:w="108" w:type="dxa"/>
              <w:right w:w="108" w:type="dxa"/>
            </w:tcMar>
          </w:tcPr>
          <w:p w14:paraId="47903D8E" w14:textId="366E97BC" w:rsidR="502A4FC6" w:rsidRPr="001334F6" w:rsidRDefault="502A4FC6" w:rsidP="502A4FC6">
            <w:pPr>
              <w:spacing w:line="278" w:lineRule="auto"/>
              <w:rPr>
                <w:sz w:val="20"/>
                <w:szCs w:val="20"/>
              </w:rPr>
            </w:pPr>
            <w:r>
              <w:rPr>
                <w:rFonts w:ascii="Aptos" w:eastAsia="Aptos" w:hAnsi="Aptos" w:cs="Aptos"/>
                <w:sz w:val="20"/>
                <w:szCs w:val="20"/>
              </w:rPr>
              <w:t>Decision time</w:t>
            </w:r>
          </w:p>
        </w:tc>
        <w:tc>
          <w:tcPr>
            <w:tcW w:w="2100" w:type="dxa"/>
            <w:tcMar>
              <w:left w:w="108" w:type="dxa"/>
              <w:right w:w="108" w:type="dxa"/>
            </w:tcMar>
          </w:tcPr>
          <w:p w14:paraId="67BB7F0D" w14:textId="40E79D11"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1CF1B168" w14:textId="73AC4B95"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3701A5CF" w14:textId="28C0129F"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0F4DEA08" w14:textId="77777777" w:rsidTr="502A4FC6">
        <w:trPr>
          <w:trHeight w:val="300"/>
        </w:trPr>
        <w:tc>
          <w:tcPr>
            <w:tcW w:w="1695" w:type="dxa"/>
            <w:tcMar>
              <w:left w:w="108" w:type="dxa"/>
              <w:right w:w="108" w:type="dxa"/>
            </w:tcMar>
          </w:tcPr>
          <w:p w14:paraId="7A40D262" w14:textId="27DBEF99" w:rsidR="502A4FC6" w:rsidRPr="001334F6" w:rsidRDefault="502A4FC6" w:rsidP="502A4FC6">
            <w:pPr>
              <w:spacing w:line="278" w:lineRule="auto"/>
              <w:rPr>
                <w:sz w:val="20"/>
                <w:szCs w:val="20"/>
              </w:rPr>
            </w:pPr>
            <w:r>
              <w:rPr>
                <w:rFonts w:ascii="Aptos" w:eastAsia="Aptos" w:hAnsi="Aptos" w:cs="Aptos"/>
                <w:sz w:val="20"/>
                <w:szCs w:val="20"/>
              </w:rPr>
              <w:lastRenderedPageBreak/>
              <w:t>Nagendran et al. 2023</w:t>
            </w:r>
          </w:p>
        </w:tc>
        <w:tc>
          <w:tcPr>
            <w:tcW w:w="2445" w:type="dxa"/>
            <w:tcMar>
              <w:left w:w="108" w:type="dxa"/>
              <w:right w:w="108" w:type="dxa"/>
            </w:tcMar>
          </w:tcPr>
          <w:p w14:paraId="54E97286" w14:textId="72F592CC" w:rsidR="502A4FC6" w:rsidRPr="001334F6" w:rsidRDefault="502A4FC6" w:rsidP="502A4FC6">
            <w:pPr>
              <w:spacing w:line="278" w:lineRule="auto"/>
              <w:rPr>
                <w:sz w:val="20"/>
                <w:szCs w:val="20"/>
              </w:rPr>
            </w:pPr>
            <w:r>
              <w:rPr>
                <w:rFonts w:ascii="Aptos" w:eastAsia="Aptos" w:hAnsi="Aptos" w:cs="Aptos"/>
                <w:sz w:val="20"/>
                <w:szCs w:val="20"/>
              </w:rPr>
              <w:t>Task completion time</w:t>
            </w:r>
          </w:p>
        </w:tc>
        <w:tc>
          <w:tcPr>
            <w:tcW w:w="2100" w:type="dxa"/>
            <w:tcMar>
              <w:left w:w="108" w:type="dxa"/>
              <w:right w:w="108" w:type="dxa"/>
            </w:tcMar>
          </w:tcPr>
          <w:p w14:paraId="7D7CBAEB" w14:textId="0FC7B371"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21C4DDED" w14:textId="304E7A01"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54799B50" w14:textId="50B639E7"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31AA5584" w14:textId="77777777" w:rsidTr="502A4FC6">
        <w:trPr>
          <w:trHeight w:val="300"/>
        </w:trPr>
        <w:tc>
          <w:tcPr>
            <w:tcW w:w="1695" w:type="dxa"/>
            <w:tcMar>
              <w:left w:w="108" w:type="dxa"/>
              <w:right w:w="108" w:type="dxa"/>
            </w:tcMar>
          </w:tcPr>
          <w:p w14:paraId="02926B7F" w14:textId="623B6130" w:rsidR="502A4FC6" w:rsidRPr="001334F6" w:rsidRDefault="502A4FC6" w:rsidP="502A4FC6">
            <w:pPr>
              <w:spacing w:line="278" w:lineRule="auto"/>
              <w:rPr>
                <w:sz w:val="20"/>
                <w:szCs w:val="20"/>
              </w:rPr>
            </w:pPr>
            <w:r>
              <w:rPr>
                <w:rFonts w:ascii="Aptos" w:eastAsia="Aptos" w:hAnsi="Aptos" w:cs="Aptos"/>
                <w:sz w:val="20"/>
                <w:szCs w:val="20"/>
              </w:rPr>
              <w:t>Nagendran et al. 2024</w:t>
            </w:r>
          </w:p>
        </w:tc>
        <w:tc>
          <w:tcPr>
            <w:tcW w:w="2445" w:type="dxa"/>
            <w:tcMar>
              <w:left w:w="108" w:type="dxa"/>
              <w:right w:w="108" w:type="dxa"/>
            </w:tcMar>
          </w:tcPr>
          <w:p w14:paraId="6E7AED33" w14:textId="26F80FAA" w:rsidR="502A4FC6" w:rsidRPr="001334F6" w:rsidRDefault="502A4FC6" w:rsidP="502A4FC6">
            <w:pPr>
              <w:spacing w:line="278" w:lineRule="auto"/>
              <w:rPr>
                <w:sz w:val="20"/>
                <w:szCs w:val="20"/>
              </w:rPr>
            </w:pPr>
            <w:r>
              <w:rPr>
                <w:rFonts w:ascii="Aptos" w:eastAsia="Aptos" w:hAnsi="Aptos" w:cs="Aptos"/>
                <w:sz w:val="20"/>
                <w:szCs w:val="20"/>
              </w:rPr>
              <w:t>Completion time</w:t>
            </w:r>
          </w:p>
        </w:tc>
        <w:tc>
          <w:tcPr>
            <w:tcW w:w="2100" w:type="dxa"/>
            <w:tcMar>
              <w:left w:w="108" w:type="dxa"/>
              <w:right w:w="108" w:type="dxa"/>
            </w:tcMar>
          </w:tcPr>
          <w:p w14:paraId="2C5CB4DC" w14:textId="02DE72CA"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5C325A1D" w14:textId="7F25650B"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3BA0F23A" w14:textId="5DDF1DF8"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2777429C" w14:textId="77777777" w:rsidTr="502A4FC6">
        <w:trPr>
          <w:trHeight w:val="300"/>
        </w:trPr>
        <w:tc>
          <w:tcPr>
            <w:tcW w:w="1695" w:type="dxa"/>
            <w:tcMar>
              <w:left w:w="108" w:type="dxa"/>
              <w:right w:w="108" w:type="dxa"/>
            </w:tcMar>
          </w:tcPr>
          <w:p w14:paraId="7A167130" w14:textId="7CD9FC1D" w:rsidR="502A4FC6" w:rsidRPr="001334F6" w:rsidRDefault="502A4FC6" w:rsidP="502A4FC6">
            <w:pPr>
              <w:spacing w:line="278" w:lineRule="auto"/>
              <w:rPr>
                <w:sz w:val="20"/>
                <w:szCs w:val="20"/>
              </w:rPr>
            </w:pPr>
            <w:r>
              <w:rPr>
                <w:rFonts w:ascii="Aptos" w:eastAsia="Aptos" w:hAnsi="Aptos" w:cs="Aptos"/>
                <w:sz w:val="20"/>
                <w:szCs w:val="20"/>
              </w:rPr>
              <w:t>Rezaeian et al. 2025</w:t>
            </w:r>
          </w:p>
        </w:tc>
        <w:tc>
          <w:tcPr>
            <w:tcW w:w="2445" w:type="dxa"/>
            <w:tcMar>
              <w:left w:w="108" w:type="dxa"/>
              <w:right w:w="108" w:type="dxa"/>
            </w:tcMar>
          </w:tcPr>
          <w:p w14:paraId="72D2E388" w14:textId="5D4C7216" w:rsidR="502A4FC6" w:rsidRPr="001334F6" w:rsidRDefault="502A4FC6" w:rsidP="502A4FC6">
            <w:pPr>
              <w:spacing w:line="278" w:lineRule="auto"/>
              <w:rPr>
                <w:sz w:val="20"/>
                <w:szCs w:val="20"/>
              </w:rPr>
            </w:pPr>
            <w:r>
              <w:rPr>
                <w:rFonts w:ascii="Aptos" w:eastAsia="Aptos" w:hAnsi="Aptos" w:cs="Aptos"/>
                <w:sz w:val="20"/>
                <w:szCs w:val="20"/>
              </w:rPr>
              <w:t>Decision duration</w:t>
            </w:r>
          </w:p>
        </w:tc>
        <w:tc>
          <w:tcPr>
            <w:tcW w:w="2100" w:type="dxa"/>
            <w:tcMar>
              <w:left w:w="108" w:type="dxa"/>
              <w:right w:w="108" w:type="dxa"/>
            </w:tcMar>
          </w:tcPr>
          <w:p w14:paraId="52BCB5F7" w14:textId="6C8F943D"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3083EE7B" w14:textId="64559916"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7DFFD4F1" w14:textId="6223D9CE"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2F4C6B58" w14:textId="77777777" w:rsidTr="502A4FC6">
        <w:trPr>
          <w:trHeight w:val="300"/>
        </w:trPr>
        <w:tc>
          <w:tcPr>
            <w:tcW w:w="1695" w:type="dxa"/>
            <w:tcMar>
              <w:left w:w="108" w:type="dxa"/>
              <w:right w:w="108" w:type="dxa"/>
            </w:tcMar>
          </w:tcPr>
          <w:p w14:paraId="3EB47718" w14:textId="4E1815C0" w:rsidR="502A4FC6" w:rsidRPr="001334F6" w:rsidRDefault="502A4FC6" w:rsidP="502A4FC6">
            <w:pPr>
              <w:spacing w:line="278" w:lineRule="auto"/>
              <w:rPr>
                <w:sz w:val="20"/>
                <w:szCs w:val="20"/>
              </w:rPr>
            </w:pPr>
            <w:r>
              <w:rPr>
                <w:rFonts w:ascii="Aptos" w:eastAsia="Aptos" w:hAnsi="Aptos" w:cs="Aptos"/>
                <w:sz w:val="20"/>
                <w:szCs w:val="20"/>
              </w:rPr>
              <w:t>Nicolson et al. 2025</w:t>
            </w:r>
          </w:p>
        </w:tc>
        <w:tc>
          <w:tcPr>
            <w:tcW w:w="2445" w:type="dxa"/>
            <w:tcMar>
              <w:left w:w="108" w:type="dxa"/>
              <w:right w:w="108" w:type="dxa"/>
            </w:tcMar>
          </w:tcPr>
          <w:p w14:paraId="0B54672F" w14:textId="34C5A662" w:rsidR="502A4FC6" w:rsidRPr="001334F6" w:rsidRDefault="502A4FC6" w:rsidP="502A4FC6">
            <w:pPr>
              <w:spacing w:line="278" w:lineRule="auto"/>
              <w:rPr>
                <w:sz w:val="20"/>
                <w:szCs w:val="20"/>
              </w:rPr>
            </w:pPr>
            <w:r>
              <w:rPr>
                <w:rFonts w:ascii="Aptos" w:eastAsia="Aptos" w:hAnsi="Aptos" w:cs="Aptos"/>
                <w:sz w:val="20"/>
                <w:szCs w:val="20"/>
              </w:rPr>
              <w:t>Time per image</w:t>
            </w:r>
          </w:p>
        </w:tc>
        <w:tc>
          <w:tcPr>
            <w:tcW w:w="2100" w:type="dxa"/>
            <w:tcMar>
              <w:left w:w="108" w:type="dxa"/>
              <w:right w:w="108" w:type="dxa"/>
            </w:tcMar>
          </w:tcPr>
          <w:p w14:paraId="7BEF85AA" w14:textId="1D2BE2B5"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78AC16F9" w14:textId="43FB935A"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20DA8E0A" w14:textId="7D844C12"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5697C7AD" w14:textId="77777777" w:rsidTr="502A4FC6">
        <w:trPr>
          <w:trHeight w:val="300"/>
        </w:trPr>
        <w:tc>
          <w:tcPr>
            <w:tcW w:w="1695" w:type="dxa"/>
            <w:tcMar>
              <w:left w:w="108" w:type="dxa"/>
              <w:right w:w="108" w:type="dxa"/>
            </w:tcMar>
          </w:tcPr>
          <w:p w14:paraId="707977F6" w14:textId="2D2D14E1" w:rsidR="502A4FC6" w:rsidRPr="001334F6" w:rsidRDefault="502A4FC6" w:rsidP="502A4FC6">
            <w:pPr>
              <w:spacing w:line="278" w:lineRule="auto"/>
              <w:rPr>
                <w:sz w:val="20"/>
                <w:szCs w:val="20"/>
              </w:rPr>
            </w:pPr>
            <w:r>
              <w:rPr>
                <w:rFonts w:ascii="Aptos" w:eastAsia="Aptos" w:hAnsi="Aptos" w:cs="Aptos"/>
                <w:sz w:val="20"/>
                <w:szCs w:val="20"/>
              </w:rPr>
              <w:t>Wysocki et al. 2023</w:t>
            </w:r>
          </w:p>
        </w:tc>
        <w:tc>
          <w:tcPr>
            <w:tcW w:w="2445" w:type="dxa"/>
            <w:tcMar>
              <w:left w:w="108" w:type="dxa"/>
              <w:right w:w="108" w:type="dxa"/>
            </w:tcMar>
          </w:tcPr>
          <w:p w14:paraId="49D1FA72" w14:textId="1A5581E1"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2100" w:type="dxa"/>
            <w:tcMar>
              <w:left w:w="108" w:type="dxa"/>
              <w:right w:w="108" w:type="dxa"/>
            </w:tcMar>
          </w:tcPr>
          <w:p w14:paraId="35ADD167" w14:textId="70E6FFFA" w:rsidR="502A4FC6" w:rsidRPr="001334F6" w:rsidRDefault="502A4FC6" w:rsidP="502A4FC6">
            <w:pPr>
              <w:spacing w:line="278" w:lineRule="auto"/>
              <w:rPr>
                <w:sz w:val="20"/>
                <w:szCs w:val="20"/>
              </w:rPr>
            </w:pPr>
            <w:r>
              <w:rPr>
                <w:rFonts w:ascii="Aptos" w:eastAsia="Aptos" w:hAnsi="Aptos" w:cs="Aptos"/>
                <w:sz w:val="20"/>
                <w:szCs w:val="20"/>
              </w:rPr>
              <w:t>Efficiency (HP2)</w:t>
            </w:r>
          </w:p>
        </w:tc>
        <w:tc>
          <w:tcPr>
            <w:tcW w:w="1395" w:type="dxa"/>
            <w:tcMar>
              <w:left w:w="108" w:type="dxa"/>
              <w:right w:w="108" w:type="dxa"/>
            </w:tcMar>
          </w:tcPr>
          <w:p w14:paraId="1FF91DD1" w14:textId="27CC5F1D" w:rsidR="502A4FC6" w:rsidRPr="001334F6" w:rsidRDefault="502A4FC6" w:rsidP="502A4FC6">
            <w:pPr>
              <w:spacing w:line="278" w:lineRule="auto"/>
              <w:rPr>
                <w:sz w:val="20"/>
                <w:szCs w:val="20"/>
              </w:rPr>
            </w:pPr>
            <w:r>
              <w:rPr>
                <w:rFonts w:ascii="Aptos" w:eastAsia="Aptos" w:hAnsi="Aptos" w:cs="Aptos"/>
                <w:sz w:val="20"/>
                <w:szCs w:val="20"/>
              </w:rPr>
              <w:t>Time-on-task</w:t>
            </w:r>
          </w:p>
        </w:tc>
        <w:tc>
          <w:tcPr>
            <w:tcW w:w="1440" w:type="dxa"/>
            <w:tcMar>
              <w:left w:w="108" w:type="dxa"/>
              <w:right w:w="108" w:type="dxa"/>
            </w:tcMar>
          </w:tcPr>
          <w:p w14:paraId="37190222" w14:textId="62A1D73E" w:rsidR="502A4FC6" w:rsidRPr="001334F6" w:rsidRDefault="502A4FC6" w:rsidP="502A4FC6">
            <w:pPr>
              <w:spacing w:line="278" w:lineRule="auto"/>
              <w:rPr>
                <w:sz w:val="20"/>
                <w:szCs w:val="20"/>
              </w:rPr>
            </w:pPr>
            <w:r>
              <w:rPr>
                <w:rFonts w:ascii="Aptos" w:eastAsia="Aptos" w:hAnsi="Aptos" w:cs="Aptos"/>
                <w:sz w:val="20"/>
                <w:szCs w:val="20"/>
              </w:rPr>
              <w:t>—</w:t>
            </w:r>
          </w:p>
        </w:tc>
      </w:tr>
      <w:tr w:rsidR="502A4FC6" w:rsidRPr="001334F6" w14:paraId="7C3D39FF" w14:textId="77777777" w:rsidTr="502A4FC6">
        <w:trPr>
          <w:trHeight w:val="300"/>
        </w:trPr>
        <w:tc>
          <w:tcPr>
            <w:tcW w:w="1695" w:type="dxa"/>
            <w:tcMar>
              <w:left w:w="108" w:type="dxa"/>
              <w:right w:w="108" w:type="dxa"/>
            </w:tcMar>
          </w:tcPr>
          <w:p w14:paraId="1EAE675C" w14:textId="1E88769C" w:rsidR="502A4FC6" w:rsidRPr="001334F6" w:rsidRDefault="502A4FC6" w:rsidP="502A4FC6">
            <w:pPr>
              <w:spacing w:line="278" w:lineRule="auto"/>
              <w:rPr>
                <w:sz w:val="20"/>
                <w:szCs w:val="20"/>
              </w:rPr>
            </w:pPr>
            <w:r>
              <w:rPr>
                <w:rFonts w:ascii="Aptos" w:eastAsia="Aptos" w:hAnsi="Aptos" w:cs="Aptos"/>
                <w:sz w:val="20"/>
                <w:szCs w:val="20"/>
              </w:rPr>
              <w:t>Jabbour et al. 2023</w:t>
            </w:r>
          </w:p>
        </w:tc>
        <w:tc>
          <w:tcPr>
            <w:tcW w:w="2445" w:type="dxa"/>
            <w:tcMar>
              <w:left w:w="108" w:type="dxa"/>
              <w:right w:w="108" w:type="dxa"/>
            </w:tcMar>
          </w:tcPr>
          <w:p w14:paraId="67823036" w14:textId="18DAEAF5" w:rsidR="502A4FC6" w:rsidRPr="001334F6" w:rsidRDefault="502A4FC6" w:rsidP="502A4FC6">
            <w:pPr>
              <w:spacing w:line="278" w:lineRule="auto"/>
              <w:rPr>
                <w:sz w:val="20"/>
                <w:szCs w:val="20"/>
              </w:rPr>
            </w:pPr>
            <w:r>
              <w:rPr>
                <w:rFonts w:ascii="Aptos" w:eastAsia="Aptos" w:hAnsi="Aptos" w:cs="Aptos"/>
                <w:sz w:val="20"/>
                <w:szCs w:val="20"/>
              </w:rPr>
              <w:t>Recognition of subgroup bias under biased vs. correct AI</w:t>
            </w:r>
          </w:p>
        </w:tc>
        <w:tc>
          <w:tcPr>
            <w:tcW w:w="2100" w:type="dxa"/>
            <w:tcMar>
              <w:left w:w="108" w:type="dxa"/>
              <w:right w:w="108" w:type="dxa"/>
            </w:tcMar>
          </w:tcPr>
          <w:p w14:paraId="7914729A" w14:textId="14C02AD4" w:rsidR="502A4FC6" w:rsidRPr="001334F6" w:rsidRDefault="502A4FC6" w:rsidP="502A4FC6">
            <w:pPr>
              <w:spacing w:line="278" w:lineRule="auto"/>
              <w:rPr>
                <w:sz w:val="20"/>
                <w:szCs w:val="20"/>
              </w:rPr>
            </w:pPr>
            <w:r>
              <w:rPr>
                <w:rFonts w:ascii="Aptos" w:eastAsia="Aptos" w:hAnsi="Aptos" w:cs="Aptos"/>
                <w:sz w:val="20"/>
                <w:szCs w:val="20"/>
              </w:rPr>
              <w:t>Bias detection (UM4)</w:t>
            </w:r>
          </w:p>
        </w:tc>
        <w:tc>
          <w:tcPr>
            <w:tcW w:w="1395" w:type="dxa"/>
            <w:tcMar>
              <w:left w:w="108" w:type="dxa"/>
              <w:right w:w="108" w:type="dxa"/>
            </w:tcMar>
          </w:tcPr>
          <w:p w14:paraId="3BD1AEC3" w14:textId="5341BC44" w:rsidR="502A4FC6" w:rsidRPr="001334F6" w:rsidRDefault="502A4FC6" w:rsidP="502A4FC6">
            <w:pPr>
              <w:spacing w:line="278" w:lineRule="auto"/>
              <w:rPr>
                <w:sz w:val="20"/>
                <w:szCs w:val="20"/>
              </w:rPr>
            </w:pPr>
            <w:r>
              <w:rPr>
                <w:rFonts w:ascii="Aptos" w:eastAsia="Aptos" w:hAnsi="Aptos" w:cs="Aptos"/>
                <w:sz w:val="20"/>
                <w:szCs w:val="20"/>
              </w:rPr>
              <w:t>Bias injection</w:t>
            </w:r>
          </w:p>
        </w:tc>
        <w:tc>
          <w:tcPr>
            <w:tcW w:w="1440" w:type="dxa"/>
            <w:tcMar>
              <w:left w:w="108" w:type="dxa"/>
              <w:right w:w="108" w:type="dxa"/>
            </w:tcMar>
          </w:tcPr>
          <w:p w14:paraId="77862E09" w14:textId="3253EA91" w:rsidR="502A4FC6" w:rsidRPr="001334F6" w:rsidRDefault="502A4FC6" w:rsidP="502A4FC6">
            <w:pPr>
              <w:spacing w:line="278" w:lineRule="auto"/>
              <w:rPr>
                <w:sz w:val="20"/>
                <w:szCs w:val="20"/>
              </w:rPr>
            </w:pPr>
            <w:r>
              <w:rPr>
                <w:rFonts w:ascii="Aptos" w:eastAsia="Aptos" w:hAnsi="Aptos" w:cs="Aptos"/>
                <w:sz w:val="20"/>
                <w:szCs w:val="20"/>
              </w:rPr>
              <w:t>Yes</w:t>
            </w:r>
          </w:p>
        </w:tc>
      </w:tr>
      <w:tr w:rsidR="502A4FC6" w:rsidRPr="001334F6" w14:paraId="388746E2" w14:textId="77777777" w:rsidTr="502A4FC6">
        <w:trPr>
          <w:trHeight w:val="300"/>
        </w:trPr>
        <w:tc>
          <w:tcPr>
            <w:tcW w:w="1695" w:type="dxa"/>
            <w:tcMar>
              <w:left w:w="108" w:type="dxa"/>
              <w:right w:w="108" w:type="dxa"/>
            </w:tcMar>
          </w:tcPr>
          <w:p w14:paraId="25181081" w14:textId="5DB49196" w:rsidR="502A4FC6" w:rsidRPr="001334F6" w:rsidRDefault="502A4FC6" w:rsidP="502A4FC6">
            <w:pPr>
              <w:spacing w:line="278" w:lineRule="auto"/>
              <w:rPr>
                <w:sz w:val="20"/>
                <w:szCs w:val="20"/>
              </w:rPr>
            </w:pPr>
            <w:r>
              <w:rPr>
                <w:rFonts w:ascii="Aptos" w:eastAsia="Aptos" w:hAnsi="Aptos" w:cs="Aptos"/>
                <w:sz w:val="20"/>
                <w:szCs w:val="20"/>
              </w:rPr>
              <w:t>Nagendran et al. 2024</w:t>
            </w:r>
          </w:p>
        </w:tc>
        <w:tc>
          <w:tcPr>
            <w:tcW w:w="2445" w:type="dxa"/>
            <w:tcMar>
              <w:left w:w="108" w:type="dxa"/>
              <w:right w:w="108" w:type="dxa"/>
            </w:tcMar>
          </w:tcPr>
          <w:p w14:paraId="621AAF26" w14:textId="4909C681" w:rsidR="502A4FC6" w:rsidRPr="001334F6" w:rsidRDefault="502A4FC6" w:rsidP="502A4FC6">
            <w:pPr>
              <w:spacing w:line="278" w:lineRule="auto"/>
              <w:rPr>
                <w:sz w:val="20"/>
                <w:szCs w:val="20"/>
              </w:rPr>
            </w:pPr>
            <w:r>
              <w:rPr>
                <w:rFonts w:ascii="Aptos" w:eastAsia="Aptos" w:hAnsi="Aptos" w:cs="Aptos"/>
                <w:sz w:val="20"/>
                <w:szCs w:val="20"/>
              </w:rPr>
              <w:t>Eye-tracking: fixations, visual attention, scanpaths</w:t>
            </w:r>
          </w:p>
        </w:tc>
        <w:tc>
          <w:tcPr>
            <w:tcW w:w="2100" w:type="dxa"/>
            <w:tcMar>
              <w:left w:w="108" w:type="dxa"/>
              <w:right w:w="108" w:type="dxa"/>
            </w:tcMar>
          </w:tcPr>
          <w:p w14:paraId="22A4D0AC" w14:textId="57B417DF" w:rsidR="502A4FC6" w:rsidRPr="001334F6" w:rsidRDefault="502A4FC6" w:rsidP="502A4FC6">
            <w:pPr>
              <w:spacing w:line="278" w:lineRule="auto"/>
              <w:rPr>
                <w:sz w:val="20"/>
                <w:szCs w:val="20"/>
              </w:rPr>
            </w:pPr>
            <w:r>
              <w:rPr>
                <w:rFonts w:ascii="Aptos" w:eastAsia="Aptos" w:hAnsi="Aptos" w:cs="Aptos"/>
                <w:sz w:val="20"/>
                <w:szCs w:val="20"/>
              </w:rPr>
              <w:t>Additional behavioral process measure (not a construct mapping)</w:t>
            </w:r>
          </w:p>
        </w:tc>
        <w:tc>
          <w:tcPr>
            <w:tcW w:w="1395" w:type="dxa"/>
            <w:tcMar>
              <w:left w:w="108" w:type="dxa"/>
              <w:right w:w="108" w:type="dxa"/>
            </w:tcMar>
          </w:tcPr>
          <w:p w14:paraId="3C1F3A4D" w14:textId="6614D1F9" w:rsidR="502A4FC6" w:rsidRPr="001334F6" w:rsidRDefault="502A4FC6" w:rsidP="502A4FC6">
            <w:pPr>
              <w:spacing w:line="278" w:lineRule="auto"/>
              <w:rPr>
                <w:sz w:val="20"/>
                <w:szCs w:val="20"/>
              </w:rPr>
            </w:pPr>
            <w:r>
              <w:rPr>
                <w:rFonts w:ascii="Aptos" w:eastAsia="Aptos" w:hAnsi="Aptos" w:cs="Aptos"/>
                <w:sz w:val="20"/>
                <w:szCs w:val="20"/>
              </w:rPr>
              <w:t>Eye-tracking</w:t>
            </w:r>
          </w:p>
        </w:tc>
        <w:tc>
          <w:tcPr>
            <w:tcW w:w="1440" w:type="dxa"/>
            <w:tcMar>
              <w:left w:w="108" w:type="dxa"/>
              <w:right w:w="108" w:type="dxa"/>
            </w:tcMar>
          </w:tcPr>
          <w:p w14:paraId="48E6687A" w14:textId="5AF7C784" w:rsidR="502A4FC6" w:rsidRPr="001334F6" w:rsidRDefault="502A4FC6" w:rsidP="502A4FC6">
            <w:pPr>
              <w:spacing w:line="278" w:lineRule="auto"/>
              <w:rPr>
                <w:sz w:val="20"/>
                <w:szCs w:val="20"/>
              </w:rPr>
            </w:pPr>
            <w:r>
              <w:rPr>
                <w:rFonts w:ascii="Aptos" w:eastAsia="Aptos" w:hAnsi="Aptos" w:cs="Aptos"/>
                <w:sz w:val="20"/>
                <w:szCs w:val="20"/>
              </w:rPr>
              <w:t>Yes (safe / unsafe)</w:t>
            </w:r>
          </w:p>
        </w:tc>
      </w:tr>
    </w:tbl>
    <w:p w14:paraId="62CAA147" w14:textId="627F25F3" w:rsidR="00A80CA5" w:rsidRPr="00AE309A" w:rsidRDefault="2654D3B7" w:rsidP="502A4FC6">
      <w:pPr>
        <w:spacing w:before="100" w:after="0" w:line="276" w:lineRule="auto"/>
      </w:pPr>
      <w:r>
        <w:rPr>
          <w:rFonts w:ascii="Aptos" w:eastAsia="Aptos" w:hAnsi="Aptos" w:cs="Aptos"/>
          <w:lang w:val="en-US"/>
        </w:rPr>
        <w:t>Note. The 60 objective behavioral mappings comprise general reliance (TR2; n = 12), appropriate reliance (TR3; n = 8), explanation comparison / preference (EU4; n = 14), human–AI task performance (HP1; n = 17), efficiency (HP2; n = 8), and bias detection (UM4; n = 1). Failure detection (UM3) was not directly measured: two studies provided proxy or non-validated evidence and one provided exploratory qualitative evidence. Objective model-behavior comprehension (UM1 at the behavioral level) was not assessed. Eye-tracking is reported separately and is not counted as a study-by-construct mapping. WoA = Weight of Advice.</w:t>
      </w:r>
    </w:p>
    <w:p w14:paraId="1536D068" w14:textId="206ABDCA" w:rsidR="00A80CA5" w:rsidRPr="00AE309A" w:rsidRDefault="2654D3B7" w:rsidP="502A4FC6">
      <w:pPr>
        <w:spacing w:before="240" w:line="276" w:lineRule="auto"/>
      </w:pPr>
      <w:r>
        <w:rPr>
          <w:rFonts w:ascii="Times New Roman" w:eastAsia="Times New Roman" w:hAnsi="Times New Roman" w:cs="Times New Roman"/>
          <w:sz w:val="20"/>
          <w:szCs w:val="20"/>
          <w:lang w:val="en-US"/>
        </w:rPr>
        <w:t xml:space="preserve"> </w:t>
      </w:r>
    </w:p>
    <w:p w14:paraId="45A3E526" w14:textId="734BCA7E" w:rsidR="00A80CA5" w:rsidRPr="00AE309A" w:rsidRDefault="2654D3B7" w:rsidP="502A4FC6">
      <w:pPr>
        <w:spacing w:after="180" w:line="276" w:lineRule="auto"/>
      </w:pPr>
      <w:r>
        <w:rPr>
          <w:rFonts w:ascii="Times New Roman" w:eastAsia="Times New Roman" w:hAnsi="Times New Roman" w:cs="Times New Roman"/>
          <w:b/>
          <w:bCs/>
          <w:sz w:val="28"/>
          <w:szCs w:val="28"/>
          <w:lang w:val="en-US"/>
        </w:rPr>
        <w:t>A2.4 XAI methods evaluated in the included studies</w:t>
      </w:r>
    </w:p>
    <w:p w14:paraId="49365752" w14:textId="14139F4E" w:rsidR="00A80CA5" w:rsidRPr="00AE309A" w:rsidRDefault="2654D3B7" w:rsidP="502A4FC6">
      <w:pPr>
        <w:spacing w:before="60" w:after="180" w:line="276" w:lineRule="auto"/>
        <w:ind w:right="-46"/>
      </w:pPr>
      <w:r>
        <w:rPr>
          <w:rFonts w:ascii="Times New Roman" w:eastAsia="Times New Roman" w:hAnsi="Times New Roman" w:cs="Times New Roman"/>
          <w:b/>
          <w:bCs/>
          <w:sz w:val="20"/>
          <w:szCs w:val="20"/>
          <w:lang w:val="en-US"/>
        </w:rPr>
        <w:t>Table A2.4 Named and recurring XAI methods grouped by family. Studies that combined multiple methods within a single interface appear under each applicable family. The total exceeds 49 because most studies evaluated more than one method or explanation class.</w:t>
      </w:r>
    </w:p>
    <w:tbl>
      <w:tblPr>
        <w:tblW w:w="0" w:type="auto"/>
        <w:tblLook w:val="04A0" w:firstRow="1" w:lastRow="0" w:firstColumn="1" w:lastColumn="0" w:noHBand="0" w:noVBand="1"/>
      </w:tblPr>
      <w:tblGrid>
        <w:gridCol w:w="2177"/>
        <w:gridCol w:w="695"/>
        <w:gridCol w:w="6134"/>
      </w:tblGrid>
      <w:tr w:rsidR="502A4FC6" w14:paraId="3A187990"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vAlign w:val="center"/>
          </w:tcPr>
          <w:p w14:paraId="25ED4AFF" w14:textId="028C5244" w:rsidR="502A4FC6" w:rsidRDefault="502A4FC6" w:rsidP="502A4FC6">
            <w:pPr>
              <w:spacing w:after="0" w:line="276" w:lineRule="auto"/>
            </w:pPr>
            <w:r>
              <w:rPr>
                <w:rFonts w:ascii="Times New Roman" w:eastAsia="Times New Roman" w:hAnsi="Times New Roman" w:cs="Times New Roman"/>
                <w:b/>
                <w:bCs/>
                <w:color w:val="FFFFFF" w:themeColor="background1"/>
                <w:sz w:val="20"/>
                <w:szCs w:val="20"/>
                <w:lang w:val="en-US"/>
              </w:rPr>
              <w:t>XAI method / family</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vAlign w:val="center"/>
          </w:tcPr>
          <w:p w14:paraId="7B42B7F5" w14:textId="6A206471" w:rsidR="502A4FC6" w:rsidRDefault="502A4FC6" w:rsidP="502A4FC6">
            <w:pPr>
              <w:spacing w:after="0" w:line="276" w:lineRule="auto"/>
            </w:pPr>
            <w:r>
              <w:rPr>
                <w:rFonts w:ascii="Times New Roman" w:eastAsia="Times New Roman" w:hAnsi="Times New Roman" w:cs="Times New Roman"/>
                <w:b/>
                <w:bCs/>
                <w:color w:val="FFFFFF" w:themeColor="background1"/>
                <w:sz w:val="20"/>
                <w:szCs w:val="20"/>
                <w:lang w:val="en-US"/>
              </w:rPr>
              <w:t>n</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vAlign w:val="center"/>
          </w:tcPr>
          <w:p w14:paraId="5D35972B" w14:textId="12832ECC" w:rsidR="502A4FC6" w:rsidRDefault="502A4FC6" w:rsidP="502A4FC6">
            <w:pPr>
              <w:spacing w:after="0" w:line="276" w:lineRule="auto"/>
            </w:pPr>
            <w:r>
              <w:rPr>
                <w:rFonts w:ascii="Times New Roman" w:eastAsia="Times New Roman" w:hAnsi="Times New Roman" w:cs="Times New Roman"/>
                <w:b/>
                <w:bCs/>
                <w:color w:val="FFFFFF" w:themeColor="background1"/>
                <w:sz w:val="20"/>
                <w:szCs w:val="20"/>
                <w:lang w:val="en-US"/>
              </w:rPr>
              <w:t>Studies</w:t>
            </w:r>
          </w:p>
        </w:tc>
      </w:tr>
      <w:tr w:rsidR="502A4FC6" w14:paraId="4DFDC6A0"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0684B831" w14:textId="3728BDB6" w:rsidR="502A4FC6" w:rsidRDefault="502A4FC6" w:rsidP="502A4FC6">
            <w:pPr>
              <w:spacing w:after="0" w:line="276" w:lineRule="auto"/>
            </w:pPr>
            <w:r>
              <w:rPr>
                <w:rFonts w:ascii="Times New Roman" w:eastAsia="Times New Roman" w:hAnsi="Times New Roman" w:cs="Times New Roman"/>
                <w:sz w:val="20"/>
                <w:szCs w:val="20"/>
                <w:lang w:val="en-US"/>
              </w:rPr>
              <w:t>SHAP (alone or combined)</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2CFD389C" w14:textId="710E5481" w:rsidR="502A4FC6" w:rsidRDefault="1F939278" w:rsidP="502A4FC6">
            <w:pPr>
              <w:spacing w:after="0" w:line="276" w:lineRule="auto"/>
            </w:pPr>
            <w:r>
              <w:rPr>
                <w:rFonts w:ascii="Times New Roman" w:eastAsia="Times New Roman" w:hAnsi="Times New Roman" w:cs="Times New Roman"/>
                <w:sz w:val="20"/>
                <w:szCs w:val="20"/>
                <w:lang w:val="en-US"/>
              </w:rPr>
              <w:t>14</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0ABD1007" w14:textId="068FBAF3" w:rsidR="502A4FC6" w:rsidRDefault="502A4FC6" w:rsidP="502A4FC6">
            <w:pPr>
              <w:spacing w:after="0" w:line="276" w:lineRule="auto"/>
            </w:pPr>
            <w:r>
              <w:rPr>
                <w:rFonts w:ascii="Times New Roman" w:eastAsia="Times New Roman" w:hAnsi="Times New Roman" w:cs="Times New Roman"/>
                <w:sz w:val="20"/>
                <w:szCs w:val="20"/>
                <w:lang w:val="en-US"/>
              </w:rPr>
              <w:t xml:space="preserve">Antoniadi et al.; Barda et al.; Bienefeld et al.; Das et al.; Kovalchuk et al. (with rule-based staging and domain reasoning); Wysocki et al.; Al-Bakri et al. (with Grad-CAM); Zou et al. (with Grad-CAM); Hur et al. (with clinical narrative); Gomez et al. 2025 (with scorecard); Bergomi et al. (with AraucanaXAI + BN); Sivaraman et al. (with alternative treatments); Mandava et al. (with PDP); Singh et al. (among multiple attribution methods)</w:t>
            </w:r>
          </w:p>
        </w:tc>
      </w:tr>
      <w:tr w:rsidR="502A4FC6" w14:paraId="6C701A1A"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21514124" w14:textId="3AA2AFDE"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Grad-CAM / saliency / segmentation</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027754B8" w14:textId="7B65AB4D"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7</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2071D7EB" w14:textId="73BD5937"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Chanda et al.; Famiglini et al.; Jabbour et al.; Glick et al. (segmentation); Al-Bakri et al.; Zou et al.; Ihongbe et al.</w:t>
            </w:r>
          </w:p>
        </w:tc>
      </w:tr>
      <w:tr w:rsidR="502A4FC6" w14:paraId="6E22E844"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63812E90" w14:textId="63C9DB49" w:rsidR="502A4FC6" w:rsidRDefault="502A4FC6" w:rsidP="502A4FC6">
            <w:pPr>
              <w:spacing w:after="0" w:line="276" w:lineRule="auto"/>
            </w:pPr>
            <w:r>
              <w:rPr>
                <w:rFonts w:ascii="Times New Roman" w:eastAsia="Times New Roman" w:hAnsi="Times New Roman" w:cs="Times New Roman"/>
                <w:sz w:val="20"/>
                <w:szCs w:val="20"/>
                <w:lang w:val="en-US"/>
              </w:rPr>
              <w:lastRenderedPageBreak/>
              <w:t>LIME</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23075AD5" w14:textId="58FB31A8" w:rsidR="502A4FC6" w:rsidRDefault="502A4FC6" w:rsidP="502A4FC6">
            <w:pPr>
              <w:spacing w:after="0" w:line="276" w:lineRule="auto"/>
            </w:pPr>
            <w:r>
              <w:rPr>
                <w:rFonts w:ascii="Times New Roman" w:eastAsia="Times New Roman" w:hAnsi="Times New Roman" w:cs="Times New Roman"/>
                <w:sz w:val="20"/>
                <w:szCs w:val="20"/>
                <w:lang w:val="en-US"/>
              </w:rPr>
              <w:t>3</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3D414D4C" w14:textId="12B3CFC5" w:rsidR="502A4FC6" w:rsidRDefault="502A4FC6" w:rsidP="502A4FC6">
            <w:pPr>
              <w:spacing w:after="0" w:line="276" w:lineRule="auto"/>
            </w:pPr>
            <w:r>
              <w:rPr>
                <w:rFonts w:ascii="Times New Roman" w:eastAsia="Times New Roman" w:hAnsi="Times New Roman" w:cs="Times New Roman"/>
                <w:sz w:val="20"/>
                <w:szCs w:val="20"/>
                <w:lang w:val="en-US"/>
              </w:rPr>
              <w:t>Kumarakulasinghe et al.; De Oliveira et al.; Ihongbe et al.</w:t>
            </w:r>
          </w:p>
        </w:tc>
      </w:tr>
      <w:tr w:rsidR="502A4FC6" w14:paraId="10F2213D"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30F20AB3" w14:textId="74180A80"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Rule-based</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4135016F" w14:textId="4F39B156"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6</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7EFB4F9F" w14:textId="6699B39B"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Gutiérrez et al.; Kyrimi et al.; Martínez-Villaseñor et al.; Chen et al.; Bergomi et al.; Panigutti et al. 2023</w:t>
            </w:r>
          </w:p>
        </w:tc>
      </w:tr>
      <w:tr w:rsidR="502A4FC6" w14:paraId="008AA115"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4DC8B8C4" w14:textId="6B87E522" w:rsidR="502A4FC6" w:rsidRDefault="502A4FC6" w:rsidP="502A4FC6">
            <w:pPr>
              <w:spacing w:after="0" w:line="276" w:lineRule="auto"/>
            </w:pPr>
            <w:r>
              <w:rPr>
                <w:rFonts w:ascii="Times New Roman" w:eastAsia="Times New Roman" w:hAnsi="Times New Roman" w:cs="Times New Roman"/>
                <w:sz w:val="20"/>
                <w:szCs w:val="20"/>
                <w:lang w:val="en-US"/>
              </w:rPr>
              <w:t>Counterfactual</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00E14DB6" w14:textId="0D889C00" w:rsidR="502A4FC6" w:rsidRDefault="502A4FC6" w:rsidP="502A4FC6">
            <w:pPr>
              <w:spacing w:line="278" w:lineRule="auto"/>
            </w:pPr>
            <w:r>
              <w:rPr>
                <w:rFonts w:ascii="Times New Roman" w:eastAsia="Times New Roman" w:hAnsi="Times New Roman" w:cs="Times New Roman"/>
                <w:sz w:val="20"/>
                <w:szCs w:val="20"/>
              </w:rPr>
              <w:t>4</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7A981E5F" w14:textId="2E25F30D" w:rsidR="502A4FC6" w:rsidRDefault="502A4FC6" w:rsidP="502A4FC6">
            <w:pPr>
              <w:spacing w:line="278" w:lineRule="auto"/>
            </w:pPr>
            <w:r>
              <w:rPr>
                <w:rFonts w:ascii="Times New Roman" w:eastAsia="Times New Roman" w:hAnsi="Times New Roman" w:cs="Times New Roman"/>
                <w:sz w:val="20"/>
                <w:szCs w:val="20"/>
              </w:rPr>
              <w:t>Guo et al.; Gombolay et al.; Naiseh et al. 2021; Naiseh et al. 2023</w:t>
            </w:r>
          </w:p>
        </w:tc>
      </w:tr>
      <w:tr w:rsidR="502A4FC6" w14:paraId="520E11DF"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11405DFC" w14:textId="3D590284"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Example- / prototype-based (primary)</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2DB182D2" w14:textId="1916379C" w:rsidR="502A4FC6" w:rsidRDefault="502A4FC6" w:rsidP="502A4FC6">
            <w:pPr>
              <w:spacing w:line="278" w:lineRule="auto"/>
            </w:pPr>
            <w:r>
              <w:rPr>
                <w:rFonts w:ascii="Times New Roman" w:eastAsia="Times New Roman" w:hAnsi="Times New Roman" w:cs="Times New Roman"/>
                <w:color w:val="000000" w:themeColor="text1"/>
                <w:sz w:val="20"/>
                <w:szCs w:val="20"/>
              </w:rPr>
              <w:t>5</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580E83A2" w14:textId="355B3190" w:rsidR="502A4FC6" w:rsidRDefault="502A4FC6" w:rsidP="502A4FC6">
            <w:pPr>
              <w:spacing w:line="278" w:lineRule="auto"/>
            </w:pPr>
            <w:r>
              <w:rPr>
                <w:rFonts w:ascii="Times New Roman" w:eastAsia="Times New Roman" w:hAnsi="Times New Roman" w:cs="Times New Roman"/>
                <w:color w:val="000000" w:themeColor="text1"/>
                <w:sz w:val="20"/>
                <w:szCs w:val="20"/>
              </w:rPr>
              <w:t>Anjara et al.; Sabol et al.; Nicolson et al. (ProtoPNet); Gomez et al. 2024; Du et al. 2022</w:t>
            </w:r>
          </w:p>
        </w:tc>
      </w:tr>
      <w:tr w:rsidR="502A4FC6" w14:paraId="645B2E0E"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47B68F38" w14:textId="494994E3" w:rsidR="502A4FC6" w:rsidRDefault="502A4FC6" w:rsidP="502A4FC6">
            <w:pPr>
              <w:spacing w:after="0" w:line="276" w:lineRule="auto"/>
            </w:pPr>
            <w:r>
              <w:rPr>
                <w:rFonts w:ascii="Times New Roman" w:eastAsia="Times New Roman" w:hAnsi="Times New Roman" w:cs="Times New Roman"/>
                <w:sz w:val="20"/>
                <w:szCs w:val="20"/>
                <w:lang w:val="en-US"/>
              </w:rPr>
              <w:t>Dr. XAI framework</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274DEF92" w14:textId="134DF49A" w:rsidR="502A4FC6" w:rsidRDefault="502A4FC6" w:rsidP="502A4FC6">
            <w:pPr>
              <w:spacing w:after="0" w:line="276" w:lineRule="auto"/>
            </w:pPr>
            <w:r>
              <w:rPr>
                <w:rFonts w:ascii="Times New Roman" w:eastAsia="Times New Roman" w:hAnsi="Times New Roman" w:cs="Times New Roman"/>
                <w:sz w:val="20"/>
                <w:szCs w:val="20"/>
                <w:lang w:val="en-US"/>
              </w:rPr>
              <w:t>2</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1F0A7943" w14:textId="2872540B" w:rsidR="502A4FC6" w:rsidRDefault="502A4FC6" w:rsidP="502A4FC6">
            <w:pPr>
              <w:spacing w:after="0" w:line="276" w:lineRule="auto"/>
            </w:pPr>
            <w:r>
              <w:rPr>
                <w:rFonts w:ascii="Times New Roman" w:eastAsia="Times New Roman" w:hAnsi="Times New Roman" w:cs="Times New Roman"/>
                <w:sz w:val="20"/>
                <w:szCs w:val="20"/>
                <w:lang w:val="en-US"/>
              </w:rPr>
              <w:t>Panigutti et al. 2022; Panigutti et al. 2023</w:t>
            </w:r>
          </w:p>
        </w:tc>
      </w:tr>
      <w:tr w:rsidR="502A4FC6" w14:paraId="61CE5694"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21AB321B" w14:textId="331175D6"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Bayesian network / incremental</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2CAEC988" w14:textId="4DC50225"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2</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37982276" w14:textId="1E3AF3E2"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Kyrimi et al.; Bergomi et al.</w:t>
            </w:r>
          </w:p>
        </w:tc>
      </w:tr>
      <w:tr w:rsidR="502A4FC6" w14:paraId="76B18793"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725473FC" w14:textId="1E27A38A" w:rsidR="502A4FC6" w:rsidRDefault="502A4FC6" w:rsidP="502A4FC6">
            <w:pPr>
              <w:spacing w:after="0" w:line="276" w:lineRule="auto"/>
            </w:pPr>
            <w:r>
              <w:rPr>
                <w:rFonts w:ascii="Times New Roman" w:eastAsia="Times New Roman" w:hAnsi="Times New Roman" w:cs="Times New Roman"/>
                <w:sz w:val="20"/>
                <w:szCs w:val="20"/>
                <w:lang w:val="en-US"/>
              </w:rPr>
              <w:t>Multi-method comparison (mixed types)</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2F73B82F" w14:textId="7BAA418A" w:rsidR="502A4FC6" w:rsidRDefault="502A4FC6" w:rsidP="502A4FC6">
            <w:pPr>
              <w:spacing w:line="278" w:lineRule="auto"/>
            </w:pPr>
            <w:r>
              <w:rPr>
                <w:rFonts w:ascii="Times New Roman" w:eastAsia="Times New Roman" w:hAnsi="Times New Roman" w:cs="Times New Roman"/>
                <w:sz w:val="20"/>
                <w:szCs w:val="20"/>
              </w:rPr>
              <w:t>7</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71047070" w14:textId="736BB585" w:rsidR="502A4FC6" w:rsidRDefault="502A4FC6" w:rsidP="502A4FC6">
            <w:pPr>
              <w:spacing w:line="278" w:lineRule="auto"/>
            </w:pPr>
            <w:r>
              <w:rPr>
                <w:rFonts w:ascii="Times New Roman" w:eastAsia="Times New Roman" w:hAnsi="Times New Roman" w:cs="Times New Roman"/>
                <w:sz w:val="20"/>
                <w:szCs w:val="20"/>
              </w:rPr>
              <w:t>Singh et al.; Gombolay et al.; Naiseh et al. 2021; Nagendran et al. 2024; Bergomi et al.; Du et al. 2022; Naiseh et al. 2023</w:t>
            </w:r>
          </w:p>
        </w:tc>
      </w:tr>
      <w:tr w:rsidR="502A4FC6" w14:paraId="678DE0EE"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19FA4611" w14:textId="1BC5A482" w:rsidR="502A4FC6" w:rsidRDefault="502A4FC6" w:rsidP="502A4FC6">
            <w:pPr>
              <w:spacing w:after="0" w:line="276" w:lineRule="auto"/>
            </w:pPr>
            <w:r>
              <w:rPr>
                <w:rFonts w:ascii="Times New Roman" w:eastAsia="Times New Roman" w:hAnsi="Times New Roman" w:cs="Times New Roman"/>
                <w:color w:val="000000" w:themeColor="text1"/>
                <w:sz w:val="20"/>
                <w:szCs w:val="20"/>
                <w:lang w:val="en-US"/>
              </w:rPr>
              <w:t>Generic / interface-level (no specific algorithm)</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6C4B5DB5" w14:textId="760BFDC3" w:rsidR="502A4FC6" w:rsidRDefault="502A4FC6" w:rsidP="502A4FC6">
            <w:pPr>
              <w:spacing w:line="278" w:lineRule="auto"/>
            </w:pPr>
            <w:r>
              <w:rPr>
                <w:rFonts w:ascii="Times New Roman" w:eastAsia="Times New Roman" w:hAnsi="Times New Roman" w:cs="Times New Roman"/>
                <w:color w:val="000000" w:themeColor="text1"/>
                <w:sz w:val="20"/>
                <w:szCs w:val="20"/>
              </w:rPr>
              <w:t>6</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2F2F2" w:themeFill="background1" w:themeFillShade="F2"/>
            <w:tcMar>
              <w:top w:w="60" w:type="dxa"/>
              <w:left w:w="120" w:type="dxa"/>
              <w:bottom w:w="60" w:type="dxa"/>
              <w:right w:w="120" w:type="dxa"/>
            </w:tcMar>
            <w:vAlign w:val="center"/>
          </w:tcPr>
          <w:p w14:paraId="52ABFE3D" w14:textId="7DCD29A1" w:rsidR="502A4FC6" w:rsidRDefault="502A4FC6" w:rsidP="502A4FC6">
            <w:pPr>
              <w:spacing w:line="278" w:lineRule="auto"/>
            </w:pPr>
            <w:r>
              <w:rPr>
                <w:rFonts w:ascii="Times New Roman" w:eastAsia="Times New Roman" w:hAnsi="Times New Roman" w:cs="Times New Roman"/>
                <w:color w:val="000000" w:themeColor="text1"/>
                <w:sz w:val="20"/>
                <w:szCs w:val="20"/>
              </w:rPr>
              <w:t>Bussone et al.; Laxar et al.; Ackerhans et al.; Naiseh et al. 2021; Cabitza et al. 2023; Naiseh et al. 2023</w:t>
            </w:r>
          </w:p>
        </w:tc>
      </w:tr>
      <w:tr w:rsidR="502A4FC6" w14:paraId="229CF789" w14:textId="77777777" w:rsidTr="502A4FC6">
        <w:trPr>
          <w:trHeight w:val="300"/>
        </w:trPr>
        <w:tc>
          <w:tcPr>
            <w:tcW w:w="22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09B51BB2" w14:textId="42A7E63F" w:rsidR="502A4FC6" w:rsidRDefault="502A4FC6" w:rsidP="502A4FC6">
            <w:pPr>
              <w:spacing w:after="0" w:line="276" w:lineRule="auto"/>
            </w:pPr>
            <w:r>
              <w:rPr>
                <w:rFonts w:ascii="Times New Roman" w:eastAsia="Times New Roman" w:hAnsi="Times New Roman" w:cs="Times New Roman"/>
                <w:sz w:val="20"/>
                <w:szCs w:val="20"/>
                <w:lang w:val="en-US"/>
              </w:rPr>
              <w:t>Other (Cumulative Fuzzy Class Membership; AR overlays; visual annotations)</w:t>
            </w:r>
          </w:p>
        </w:tc>
        <w:tc>
          <w:tcPr>
            <w:tcW w:w="70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60C04701" w14:textId="4EB61029" w:rsidR="502A4FC6" w:rsidRDefault="502A4FC6" w:rsidP="502A4FC6">
            <w:pPr>
              <w:spacing w:after="0" w:line="276" w:lineRule="auto"/>
            </w:pPr>
            <w:r>
              <w:rPr>
                <w:rFonts w:ascii="Times New Roman" w:eastAsia="Times New Roman" w:hAnsi="Times New Roman" w:cs="Times New Roman"/>
                <w:sz w:val="20"/>
                <w:szCs w:val="20"/>
                <w:lang w:val="en-US"/>
              </w:rPr>
              <w:t>4</w:t>
            </w:r>
          </w:p>
        </w:tc>
        <w:tc>
          <w:tcPr>
            <w:tcW w:w="63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60" w:type="dxa"/>
              <w:left w:w="120" w:type="dxa"/>
              <w:bottom w:w="60" w:type="dxa"/>
              <w:right w:w="120" w:type="dxa"/>
            </w:tcMar>
            <w:vAlign w:val="center"/>
          </w:tcPr>
          <w:p w14:paraId="1D256391" w14:textId="704D476D" w:rsidR="502A4FC6" w:rsidRDefault="502A4FC6" w:rsidP="502A4FC6">
            <w:pPr>
              <w:spacing w:after="0" w:line="276" w:lineRule="auto"/>
            </w:pPr>
            <w:r>
              <w:rPr>
                <w:rFonts w:ascii="Times New Roman" w:eastAsia="Times New Roman" w:hAnsi="Times New Roman" w:cs="Times New Roman"/>
                <w:sz w:val="20"/>
                <w:szCs w:val="20"/>
                <w:lang w:val="en-US"/>
              </w:rPr>
              <w:t>Sabol et al. (CFCMC); Harari et al. (AR + segmentation); Morey &amp; Rayo (visual annotations); Gaube et al. (heatmap annotations)</w:t>
            </w:r>
          </w:p>
        </w:tc>
      </w:tr>
    </w:tbl>
    <w:p w14:paraId="63341E3B" w14:textId="668833B4" w:rsidR="00A80CA5" w:rsidRPr="00D71E88" w:rsidRDefault="2654D3B7" w:rsidP="502A4FC6">
      <w:pPr>
        <w:spacing w:before="100" w:after="0" w:line="276" w:lineRule="auto"/>
      </w:pPr>
      <w:r>
        <w:rPr>
          <w:rFonts w:ascii="Times New Roman" w:eastAsia="Times New Roman" w:hAnsi="Times New Roman" w:cs="Times New Roman"/>
          <w:i/>
          <w:iCs/>
          <w:sz w:val="18"/>
          <w:szCs w:val="18"/>
          <w:lang w:val="en-US"/>
        </w:rPr>
        <w:t>Note. “Generic / interface-level” denotes studies in which the explanation was manipulated at the interface level without specifying a named XAI algorithm. “Multi-method comparison” denotes studies whose primary research question was a head-to-head comparison of explanation types rather than the evaluation of a single technique. Thirty-seven studies evaluated local explanations only, while 12 combined local and global components; none evaluated global explanations alone.</w:t>
      </w:r>
    </w:p>
    <w:p w14:paraId="4BC9A5EE" w14:textId="7D0AC682" w:rsidR="00A80CA5" w:rsidRPr="00AE309A" w:rsidRDefault="2654D3B7" w:rsidP="502A4FC6">
      <w:pPr>
        <w:spacing w:before="240" w:line="276" w:lineRule="auto"/>
      </w:pPr>
      <w:r>
        <w:rPr>
          <w:rFonts w:ascii="Times New Roman" w:eastAsia="Times New Roman" w:hAnsi="Times New Roman" w:cs="Times New Roman"/>
          <w:sz w:val="20"/>
          <w:szCs w:val="20"/>
          <w:lang w:val="en-US"/>
        </w:rPr>
        <w:t xml:space="preserve"> </w:t>
      </w:r>
    </w:p>
    <w:p w14:paraId="262ED4AE" w14:textId="04E4A522" w:rsidR="00A80CA5" w:rsidRPr="00AE309A" w:rsidRDefault="2654D3B7" w:rsidP="502A4FC6">
      <w:pPr>
        <w:spacing w:after="180" w:line="276" w:lineRule="auto"/>
      </w:pPr>
      <w:r>
        <w:rPr>
          <w:rFonts w:ascii="Times New Roman" w:eastAsia="Times New Roman" w:hAnsi="Times New Roman" w:cs="Times New Roman"/>
          <w:b/>
          <w:bCs/>
          <w:sz w:val="28"/>
          <w:szCs w:val="28"/>
          <w:lang w:val="en-US"/>
        </w:rPr>
        <w:t>A2.5 Studies with experimental manipulation of AI correctness</w:t>
      </w:r>
    </w:p>
    <w:p w14:paraId="2EFC3134" w14:textId="41B95597" w:rsidR="00A80CA5" w:rsidRPr="00AE309A" w:rsidRDefault="2654D3B7" w:rsidP="502A4FC6">
      <w:pPr>
        <w:spacing w:before="60" w:after="180" w:line="276" w:lineRule="auto"/>
      </w:pPr>
      <w:r>
        <w:rPr>
          <w:rFonts w:ascii="Aptos" w:eastAsia="Aptos" w:hAnsi="Aptos" w:cs="Aptos"/>
          <w:lang w:val="en-US"/>
        </w:rPr>
        <w:t>Table A2.5 The eight studies that explicitly manipulated AI output between correct and incorrect / safe and unsafe / unbiased and biased conditions, enabling experimental assessment of appropriate versus inappropriate reliance under failure conditions.</w:t>
      </w:r>
    </w:p>
    <w:tbl>
      <w:tblPr>
        <w:tblW w:w="0" w:type="auto"/>
        <w:tblLook w:val="04A0" w:firstRow="1" w:lastRow="0" w:firstColumn="1" w:lastColumn="0" w:noHBand="0" w:noVBand="1"/>
      </w:tblPr>
      <w:tblGrid>
        <w:gridCol w:w="1652"/>
        <w:gridCol w:w="1733"/>
        <w:gridCol w:w="2266"/>
        <w:gridCol w:w="2048"/>
        <w:gridCol w:w="1307"/>
      </w:tblGrid>
      <w:tr w:rsidR="502A4FC6" w:rsidRPr="00D71E88" w14:paraId="66466A7E" w14:textId="77777777" w:rsidTr="502A4FC6">
        <w:trPr>
          <w:trHeight w:val="300"/>
        </w:trPr>
        <w:tc>
          <w:tcPr>
            <w:tcW w:w="169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22777C48" w14:textId="6C3C32BD" w:rsidR="502A4FC6" w:rsidRPr="00D71E88"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Study</w:t>
            </w:r>
          </w:p>
        </w:tc>
        <w:tc>
          <w:tcPr>
            <w:tcW w:w="174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056B5089" w14:textId="51491EB2" w:rsidR="502A4FC6" w:rsidRPr="00D71E88"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Manipulation type</w:t>
            </w:r>
          </w:p>
        </w:tc>
        <w:tc>
          <w:tcPr>
            <w:tcW w:w="231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43452626" w14:textId="43985F31" w:rsidR="502A4FC6" w:rsidRPr="00D71E88"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Implementation</w:t>
            </w:r>
          </w:p>
        </w:tc>
        <w:tc>
          <w:tcPr>
            <w:tcW w:w="210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090829B8" w14:textId="455E4DE3" w:rsidR="502A4FC6" w:rsidRPr="00D71E88"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Outcome captured</w:t>
            </w:r>
          </w:p>
        </w:tc>
        <w:tc>
          <w:tcPr>
            <w:tcW w:w="123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404040" w:themeFill="text1" w:themeFillTint="BF"/>
            <w:tcMar>
              <w:top w:w="80" w:type="dxa"/>
              <w:left w:w="120" w:type="dxa"/>
              <w:bottom w:w="80" w:type="dxa"/>
              <w:right w:w="120" w:type="dxa"/>
            </w:tcMar>
          </w:tcPr>
          <w:p w14:paraId="678CC952" w14:textId="21026E6B" w:rsidR="502A4FC6" w:rsidRPr="00D71E88" w:rsidRDefault="502A4FC6" w:rsidP="502A4FC6">
            <w:pPr>
              <w:spacing w:after="0" w:line="276" w:lineRule="auto"/>
              <w:rPr>
                <w:sz w:val="20"/>
                <w:szCs w:val="20"/>
              </w:rPr>
            </w:pPr>
            <w:r>
              <w:rPr>
                <w:rFonts w:ascii="Times New Roman" w:eastAsia="Times New Roman" w:hAnsi="Times New Roman" w:cs="Times New Roman"/>
                <w:b/>
                <w:bCs/>
                <w:color w:val="000000" w:themeColor="text1"/>
                <w:sz w:val="20"/>
                <w:szCs w:val="20"/>
              </w:rPr>
              <w:t>Construct(s)</w:t>
            </w:r>
          </w:p>
        </w:tc>
      </w:tr>
      <w:tr w:rsidR="502A4FC6" w:rsidRPr="00D71E88" w14:paraId="681FF694" w14:textId="77777777" w:rsidTr="502A4FC6">
        <w:trPr>
          <w:trHeight w:val="300"/>
        </w:trPr>
        <w:tc>
          <w:tcPr>
            <w:tcW w:w="1695" w:type="dxa"/>
            <w:tcMar>
              <w:left w:w="108" w:type="dxa"/>
              <w:right w:w="108" w:type="dxa"/>
            </w:tcMar>
          </w:tcPr>
          <w:p w14:paraId="66F5B08A" w14:textId="07ED367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Bussone et al. 2015</w:t>
            </w:r>
          </w:p>
        </w:tc>
        <w:tc>
          <w:tcPr>
            <w:tcW w:w="1740" w:type="dxa"/>
            <w:tcMar>
              <w:left w:w="108" w:type="dxa"/>
              <w:right w:w="108" w:type="dxa"/>
            </w:tcMar>
          </w:tcPr>
          <w:p w14:paraId="03E5823B" w14:textId="68FC9FF8"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Correct vs. incorrect AI advice</w:t>
            </w:r>
          </w:p>
        </w:tc>
        <w:tc>
          <w:tcPr>
            <w:tcW w:w="2310" w:type="dxa"/>
            <w:tcMar>
              <w:left w:w="108" w:type="dxa"/>
              <w:right w:w="108" w:type="dxa"/>
            </w:tcMar>
          </w:tcPr>
          <w:p w14:paraId="46C1BD6A" w14:textId="0755AFF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Within-subject vignettes with AI advice varied between correct and incorrect</w:t>
            </w:r>
          </w:p>
        </w:tc>
        <w:tc>
          <w:tcPr>
            <w:tcW w:w="2100" w:type="dxa"/>
            <w:tcMar>
              <w:left w:w="108" w:type="dxa"/>
              <w:right w:w="108" w:type="dxa"/>
            </w:tcMar>
          </w:tcPr>
          <w:p w14:paraId="372D32AD" w14:textId="5EF55591"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Agreement rate × correctness; over-/underreliance pattern</w:t>
            </w:r>
          </w:p>
        </w:tc>
        <w:tc>
          <w:tcPr>
            <w:tcW w:w="1230" w:type="dxa"/>
            <w:tcMar>
              <w:left w:w="108" w:type="dxa"/>
              <w:right w:w="108" w:type="dxa"/>
            </w:tcMar>
          </w:tcPr>
          <w:p w14:paraId="4F9E0A24" w14:textId="32D7D815"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w:t>
            </w:r>
          </w:p>
        </w:tc>
      </w:tr>
      <w:tr w:rsidR="502A4FC6" w:rsidRPr="00D71E88" w14:paraId="41BC61AC" w14:textId="77777777" w:rsidTr="502A4FC6">
        <w:trPr>
          <w:trHeight w:val="300"/>
        </w:trPr>
        <w:tc>
          <w:tcPr>
            <w:tcW w:w="1695" w:type="dxa"/>
            <w:tcMar>
              <w:left w:w="108" w:type="dxa"/>
              <w:right w:w="108" w:type="dxa"/>
            </w:tcMar>
          </w:tcPr>
          <w:p w14:paraId="6C0764B3" w14:textId="08BAA0F5"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Das et al. 2023</w:t>
            </w:r>
          </w:p>
        </w:tc>
        <w:tc>
          <w:tcPr>
            <w:tcW w:w="1740" w:type="dxa"/>
            <w:tcMar>
              <w:left w:w="108" w:type="dxa"/>
              <w:right w:w="108" w:type="dxa"/>
            </w:tcMar>
          </w:tcPr>
          <w:p w14:paraId="2AB4CA0F" w14:textId="70302DC3"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Intentionally incorrect AI suggestions</w:t>
            </w:r>
          </w:p>
        </w:tc>
        <w:tc>
          <w:tcPr>
            <w:tcW w:w="2310" w:type="dxa"/>
            <w:tcMar>
              <w:left w:w="108" w:type="dxa"/>
              <w:right w:w="108" w:type="dxa"/>
            </w:tcMar>
          </w:tcPr>
          <w:p w14:paraId="313D37CA" w14:textId="7F5E251A"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Repeated-measures reader study with planted incorrect AI predictions</w:t>
            </w:r>
          </w:p>
        </w:tc>
        <w:tc>
          <w:tcPr>
            <w:tcW w:w="2100" w:type="dxa"/>
            <w:tcMar>
              <w:left w:w="108" w:type="dxa"/>
              <w:right w:w="108" w:type="dxa"/>
            </w:tcMar>
          </w:tcPr>
          <w:p w14:paraId="65F8BF3A" w14:textId="73F0D774" w:rsidR="502A4FC6" w:rsidRPr="00D71E88" w:rsidRDefault="502A4FC6" w:rsidP="502A4FC6">
            <w:pPr>
              <w:spacing w:line="278" w:lineRule="auto"/>
              <w:rPr>
                <w:sz w:val="20"/>
                <w:szCs w:val="20"/>
              </w:rPr>
            </w:pPr>
            <w:r>
              <w:rPr>
                <w:rFonts w:ascii="Aptos" w:eastAsia="Aptos" w:hAnsi="Aptos" w:cs="Aptos"/>
                <w:sz w:val="20"/>
                <w:szCs w:val="20"/>
              </w:rPr>
              <w:t>Decision change under incorrect AI; correctness-sensitive reliance</w:t>
            </w:r>
          </w:p>
        </w:tc>
        <w:tc>
          <w:tcPr>
            <w:tcW w:w="1230" w:type="dxa"/>
            <w:tcMar>
              <w:left w:w="108" w:type="dxa"/>
              <w:right w:w="108" w:type="dxa"/>
            </w:tcMar>
          </w:tcPr>
          <w:p w14:paraId="0C22CD9B" w14:textId="4E8DD561" w:rsidR="502A4FC6" w:rsidRPr="00D71E88" w:rsidRDefault="502A4FC6" w:rsidP="502A4FC6">
            <w:pPr>
              <w:spacing w:line="278" w:lineRule="auto"/>
              <w:rPr>
                <w:sz w:val="20"/>
                <w:szCs w:val="20"/>
              </w:rPr>
            </w:pPr>
            <w:r>
              <w:rPr>
                <w:rFonts w:ascii="Aptos" w:eastAsia="Aptos" w:hAnsi="Aptos" w:cs="Aptos"/>
                <w:sz w:val="20"/>
                <w:szCs w:val="20"/>
              </w:rPr>
              <w:t>TR3</w:t>
            </w:r>
          </w:p>
        </w:tc>
      </w:tr>
      <w:tr w:rsidR="502A4FC6" w:rsidRPr="00D71E88" w14:paraId="0AB9FF6A" w14:textId="77777777" w:rsidTr="502A4FC6">
        <w:trPr>
          <w:trHeight w:val="300"/>
        </w:trPr>
        <w:tc>
          <w:tcPr>
            <w:tcW w:w="1695" w:type="dxa"/>
            <w:tcMar>
              <w:left w:w="108" w:type="dxa"/>
              <w:right w:w="108" w:type="dxa"/>
            </w:tcMar>
          </w:tcPr>
          <w:p w14:paraId="13FDFDC1" w14:textId="6FDDD465"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lastRenderedPageBreak/>
              <w:t>Gombolay et al. 2024</w:t>
            </w:r>
          </w:p>
        </w:tc>
        <w:tc>
          <w:tcPr>
            <w:tcW w:w="1740" w:type="dxa"/>
            <w:tcMar>
              <w:left w:w="108" w:type="dxa"/>
              <w:right w:w="108" w:type="dxa"/>
            </w:tcMar>
          </w:tcPr>
          <w:p w14:paraId="642CE588" w14:textId="6AD77F74"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Correct vs. incorrect recommendations</w:t>
            </w:r>
          </w:p>
        </w:tc>
        <w:tc>
          <w:tcPr>
            <w:tcW w:w="2310" w:type="dxa"/>
            <w:tcMar>
              <w:left w:w="108" w:type="dxa"/>
              <w:right w:w="108" w:type="dxa"/>
            </w:tcMar>
          </w:tcPr>
          <w:p w14:paraId="2EA0ECAB" w14:textId="085E619A"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Randomized blinded experimental design with case-level correctness variation across eight explanation conditions</w:t>
            </w:r>
          </w:p>
        </w:tc>
        <w:tc>
          <w:tcPr>
            <w:tcW w:w="2100" w:type="dxa"/>
            <w:tcMar>
              <w:left w:w="108" w:type="dxa"/>
              <w:right w:w="108" w:type="dxa"/>
            </w:tcMar>
          </w:tcPr>
          <w:p w14:paraId="23A72FE7" w14:textId="4ADC3CD1"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Compliance per item × correctness; calibrated appropriate reliance</w:t>
            </w:r>
          </w:p>
        </w:tc>
        <w:tc>
          <w:tcPr>
            <w:tcW w:w="1230" w:type="dxa"/>
            <w:tcMar>
              <w:left w:w="108" w:type="dxa"/>
              <w:right w:w="108" w:type="dxa"/>
            </w:tcMar>
          </w:tcPr>
          <w:p w14:paraId="5CFC5405" w14:textId="7410FBCC"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w:t>
            </w:r>
          </w:p>
        </w:tc>
      </w:tr>
      <w:tr w:rsidR="502A4FC6" w:rsidRPr="00D71E88" w14:paraId="634C56A6" w14:textId="77777777" w:rsidTr="502A4FC6">
        <w:trPr>
          <w:trHeight w:val="300"/>
        </w:trPr>
        <w:tc>
          <w:tcPr>
            <w:tcW w:w="1695" w:type="dxa"/>
            <w:tcMar>
              <w:left w:w="108" w:type="dxa"/>
              <w:right w:w="108" w:type="dxa"/>
            </w:tcMar>
          </w:tcPr>
          <w:p w14:paraId="71553702" w14:textId="16306DED"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Jabbour et al. 2023</w:t>
            </w:r>
          </w:p>
        </w:tc>
        <w:tc>
          <w:tcPr>
            <w:tcW w:w="1740" w:type="dxa"/>
            <w:tcMar>
              <w:left w:w="108" w:type="dxa"/>
              <w:right w:w="108" w:type="dxa"/>
            </w:tcMar>
          </w:tcPr>
          <w:p w14:paraId="5EB76EC4" w14:textId="0EFBDC61"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Biased vs. correct AI predictions</w:t>
            </w:r>
          </w:p>
        </w:tc>
        <w:tc>
          <w:tcPr>
            <w:tcW w:w="2310" w:type="dxa"/>
            <w:tcMar>
              <w:left w:w="108" w:type="dxa"/>
              <w:right w:w="108" w:type="dxa"/>
            </w:tcMar>
          </w:tcPr>
          <w:p w14:paraId="7866718B" w14:textId="60D197F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Vignette survey with systematically biased AI condition; subgroup-bias injection</w:t>
            </w:r>
          </w:p>
        </w:tc>
        <w:tc>
          <w:tcPr>
            <w:tcW w:w="2100" w:type="dxa"/>
            <w:tcMar>
              <w:left w:w="108" w:type="dxa"/>
              <w:right w:w="108" w:type="dxa"/>
            </w:tcMar>
          </w:tcPr>
          <w:p w14:paraId="6346CA56" w14:textId="27C5DD0E"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Diagnostic decisions under biased AI; recognition of subgroup bias</w:t>
            </w:r>
          </w:p>
        </w:tc>
        <w:tc>
          <w:tcPr>
            <w:tcW w:w="1230" w:type="dxa"/>
            <w:tcMar>
              <w:left w:w="108" w:type="dxa"/>
              <w:right w:w="108" w:type="dxa"/>
            </w:tcMar>
          </w:tcPr>
          <w:p w14:paraId="355A777F" w14:textId="456D6907"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 UM4</w:t>
            </w:r>
          </w:p>
        </w:tc>
      </w:tr>
      <w:tr w:rsidR="502A4FC6" w:rsidRPr="00D71E88" w14:paraId="2131F42B" w14:textId="77777777" w:rsidTr="502A4FC6">
        <w:trPr>
          <w:trHeight w:val="300"/>
        </w:trPr>
        <w:tc>
          <w:tcPr>
            <w:tcW w:w="1695" w:type="dxa"/>
            <w:tcMar>
              <w:left w:w="108" w:type="dxa"/>
              <w:right w:w="108" w:type="dxa"/>
            </w:tcMar>
          </w:tcPr>
          <w:p w14:paraId="0D7C24FD" w14:textId="1ADBC9DD"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Jacobs et al. 2021</w:t>
            </w:r>
          </w:p>
        </w:tc>
        <w:tc>
          <w:tcPr>
            <w:tcW w:w="1740" w:type="dxa"/>
            <w:tcMar>
              <w:left w:w="108" w:type="dxa"/>
              <w:right w:w="108" w:type="dxa"/>
            </w:tcMar>
          </w:tcPr>
          <w:p w14:paraId="677B2308" w14:textId="700CD5BE"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Correct vs. incorrect AI recommendations</w:t>
            </w:r>
          </w:p>
        </w:tc>
        <w:tc>
          <w:tcPr>
            <w:tcW w:w="2310" w:type="dxa"/>
            <w:tcMar>
              <w:left w:w="108" w:type="dxa"/>
              <w:right w:w="108" w:type="dxa"/>
            </w:tcMar>
          </w:tcPr>
          <w:p w14:paraId="7F7FA31D" w14:textId="1B7B73D5"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Within-subject factorial vignette experiment with manipulated ML recommendations</w:t>
            </w:r>
          </w:p>
        </w:tc>
        <w:tc>
          <w:tcPr>
            <w:tcW w:w="2100" w:type="dxa"/>
            <w:tcMar>
              <w:left w:w="108" w:type="dxa"/>
              <w:right w:w="108" w:type="dxa"/>
            </w:tcMar>
          </w:tcPr>
          <w:p w14:paraId="116A8959" w14:textId="4782AD40"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Treatment selection accuracy × correctness; reliance on incorrect advice</w:t>
            </w:r>
          </w:p>
        </w:tc>
        <w:tc>
          <w:tcPr>
            <w:tcW w:w="1230" w:type="dxa"/>
            <w:tcMar>
              <w:left w:w="108" w:type="dxa"/>
              <w:right w:w="108" w:type="dxa"/>
            </w:tcMar>
          </w:tcPr>
          <w:p w14:paraId="0C82D97B" w14:textId="4746B6B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w:t>
            </w:r>
          </w:p>
        </w:tc>
      </w:tr>
      <w:tr w:rsidR="502A4FC6" w:rsidRPr="00D71E88" w14:paraId="285B4A3A" w14:textId="77777777" w:rsidTr="502A4FC6">
        <w:trPr>
          <w:trHeight w:val="300"/>
        </w:trPr>
        <w:tc>
          <w:tcPr>
            <w:tcW w:w="1695" w:type="dxa"/>
            <w:tcMar>
              <w:left w:w="108" w:type="dxa"/>
              <w:right w:w="108" w:type="dxa"/>
            </w:tcMar>
          </w:tcPr>
          <w:p w14:paraId="0BAFFC71" w14:textId="31EAAA53"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Nagendran et al. 2024</w:t>
            </w:r>
          </w:p>
        </w:tc>
        <w:tc>
          <w:tcPr>
            <w:tcW w:w="1740" w:type="dxa"/>
            <w:tcMar>
              <w:left w:w="108" w:type="dxa"/>
              <w:right w:w="108" w:type="dxa"/>
            </w:tcMar>
          </w:tcPr>
          <w:p w14:paraId="346D234C" w14:textId="5186A37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Safe vs. unsafe AI advice</w:t>
            </w:r>
          </w:p>
        </w:tc>
        <w:tc>
          <w:tcPr>
            <w:tcW w:w="2310" w:type="dxa"/>
            <w:tcMar>
              <w:left w:w="108" w:type="dxa"/>
              <w:right w:w="108" w:type="dxa"/>
            </w:tcMar>
          </w:tcPr>
          <w:p w14:paraId="38056BE3" w14:textId="41B73B91"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Within-subject simulation with safe and intentionally unsafe AI prescribing recommendations; eye-tracking</w:t>
            </w:r>
          </w:p>
        </w:tc>
        <w:tc>
          <w:tcPr>
            <w:tcW w:w="2100" w:type="dxa"/>
            <w:tcMar>
              <w:left w:w="108" w:type="dxa"/>
              <w:right w:w="108" w:type="dxa"/>
            </w:tcMar>
          </w:tcPr>
          <w:p w14:paraId="51702A02" w14:textId="733020BD"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Agreement with unsafe advice; visual attention to explanations</w:t>
            </w:r>
          </w:p>
        </w:tc>
        <w:tc>
          <w:tcPr>
            <w:tcW w:w="1230" w:type="dxa"/>
            <w:tcMar>
              <w:left w:w="108" w:type="dxa"/>
              <w:right w:w="108" w:type="dxa"/>
            </w:tcMar>
          </w:tcPr>
          <w:p w14:paraId="7E5F7BA0" w14:textId="3C6A8D80"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w:t>
            </w:r>
          </w:p>
        </w:tc>
      </w:tr>
      <w:tr w:rsidR="502A4FC6" w:rsidRPr="00D71E88" w14:paraId="25AA017C" w14:textId="77777777" w:rsidTr="502A4FC6">
        <w:trPr>
          <w:trHeight w:val="300"/>
        </w:trPr>
        <w:tc>
          <w:tcPr>
            <w:tcW w:w="1695" w:type="dxa"/>
            <w:tcMar>
              <w:left w:w="108" w:type="dxa"/>
              <w:right w:w="108" w:type="dxa"/>
            </w:tcMar>
          </w:tcPr>
          <w:p w14:paraId="6A6B295B" w14:textId="2810C9AB"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Nicolson et al. 2025</w:t>
            </w:r>
          </w:p>
        </w:tc>
        <w:tc>
          <w:tcPr>
            <w:tcW w:w="1740" w:type="dxa"/>
            <w:tcMar>
              <w:left w:w="108" w:type="dxa"/>
              <w:right w:w="108" w:type="dxa"/>
            </w:tcMar>
          </w:tcPr>
          <w:p w14:paraId="22C7485C" w14:textId="761F3B34"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Correct vs. incorrect AI predictions</w:t>
            </w:r>
          </w:p>
        </w:tc>
        <w:tc>
          <w:tcPr>
            <w:tcW w:w="2310" w:type="dxa"/>
            <w:tcMar>
              <w:left w:w="108" w:type="dxa"/>
              <w:right w:w="108" w:type="dxa"/>
            </w:tcMar>
          </w:tcPr>
          <w:p w14:paraId="348745A8" w14:textId="26AD0D03"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Reader study with case-level correctness variation; classification of appropriate / over- / under-reliance</w:t>
            </w:r>
          </w:p>
        </w:tc>
        <w:tc>
          <w:tcPr>
            <w:tcW w:w="2100" w:type="dxa"/>
            <w:tcMar>
              <w:left w:w="108" w:type="dxa"/>
              <w:right w:w="108" w:type="dxa"/>
            </w:tcMar>
          </w:tcPr>
          <w:p w14:paraId="2E24D383" w14:textId="65AC2C20"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WoA × correctness; calibrated reliance categorisation</w:t>
            </w:r>
          </w:p>
        </w:tc>
        <w:tc>
          <w:tcPr>
            <w:tcW w:w="1230" w:type="dxa"/>
            <w:tcMar>
              <w:left w:w="108" w:type="dxa"/>
              <w:right w:w="108" w:type="dxa"/>
            </w:tcMar>
          </w:tcPr>
          <w:p w14:paraId="23E34AD2" w14:textId="66AEAD9E" w:rsidR="502A4FC6" w:rsidRPr="00D71E88" w:rsidRDefault="502A4FC6" w:rsidP="502A4FC6">
            <w:pPr>
              <w:spacing w:after="0" w:line="276" w:lineRule="auto"/>
              <w:rPr>
                <w:sz w:val="20"/>
                <w:szCs w:val="20"/>
              </w:rPr>
            </w:pPr>
            <w:r>
              <w:rPr>
                <w:rFonts w:ascii="Times New Roman" w:eastAsia="Times New Roman" w:hAnsi="Times New Roman" w:cs="Times New Roman"/>
                <w:sz w:val="20"/>
                <w:szCs w:val="20"/>
              </w:rPr>
              <w:t>TR3</w:t>
            </w:r>
          </w:p>
        </w:tc>
      </w:tr>
      <w:tr w:rsidR="502A4FC6" w:rsidRPr="00D71E88" w14:paraId="1B61F7F8" w14:textId="77777777" w:rsidTr="502A4FC6">
        <w:trPr>
          <w:trHeight w:val="300"/>
        </w:trPr>
        <w:tc>
          <w:tcPr>
            <w:tcW w:w="1695" w:type="dxa"/>
            <w:tcMar>
              <w:left w:w="108" w:type="dxa"/>
              <w:right w:w="108" w:type="dxa"/>
            </w:tcMar>
          </w:tcPr>
          <w:p w14:paraId="5CBC4BF7" w14:textId="149AC656" w:rsidR="502A4FC6" w:rsidRPr="00D71E88" w:rsidRDefault="502A4FC6" w:rsidP="502A4FC6">
            <w:pPr>
              <w:spacing w:line="278" w:lineRule="auto"/>
              <w:rPr>
                <w:sz w:val="20"/>
                <w:szCs w:val="20"/>
              </w:rPr>
            </w:pPr>
            <w:r>
              <w:rPr>
                <w:rFonts w:ascii="Aptos" w:eastAsia="Aptos" w:hAnsi="Aptos" w:cs="Aptos"/>
                <w:sz w:val="20"/>
                <w:szCs w:val="20"/>
              </w:rPr>
              <w:t>Cabitza et al. 2023</w:t>
            </w:r>
          </w:p>
        </w:tc>
        <w:tc>
          <w:tcPr>
            <w:tcW w:w="1740" w:type="dxa"/>
            <w:tcMar>
              <w:left w:w="108" w:type="dxa"/>
              <w:right w:w="108" w:type="dxa"/>
            </w:tcMar>
          </w:tcPr>
          <w:p w14:paraId="177C1DA3" w14:textId="50013B7B" w:rsidR="502A4FC6" w:rsidRPr="00D71E88" w:rsidRDefault="502A4FC6" w:rsidP="502A4FC6">
            <w:pPr>
              <w:spacing w:line="278" w:lineRule="auto"/>
              <w:rPr>
                <w:sz w:val="20"/>
                <w:szCs w:val="20"/>
              </w:rPr>
            </w:pPr>
            <w:r>
              <w:rPr>
                <w:rFonts w:ascii="Aptos" w:eastAsia="Aptos" w:hAnsi="Aptos" w:cs="Aptos"/>
                <w:sz w:val="20"/>
                <w:szCs w:val="20"/>
              </w:rPr>
              <w:t>Correct vs. incorrect AI classifications</w:t>
            </w:r>
          </w:p>
        </w:tc>
        <w:tc>
          <w:tcPr>
            <w:tcW w:w="2310" w:type="dxa"/>
            <w:tcMar>
              <w:left w:w="108" w:type="dxa"/>
              <w:right w:w="108" w:type="dxa"/>
            </w:tcMar>
          </w:tcPr>
          <w:p w14:paraId="67F56FD5" w14:textId="4E715C9A" w:rsidR="502A4FC6" w:rsidRPr="00D71E88" w:rsidRDefault="502A4FC6" w:rsidP="502A4FC6">
            <w:pPr>
              <w:spacing w:line="278" w:lineRule="auto"/>
              <w:rPr>
                <w:sz w:val="20"/>
                <w:szCs w:val="20"/>
              </w:rPr>
            </w:pPr>
            <w:r>
              <w:rPr>
                <w:rFonts w:ascii="Aptos" w:eastAsia="Aptos" w:hAnsi="Aptos" w:cs="Aptos"/>
                <w:sz w:val="20"/>
                <w:szCs w:val="20"/>
              </w:rPr>
              <w:t>Experimental ECG-reader study with case-level correct and incorrect AI classifications under AI/XAI support</w:t>
            </w:r>
          </w:p>
        </w:tc>
        <w:tc>
          <w:tcPr>
            <w:tcW w:w="2100" w:type="dxa"/>
            <w:tcMar>
              <w:left w:w="108" w:type="dxa"/>
              <w:right w:w="108" w:type="dxa"/>
            </w:tcMar>
          </w:tcPr>
          <w:p w14:paraId="6791FF67" w14:textId="2C873073" w:rsidR="502A4FC6" w:rsidRPr="00D71E88" w:rsidRDefault="502A4FC6" w:rsidP="502A4FC6">
            <w:pPr>
              <w:spacing w:line="278" w:lineRule="auto"/>
              <w:rPr>
                <w:sz w:val="20"/>
                <w:szCs w:val="20"/>
              </w:rPr>
            </w:pPr>
            <w:r>
              <w:rPr>
                <w:rFonts w:ascii="Aptos" w:eastAsia="Aptos" w:hAnsi="Aptos" w:cs="Aptos"/>
                <w:sz w:val="20"/>
                <w:szCs w:val="20"/>
              </w:rPr>
              <w:t>Decision change / technology-dominance effects by AI correctness</w:t>
            </w:r>
          </w:p>
        </w:tc>
        <w:tc>
          <w:tcPr>
            <w:tcW w:w="1230" w:type="dxa"/>
            <w:tcMar>
              <w:left w:w="108" w:type="dxa"/>
              <w:right w:w="108" w:type="dxa"/>
            </w:tcMar>
          </w:tcPr>
          <w:p w14:paraId="0DE8A734" w14:textId="6C47258B" w:rsidR="502A4FC6" w:rsidRPr="00D71E88" w:rsidRDefault="502A4FC6" w:rsidP="502A4FC6">
            <w:pPr>
              <w:spacing w:line="278" w:lineRule="auto"/>
              <w:rPr>
                <w:sz w:val="20"/>
                <w:szCs w:val="20"/>
              </w:rPr>
            </w:pPr>
            <w:r>
              <w:rPr>
                <w:rFonts w:ascii="Aptos" w:eastAsia="Aptos" w:hAnsi="Aptos" w:cs="Aptos"/>
                <w:sz w:val="20"/>
                <w:szCs w:val="20"/>
              </w:rPr>
              <w:t>TR3</w:t>
            </w:r>
          </w:p>
        </w:tc>
      </w:tr>
    </w:tbl>
    <w:p w14:paraId="51F392F9" w14:textId="3F3165A8" w:rsidR="00A80CA5" w:rsidRPr="00AE309A" w:rsidRDefault="2654D3B7" w:rsidP="502A4FC6">
      <w:pPr>
        <w:spacing w:before="100" w:after="240" w:line="276" w:lineRule="auto"/>
      </w:pPr>
      <w:r>
        <w:rPr>
          <w:rFonts w:ascii="Times New Roman" w:eastAsia="Times New Roman" w:hAnsi="Times New Roman" w:cs="Times New Roman"/>
          <w:lang w:val="en-US"/>
        </w:rPr>
        <w:t xml:space="preserve"> </w:t>
      </w:r>
    </w:p>
    <w:p w14:paraId="68CA61C4" w14:textId="58628EC8" w:rsidR="00A80CA5" w:rsidRPr="00AE309A" w:rsidRDefault="00A80CA5" w:rsidP="502A4FC6">
      <w:pPr>
        <w:spacing w:before="100" w:after="240" w:line="278" w:lineRule="auto"/>
        <w:rPr>
          <w:rFonts w:ascii="Times New Roman" w:eastAsia="Times New Roman" w:hAnsi="Times New Roman" w:cs="Times New Roman"/>
          <w:lang w:val="en-US"/>
        </w:rPr>
      </w:pPr>
    </w:p>
    <w:p w14:paraId="4E47C1E7" w14:textId="3AB269FF" w:rsidR="00A80CA5" w:rsidRPr="00AE309A" w:rsidRDefault="00A80CA5" w:rsidP="00640BCD">
      <w:pPr>
        <w:spacing w:before="100" w:after="240"/>
        <w:rPr>
          <w:rFonts w:ascii="Times New Roman" w:eastAsia="Times New Roman" w:hAnsi="Times New Roman" w:cs="Times New Roman"/>
          <w:lang w:val="en-US"/>
        </w:rPr>
      </w:pPr>
    </w:p>
    <w:sectPr w:rsidR="00A80CA5" w:rsidRPr="00AE309A">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70CF4" w14:textId="77777777" w:rsidR="00D5430F" w:rsidRDefault="00D5430F">
      <w:pPr>
        <w:spacing w:after="0" w:line="240" w:lineRule="auto"/>
      </w:pPr>
      <w:r>
        <w:separator/>
      </w:r>
    </w:p>
  </w:endnote>
  <w:endnote w:type="continuationSeparator" w:id="0">
    <w:p w14:paraId="1BF9A064" w14:textId="77777777" w:rsidR="00D5430F" w:rsidRDefault="00D54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0FB19C9" w14:paraId="11A65CE7" w14:textId="77777777" w:rsidTr="251AEF30">
      <w:trPr>
        <w:trHeight w:val="300"/>
      </w:trPr>
      <w:tc>
        <w:tcPr>
          <w:tcW w:w="3005" w:type="dxa"/>
        </w:tcPr>
        <w:p w14:paraId="570C18A1" w14:textId="77777777" w:rsidR="00FB19C9" w:rsidRDefault="00FB19C9" w:rsidP="251AEF30">
          <w:pPr>
            <w:pStyle w:val="Header"/>
            <w:ind w:left="-115"/>
          </w:pPr>
        </w:p>
      </w:tc>
      <w:tc>
        <w:tcPr>
          <w:tcW w:w="3005" w:type="dxa"/>
        </w:tcPr>
        <w:p w14:paraId="0619C836" w14:textId="77777777" w:rsidR="00FB19C9" w:rsidRDefault="00FB19C9" w:rsidP="251AEF30">
          <w:pPr>
            <w:pStyle w:val="Header"/>
            <w:jc w:val="center"/>
          </w:pPr>
        </w:p>
      </w:tc>
      <w:tc>
        <w:tcPr>
          <w:tcW w:w="3005" w:type="dxa"/>
        </w:tcPr>
        <w:p w14:paraId="26226C6D" w14:textId="77777777" w:rsidR="00FB19C9" w:rsidRDefault="00FB19C9" w:rsidP="251AEF30">
          <w:pPr>
            <w:pStyle w:val="Header"/>
            <w:ind w:right="-115"/>
            <w:jc w:val="right"/>
          </w:pPr>
        </w:p>
      </w:tc>
    </w:tr>
  </w:tbl>
  <w:p w14:paraId="3646D273" w14:textId="77777777" w:rsidR="00FB19C9" w:rsidRDefault="00FB19C9" w:rsidP="251AE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CFDFBF" w14:textId="77777777" w:rsidR="00D5430F" w:rsidRDefault="00D5430F">
      <w:pPr>
        <w:spacing w:after="0" w:line="240" w:lineRule="auto"/>
      </w:pPr>
      <w:r>
        <w:separator/>
      </w:r>
    </w:p>
  </w:footnote>
  <w:footnote w:type="continuationSeparator" w:id="0">
    <w:p w14:paraId="5A6BC075" w14:textId="77777777" w:rsidR="00D5430F" w:rsidRDefault="00D54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0FB19C9" w14:paraId="14F5031C" w14:textId="77777777" w:rsidTr="251AEF30">
      <w:trPr>
        <w:trHeight w:val="300"/>
      </w:trPr>
      <w:tc>
        <w:tcPr>
          <w:tcW w:w="3005" w:type="dxa"/>
        </w:tcPr>
        <w:p w14:paraId="54430111" w14:textId="77777777" w:rsidR="00FB19C9" w:rsidRDefault="00FB19C9" w:rsidP="251AEF30">
          <w:pPr>
            <w:pStyle w:val="Header"/>
            <w:ind w:left="-115"/>
          </w:pPr>
        </w:p>
      </w:tc>
      <w:tc>
        <w:tcPr>
          <w:tcW w:w="3005" w:type="dxa"/>
        </w:tcPr>
        <w:p w14:paraId="298CBD79" w14:textId="77777777" w:rsidR="00FB19C9" w:rsidRDefault="00FB19C9" w:rsidP="251AEF30">
          <w:pPr>
            <w:pStyle w:val="Header"/>
            <w:jc w:val="center"/>
          </w:pPr>
        </w:p>
      </w:tc>
      <w:tc>
        <w:tcPr>
          <w:tcW w:w="3005" w:type="dxa"/>
        </w:tcPr>
        <w:p w14:paraId="174D8BB3" w14:textId="77777777" w:rsidR="00FB19C9" w:rsidRDefault="00FB19C9" w:rsidP="251AEF30">
          <w:pPr>
            <w:pStyle w:val="Header"/>
            <w:ind w:right="-115"/>
            <w:jc w:val="right"/>
          </w:pPr>
        </w:p>
      </w:tc>
    </w:tr>
  </w:tbl>
  <w:p w14:paraId="1684FBAD" w14:textId="77777777" w:rsidR="00FB19C9" w:rsidRDefault="00FB19C9" w:rsidP="251AEF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431056"/>
    <w:multiLevelType w:val="hybridMultilevel"/>
    <w:tmpl w:val="A47CCFA8"/>
    <w:lvl w:ilvl="0" w:tplc="FF84FBDA">
      <w:start w:val="1"/>
      <w:numFmt w:val="bullet"/>
      <w:lvlText w:val=""/>
      <w:lvlJc w:val="left"/>
      <w:pPr>
        <w:ind w:left="720" w:hanging="360"/>
      </w:pPr>
      <w:rPr>
        <w:rFonts w:ascii="Symbol" w:hAnsi="Symbol" w:hint="default"/>
      </w:rPr>
    </w:lvl>
    <w:lvl w:ilvl="1" w:tplc="6FC41DD8">
      <w:start w:val="1"/>
      <w:numFmt w:val="bullet"/>
      <w:lvlText w:val="o"/>
      <w:lvlJc w:val="left"/>
      <w:pPr>
        <w:ind w:left="1440" w:hanging="360"/>
      </w:pPr>
      <w:rPr>
        <w:rFonts w:ascii="Courier New" w:hAnsi="Courier New" w:hint="default"/>
      </w:rPr>
    </w:lvl>
    <w:lvl w:ilvl="2" w:tplc="69F8F076">
      <w:start w:val="1"/>
      <w:numFmt w:val="bullet"/>
      <w:lvlText w:val=""/>
      <w:lvlJc w:val="left"/>
      <w:pPr>
        <w:ind w:left="2160" w:hanging="360"/>
      </w:pPr>
      <w:rPr>
        <w:rFonts w:ascii="Wingdings" w:hAnsi="Wingdings" w:hint="default"/>
      </w:rPr>
    </w:lvl>
    <w:lvl w:ilvl="3" w:tplc="66CAF18C">
      <w:start w:val="1"/>
      <w:numFmt w:val="bullet"/>
      <w:lvlText w:val=""/>
      <w:lvlJc w:val="left"/>
      <w:pPr>
        <w:ind w:left="2880" w:hanging="360"/>
      </w:pPr>
      <w:rPr>
        <w:rFonts w:ascii="Symbol" w:hAnsi="Symbol" w:hint="default"/>
      </w:rPr>
    </w:lvl>
    <w:lvl w:ilvl="4" w:tplc="0E5A05EC">
      <w:start w:val="1"/>
      <w:numFmt w:val="bullet"/>
      <w:lvlText w:val="o"/>
      <w:lvlJc w:val="left"/>
      <w:pPr>
        <w:ind w:left="3600" w:hanging="360"/>
      </w:pPr>
      <w:rPr>
        <w:rFonts w:ascii="Courier New" w:hAnsi="Courier New" w:hint="default"/>
      </w:rPr>
    </w:lvl>
    <w:lvl w:ilvl="5" w:tplc="94785D90">
      <w:start w:val="1"/>
      <w:numFmt w:val="bullet"/>
      <w:lvlText w:val=""/>
      <w:lvlJc w:val="left"/>
      <w:pPr>
        <w:ind w:left="4320" w:hanging="360"/>
      </w:pPr>
      <w:rPr>
        <w:rFonts w:ascii="Wingdings" w:hAnsi="Wingdings" w:hint="default"/>
      </w:rPr>
    </w:lvl>
    <w:lvl w:ilvl="6" w:tplc="BA5E4EEA">
      <w:start w:val="1"/>
      <w:numFmt w:val="bullet"/>
      <w:lvlText w:val=""/>
      <w:lvlJc w:val="left"/>
      <w:pPr>
        <w:ind w:left="5040" w:hanging="360"/>
      </w:pPr>
      <w:rPr>
        <w:rFonts w:ascii="Symbol" w:hAnsi="Symbol" w:hint="default"/>
      </w:rPr>
    </w:lvl>
    <w:lvl w:ilvl="7" w:tplc="FE34B828">
      <w:start w:val="1"/>
      <w:numFmt w:val="bullet"/>
      <w:lvlText w:val="o"/>
      <w:lvlJc w:val="left"/>
      <w:pPr>
        <w:ind w:left="5760" w:hanging="360"/>
      </w:pPr>
      <w:rPr>
        <w:rFonts w:ascii="Courier New" w:hAnsi="Courier New" w:hint="default"/>
      </w:rPr>
    </w:lvl>
    <w:lvl w:ilvl="8" w:tplc="64A6B47C">
      <w:start w:val="1"/>
      <w:numFmt w:val="bullet"/>
      <w:lvlText w:val=""/>
      <w:lvlJc w:val="left"/>
      <w:pPr>
        <w:ind w:left="6480" w:hanging="360"/>
      </w:pPr>
      <w:rPr>
        <w:rFonts w:ascii="Wingdings" w:hAnsi="Wingdings" w:hint="default"/>
      </w:rPr>
    </w:lvl>
  </w:abstractNum>
  <w:num w:numId="1" w16cid:durableId="7645736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3FEB28"/>
    <w:rsid w:val="00007A59"/>
    <w:rsid w:val="00012041"/>
    <w:rsid w:val="00027FED"/>
    <w:rsid w:val="000415D5"/>
    <w:rsid w:val="00042320"/>
    <w:rsid w:val="00045A33"/>
    <w:rsid w:val="000570C5"/>
    <w:rsid w:val="00064290"/>
    <w:rsid w:val="000703F6"/>
    <w:rsid w:val="00070D54"/>
    <w:rsid w:val="000A409C"/>
    <w:rsid w:val="000C04CE"/>
    <w:rsid w:val="000D1D00"/>
    <w:rsid w:val="000D36B3"/>
    <w:rsid w:val="000D740F"/>
    <w:rsid w:val="00104DE6"/>
    <w:rsid w:val="00106A37"/>
    <w:rsid w:val="00115BB8"/>
    <w:rsid w:val="0011658E"/>
    <w:rsid w:val="001334F6"/>
    <w:rsid w:val="001343E7"/>
    <w:rsid w:val="0013520F"/>
    <w:rsid w:val="001513EF"/>
    <w:rsid w:val="001A0D53"/>
    <w:rsid w:val="001A2E00"/>
    <w:rsid w:val="001A6A81"/>
    <w:rsid w:val="001B56C0"/>
    <w:rsid w:val="001B5C9C"/>
    <w:rsid w:val="001C05BF"/>
    <w:rsid w:val="001C3360"/>
    <w:rsid w:val="001C38FD"/>
    <w:rsid w:val="001D3601"/>
    <w:rsid w:val="001E02B9"/>
    <w:rsid w:val="001E2757"/>
    <w:rsid w:val="001F4008"/>
    <w:rsid w:val="00220CF0"/>
    <w:rsid w:val="00221493"/>
    <w:rsid w:val="00232521"/>
    <w:rsid w:val="00272D28"/>
    <w:rsid w:val="00293C0B"/>
    <w:rsid w:val="002C45CD"/>
    <w:rsid w:val="002D0C1A"/>
    <w:rsid w:val="002E2FEB"/>
    <w:rsid w:val="002E676B"/>
    <w:rsid w:val="002F47FC"/>
    <w:rsid w:val="00325E75"/>
    <w:rsid w:val="00354F74"/>
    <w:rsid w:val="00377418"/>
    <w:rsid w:val="003902A5"/>
    <w:rsid w:val="00393108"/>
    <w:rsid w:val="003A25C7"/>
    <w:rsid w:val="003A70D4"/>
    <w:rsid w:val="003C0809"/>
    <w:rsid w:val="003D515B"/>
    <w:rsid w:val="003D6425"/>
    <w:rsid w:val="003E760F"/>
    <w:rsid w:val="004467B3"/>
    <w:rsid w:val="00457ED6"/>
    <w:rsid w:val="00474A69"/>
    <w:rsid w:val="004C20D5"/>
    <w:rsid w:val="004C4370"/>
    <w:rsid w:val="004D6185"/>
    <w:rsid w:val="004E31FB"/>
    <w:rsid w:val="00512B6B"/>
    <w:rsid w:val="00520240"/>
    <w:rsid w:val="005244A9"/>
    <w:rsid w:val="0053067F"/>
    <w:rsid w:val="005425B1"/>
    <w:rsid w:val="0055300D"/>
    <w:rsid w:val="00581F6E"/>
    <w:rsid w:val="005965F9"/>
    <w:rsid w:val="005C7EA8"/>
    <w:rsid w:val="005F5C71"/>
    <w:rsid w:val="00617484"/>
    <w:rsid w:val="00640BCD"/>
    <w:rsid w:val="00642B77"/>
    <w:rsid w:val="00644CC8"/>
    <w:rsid w:val="006530C6"/>
    <w:rsid w:val="00694D95"/>
    <w:rsid w:val="006A0CAF"/>
    <w:rsid w:val="006B70BA"/>
    <w:rsid w:val="006D1A32"/>
    <w:rsid w:val="006D7332"/>
    <w:rsid w:val="006E17AF"/>
    <w:rsid w:val="006F1ABE"/>
    <w:rsid w:val="0071227C"/>
    <w:rsid w:val="007278C5"/>
    <w:rsid w:val="00744AEB"/>
    <w:rsid w:val="00744E1E"/>
    <w:rsid w:val="00745336"/>
    <w:rsid w:val="007468E3"/>
    <w:rsid w:val="00747F91"/>
    <w:rsid w:val="00770CCD"/>
    <w:rsid w:val="007740F3"/>
    <w:rsid w:val="00797094"/>
    <w:rsid w:val="007A0AD8"/>
    <w:rsid w:val="007E05F7"/>
    <w:rsid w:val="00815F46"/>
    <w:rsid w:val="0082162D"/>
    <w:rsid w:val="0084026D"/>
    <w:rsid w:val="00841995"/>
    <w:rsid w:val="0085361E"/>
    <w:rsid w:val="0085540F"/>
    <w:rsid w:val="00857AB7"/>
    <w:rsid w:val="00865FC8"/>
    <w:rsid w:val="00876AAB"/>
    <w:rsid w:val="00882D67"/>
    <w:rsid w:val="00883DAE"/>
    <w:rsid w:val="008B0EA1"/>
    <w:rsid w:val="008B3588"/>
    <w:rsid w:val="008E139B"/>
    <w:rsid w:val="008E3612"/>
    <w:rsid w:val="008E6488"/>
    <w:rsid w:val="008F4CB5"/>
    <w:rsid w:val="0091C285"/>
    <w:rsid w:val="009579AC"/>
    <w:rsid w:val="00985D05"/>
    <w:rsid w:val="009A57F5"/>
    <w:rsid w:val="00A56BE9"/>
    <w:rsid w:val="00A67075"/>
    <w:rsid w:val="00A715B9"/>
    <w:rsid w:val="00A80CA5"/>
    <w:rsid w:val="00AB2722"/>
    <w:rsid w:val="00AC0D6D"/>
    <w:rsid w:val="00AD0CE6"/>
    <w:rsid w:val="00AD7FD0"/>
    <w:rsid w:val="00AE309A"/>
    <w:rsid w:val="00AF324B"/>
    <w:rsid w:val="00B0214A"/>
    <w:rsid w:val="00B03DBB"/>
    <w:rsid w:val="00B15A19"/>
    <w:rsid w:val="00B22F2C"/>
    <w:rsid w:val="00B30E8E"/>
    <w:rsid w:val="00B33860"/>
    <w:rsid w:val="00B61E35"/>
    <w:rsid w:val="00B636D4"/>
    <w:rsid w:val="00B868F3"/>
    <w:rsid w:val="00BC7B66"/>
    <w:rsid w:val="00BD0DF1"/>
    <w:rsid w:val="00BD1635"/>
    <w:rsid w:val="00BD7EC2"/>
    <w:rsid w:val="00BE4C7C"/>
    <w:rsid w:val="00C07655"/>
    <w:rsid w:val="00C1342F"/>
    <w:rsid w:val="00C234DD"/>
    <w:rsid w:val="00C5131D"/>
    <w:rsid w:val="00C73B88"/>
    <w:rsid w:val="00C84DF3"/>
    <w:rsid w:val="00C868A3"/>
    <w:rsid w:val="00CA3B4B"/>
    <w:rsid w:val="00CB300A"/>
    <w:rsid w:val="00CD7231"/>
    <w:rsid w:val="00D12744"/>
    <w:rsid w:val="00D31AAF"/>
    <w:rsid w:val="00D3505E"/>
    <w:rsid w:val="00D5430F"/>
    <w:rsid w:val="00D71E88"/>
    <w:rsid w:val="00D730F7"/>
    <w:rsid w:val="00D86AA0"/>
    <w:rsid w:val="00DB33CB"/>
    <w:rsid w:val="00DC1625"/>
    <w:rsid w:val="00DC2097"/>
    <w:rsid w:val="00DE7B43"/>
    <w:rsid w:val="00DF423C"/>
    <w:rsid w:val="00E01370"/>
    <w:rsid w:val="00E14528"/>
    <w:rsid w:val="00E34A5A"/>
    <w:rsid w:val="00E565C1"/>
    <w:rsid w:val="00E56AEF"/>
    <w:rsid w:val="00E76B87"/>
    <w:rsid w:val="00F21C53"/>
    <w:rsid w:val="00F24695"/>
    <w:rsid w:val="00F43D87"/>
    <w:rsid w:val="00F456D9"/>
    <w:rsid w:val="00F543B8"/>
    <w:rsid w:val="00F55D02"/>
    <w:rsid w:val="00F80148"/>
    <w:rsid w:val="00F909B4"/>
    <w:rsid w:val="00FA0F69"/>
    <w:rsid w:val="00FA1D39"/>
    <w:rsid w:val="00FB0884"/>
    <w:rsid w:val="00FB19C9"/>
    <w:rsid w:val="00FC0D2B"/>
    <w:rsid w:val="00FC24A7"/>
    <w:rsid w:val="00FC5601"/>
    <w:rsid w:val="00FE1D62"/>
    <w:rsid w:val="01CF1DB1"/>
    <w:rsid w:val="03F866AF"/>
    <w:rsid w:val="048E4AB8"/>
    <w:rsid w:val="04F7F523"/>
    <w:rsid w:val="0687C9F0"/>
    <w:rsid w:val="06D7A780"/>
    <w:rsid w:val="0712B395"/>
    <w:rsid w:val="07DA6E43"/>
    <w:rsid w:val="0AF9B671"/>
    <w:rsid w:val="0B8FD17F"/>
    <w:rsid w:val="0C101A05"/>
    <w:rsid w:val="0D131F81"/>
    <w:rsid w:val="0D28385B"/>
    <w:rsid w:val="0D849104"/>
    <w:rsid w:val="0FFFC095"/>
    <w:rsid w:val="100FB9F9"/>
    <w:rsid w:val="10217C60"/>
    <w:rsid w:val="1260A30C"/>
    <w:rsid w:val="12AEAA4E"/>
    <w:rsid w:val="14429D52"/>
    <w:rsid w:val="153CFD59"/>
    <w:rsid w:val="154D13F2"/>
    <w:rsid w:val="15C7FEBF"/>
    <w:rsid w:val="17A160AE"/>
    <w:rsid w:val="17A71E37"/>
    <w:rsid w:val="17D8F2D1"/>
    <w:rsid w:val="1948539D"/>
    <w:rsid w:val="1A38E520"/>
    <w:rsid w:val="1B46B090"/>
    <w:rsid w:val="1C2199AA"/>
    <w:rsid w:val="1DD9073D"/>
    <w:rsid w:val="1EB87C81"/>
    <w:rsid w:val="1EEA9C5F"/>
    <w:rsid w:val="1F939278"/>
    <w:rsid w:val="1FEA1E7C"/>
    <w:rsid w:val="20BFF3A4"/>
    <w:rsid w:val="20DC28C4"/>
    <w:rsid w:val="21849E76"/>
    <w:rsid w:val="231DAE42"/>
    <w:rsid w:val="239E91EC"/>
    <w:rsid w:val="24D3933F"/>
    <w:rsid w:val="251AEF30"/>
    <w:rsid w:val="2654D3B7"/>
    <w:rsid w:val="2872CDFC"/>
    <w:rsid w:val="29BA9B7C"/>
    <w:rsid w:val="2B864D9D"/>
    <w:rsid w:val="2C2E4FFD"/>
    <w:rsid w:val="2CFB11C1"/>
    <w:rsid w:val="2D01E852"/>
    <w:rsid w:val="2DB729E0"/>
    <w:rsid w:val="2EA8BBC0"/>
    <w:rsid w:val="30E1EB39"/>
    <w:rsid w:val="31F9E836"/>
    <w:rsid w:val="32B3093F"/>
    <w:rsid w:val="33AA5206"/>
    <w:rsid w:val="33BB7799"/>
    <w:rsid w:val="348109A2"/>
    <w:rsid w:val="353A5D34"/>
    <w:rsid w:val="3603CDD4"/>
    <w:rsid w:val="361F3F68"/>
    <w:rsid w:val="36632508"/>
    <w:rsid w:val="36A79A6F"/>
    <w:rsid w:val="37577A6D"/>
    <w:rsid w:val="3A7E26D9"/>
    <w:rsid w:val="3AE5BD54"/>
    <w:rsid w:val="3C5F2332"/>
    <w:rsid w:val="3C7352D6"/>
    <w:rsid w:val="3CB9757E"/>
    <w:rsid w:val="3D844ACC"/>
    <w:rsid w:val="3F3AC127"/>
    <w:rsid w:val="3F76AA13"/>
    <w:rsid w:val="405F6015"/>
    <w:rsid w:val="40D22F6D"/>
    <w:rsid w:val="432F8B98"/>
    <w:rsid w:val="4373B8E0"/>
    <w:rsid w:val="438A464F"/>
    <w:rsid w:val="45027FD9"/>
    <w:rsid w:val="45C0EF1D"/>
    <w:rsid w:val="47A923AF"/>
    <w:rsid w:val="48B88B7C"/>
    <w:rsid w:val="49D4D99B"/>
    <w:rsid w:val="4A5649FE"/>
    <w:rsid w:val="4BBE7309"/>
    <w:rsid w:val="4DF7D065"/>
    <w:rsid w:val="4E9AC38F"/>
    <w:rsid w:val="4EE8C427"/>
    <w:rsid w:val="502A4FC6"/>
    <w:rsid w:val="507E9F34"/>
    <w:rsid w:val="515F4A14"/>
    <w:rsid w:val="51A4913D"/>
    <w:rsid w:val="52EF98F9"/>
    <w:rsid w:val="55D95F40"/>
    <w:rsid w:val="56C76E5D"/>
    <w:rsid w:val="574AA478"/>
    <w:rsid w:val="58AE2628"/>
    <w:rsid w:val="58CF64BA"/>
    <w:rsid w:val="5C33B32C"/>
    <w:rsid w:val="5C6DE4E9"/>
    <w:rsid w:val="5C7B7F1D"/>
    <w:rsid w:val="5F71F2CC"/>
    <w:rsid w:val="5FDE8B4D"/>
    <w:rsid w:val="60682014"/>
    <w:rsid w:val="608005BE"/>
    <w:rsid w:val="60B442F7"/>
    <w:rsid w:val="61662BBA"/>
    <w:rsid w:val="62C1880A"/>
    <w:rsid w:val="62C73E0F"/>
    <w:rsid w:val="64825DA6"/>
    <w:rsid w:val="661B8D52"/>
    <w:rsid w:val="6699D052"/>
    <w:rsid w:val="67E27AC8"/>
    <w:rsid w:val="6952A88D"/>
    <w:rsid w:val="698D28B6"/>
    <w:rsid w:val="6B4608ED"/>
    <w:rsid w:val="6B893A0F"/>
    <w:rsid w:val="6BF15040"/>
    <w:rsid w:val="6C3CFD9C"/>
    <w:rsid w:val="6D7985CD"/>
    <w:rsid w:val="6D9B5889"/>
    <w:rsid w:val="6DA6D94A"/>
    <w:rsid w:val="6F4CA07F"/>
    <w:rsid w:val="7186AEAA"/>
    <w:rsid w:val="720D7DBB"/>
    <w:rsid w:val="7326E63F"/>
    <w:rsid w:val="7377E332"/>
    <w:rsid w:val="73BB6B4D"/>
    <w:rsid w:val="74469977"/>
    <w:rsid w:val="7518D8D4"/>
    <w:rsid w:val="75B90834"/>
    <w:rsid w:val="767A5475"/>
    <w:rsid w:val="7731285D"/>
    <w:rsid w:val="7742FEEA"/>
    <w:rsid w:val="777B5F30"/>
    <w:rsid w:val="78203BF9"/>
    <w:rsid w:val="78917E46"/>
    <w:rsid w:val="78F4F17D"/>
    <w:rsid w:val="79EA2F60"/>
    <w:rsid w:val="7A49FC3F"/>
    <w:rsid w:val="7A932F0E"/>
    <w:rsid w:val="7ACECEB4"/>
    <w:rsid w:val="7B32EDC0"/>
    <w:rsid w:val="7B391B8B"/>
    <w:rsid w:val="7B44B3E5"/>
    <w:rsid w:val="7B6C8D57"/>
    <w:rsid w:val="7C2A5E07"/>
    <w:rsid w:val="7C2DC702"/>
    <w:rsid w:val="7DB727D2"/>
    <w:rsid w:val="7E3FEB28"/>
    <w:rsid w:val="7FF590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0213E"/>
  <w15:chartTrackingRefBased/>
  <w15:docId w15:val="{093EFE12-A624-E44B-BC2D-FDBC83B2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0D6D"/>
  </w:style>
  <w:style w:type="paragraph" w:styleId="Heading1">
    <w:name w:val="Heading 1"/>
    <w:basedOn w:val="Normal"/>
    <w:next w:val="Normal"/>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251AEF30"/>
    <w:pPr>
      <w:tabs>
        <w:tab w:val="center" w:pos="4680"/>
        <w:tab w:val="right" w:pos="9360"/>
      </w:tabs>
      <w:spacing w:after="0" w:line="240" w:lineRule="auto"/>
    </w:pPr>
  </w:style>
  <w:style w:type="paragraph" w:styleId="Footer">
    <w:name w:val="Footer"/>
    <w:basedOn w:val="Normal"/>
    <w:uiPriority w:val="99"/>
    <w:unhideWhenUsed/>
    <w:rsid w:val="251AEF30"/>
    <w:pPr>
      <w:tabs>
        <w:tab w:val="center" w:pos="4680"/>
        <w:tab w:val="right" w:pos="9360"/>
      </w:tabs>
      <w:spacing w:after="0" w:line="240" w:lineRule="auto"/>
    </w:pPr>
  </w:style>
  <w:style w:type="character" w:styleId="CommentReference">
    <w:name w:val="Comment Reference"/>
    <w:basedOn w:val="DefaultParagraphFont"/>
    <w:uiPriority w:val="99"/>
    <w:semiHidden/>
    <w:unhideWhenUsed/>
    <w:rPr>
      <w:sz w:val="16"/>
      <w:szCs w:val="16"/>
    </w:rPr>
  </w:style>
  <w:style w:type="character" w:styleId="Strong">
    <w:name w:val="Strong"/>
    <w:basedOn w:val="DefaultParagraphFont"/>
    <w:uiPriority w:val="22"/>
    <w:qFormat/>
    <w:rsid w:val="00D3505E"/>
    <w:rPr>
      <w:b/>
      <w:bCs/>
    </w:rPr>
  </w:style>
  <w:style w:type="character" w:customStyle="1" w:styleId="berschrift1Zchn">
    <w:name w:val="Überschrift 1 Zchn"/>
    <w:basedOn w:val="DefaultParagraphFont"/>
    <w:uiPriority w:val="9"/>
    <w:rsid w:val="002D0C1A"/>
    <w:rPr>
      <w:rFonts w:asciiTheme="majorHAnsi" w:eastAsiaTheme="majorEastAsia" w:hAnsiTheme="majorHAnsi" w:cstheme="majorBidi"/>
      <w:color w:val="0F4761" w:themeColor="accent1" w:themeShade="BF"/>
      <w:sz w:val="40"/>
      <w:szCs w:val="40"/>
    </w:rPr>
  </w:style>
  <w:style w:type="character" w:customStyle="1" w:styleId="KommentartextZchn">
    <w:name w:val="Kommentartext Zchn"/>
    <w:basedOn w:val="DefaultParagraphFont"/>
    <w:uiPriority w:val="99"/>
    <w:semiHidden/>
    <w:rsid w:val="002D0C1A"/>
    <w:rPr>
      <w:sz w:val="20"/>
      <w:szCs w:val="20"/>
    </w:rPr>
  </w:style>
  <w:style w:type="character" w:customStyle="1" w:styleId="KommentarthemaZchn">
    <w:name w:val="Kommentarthema Zchn"/>
    <w:basedOn w:val="KommentartextZchn"/>
    <w:uiPriority w:val="99"/>
    <w:semiHidden/>
    <w:rsid w:val="002D0C1A"/>
    <w:rPr>
      <w:b/>
      <w:bCs/>
      <w:sz w:val="20"/>
      <w:szCs w:val="20"/>
    </w:rPr>
  </w:style>
  <w:style w:type="character" w:customStyle="1" w:styleId="KommentartextZchn1">
    <w:name w:val="Kommentartext Zchn1"/>
    <w:basedOn w:val="DefaultParagraphFont"/>
    <w:uiPriority w:val="99"/>
    <w:semiHidden/>
    <w:rsid w:val="0079709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25611751D1514A9FB4E6BF644498C1" ma:contentTypeVersion="21" ma:contentTypeDescription="Ein neues Dokument erstellen." ma:contentTypeScope="" ma:versionID="552d6226763b573ce64d31b333873bd5">
  <xsd:schema xmlns:xsd="http://www.w3.org/2001/XMLSchema" xmlns:xs="http://www.w3.org/2001/XMLSchema" xmlns:p="http://schemas.microsoft.com/office/2006/metadata/properties" xmlns:ns2="f34ad1fd-ba34-4b1f-b3d0-8e5f7c23ed5d" xmlns:ns3="c8f99107-f9bd-4f25-be51-b95b42a73f95" targetNamespace="http://schemas.microsoft.com/office/2006/metadata/properties" ma:root="true" ma:fieldsID="4cbfa337f60f94497de97d7750ec2552" ns2:_="" ns3:_="">
    <xsd:import namespace="f34ad1fd-ba34-4b1f-b3d0-8e5f7c23ed5d"/>
    <xsd:import namespace="c8f99107-f9bd-4f25-be51-b95b42a73f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rojektname"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ad1fd-ba34-4b1f-b3d0-8e5f7c23e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ojektname" ma:index="26" nillable="true" ma:displayName="Projektname" ma:format="Dropdown" ma:internalName="Projektnam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Status" ma:index="28" nillable="true" ma:displayName="Status" ma:format="Dropdown" ma:internalName="Status">
      <xsd:simpleType>
        <xsd:union memberTypes="dms:Text">
          <xsd:simpleType>
            <xsd:restriction base="dms:Choice">
              <xsd:enumeration value="planed"/>
              <xsd:enumeration value="in_progress"/>
              <xsd:enumeration value="draft"/>
              <xsd:enumeration value="submitted"/>
              <xsd:enumeration value="accepted"/>
              <xsd:enumeration value="finish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f99107-f9bd-4f25-be51-b95b42a73f95"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df9e298c-f2de-40a5-98e2-400e8030a445}" ma:internalName="TaxCatchAll" ma:showField="CatchAllData" ma:web="c8f99107-f9bd-4f25-be51-b95b42a73f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4ad1fd-ba34-4b1f-b3d0-8e5f7c23ed5d">
      <Terms xmlns="http://schemas.microsoft.com/office/infopath/2007/PartnerControls"/>
    </lcf76f155ced4ddcb4097134ff3c332f>
    <Status xmlns="f34ad1fd-ba34-4b1f-b3d0-8e5f7c23ed5d" xsi:nil="true"/>
    <TaxCatchAll xmlns="c8f99107-f9bd-4f25-be51-b95b42a73f95" xsi:nil="true"/>
    <Projektname xmlns="f34ad1fd-ba34-4b1f-b3d0-8e5f7c23ed5d" xsi:nil="true"/>
  </documentManagement>
</p:properties>
</file>

<file path=customXml/itemProps1.xml><?xml version="1.0" encoding="utf-8"?>
<ds:datastoreItem xmlns:ds="http://schemas.openxmlformats.org/officeDocument/2006/customXml" ds:itemID="{146C1625-5FAD-4074-AA84-246B09EC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ad1fd-ba34-4b1f-b3d0-8e5f7c23ed5d"/>
    <ds:schemaRef ds:uri="c8f99107-f9bd-4f25-be51-b95b42a73f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20C38D-8B49-4A64-A0C6-4963F211788B}">
  <ds:schemaRefs>
    <ds:schemaRef ds:uri="http://schemas.microsoft.com/sharepoint/v3/contenttype/forms"/>
  </ds:schemaRefs>
</ds:datastoreItem>
</file>

<file path=customXml/itemProps3.xml><?xml version="1.0" encoding="utf-8"?>
<ds:datastoreItem xmlns:ds="http://schemas.openxmlformats.org/officeDocument/2006/customXml" ds:itemID="{1469E2D7-9320-4F96-AA1E-6FD7329AC2F4}">
  <ds:schemaRefs>
    <ds:schemaRef ds:uri="http://schemas.microsoft.com/office/2006/metadata/properties"/>
    <ds:schemaRef ds:uri="http://schemas.microsoft.com/office/infopath/2007/PartnerControls"/>
    <ds:schemaRef ds:uri="f34ad1fd-ba34-4b1f-b3d0-8e5f7c23ed5d"/>
    <ds:schemaRef ds:uri="c8f99107-f9bd-4f25-be51-b95b42a73f95"/>
  </ds:schemaRefs>
</ds:datastoreItem>
</file>

<file path=docMetadata/LabelInfo.xml><?xml version="1.0" encoding="utf-8"?>
<clbl:labelList xmlns:clbl="http://schemas.microsoft.com/office/2020/mipLabelMetadata">
  <clbl:label id="{afe91939-923e-432c-bc66-cbc3ec18d02c}" enabled="0" method="" siteId="{afe91939-923e-432c-bc66-cbc3ec18d02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1878</Words>
  <Characters>11835</Characters>
  <Application>Microsoft Office Word</Application>
  <DocSecurity>0</DocSecurity>
  <Lines>98</Lines>
  <Paragraphs>27</Paragraphs>
  <ScaleCrop>false</ScaleCrop>
  <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Frey, Nicolas</dc:creator>
  <cp:keywords/>
  <dc:description/>
  <cp:lastModifiedBy>Frey, Nicolas</cp:lastModifiedBy>
  <cp:revision>2</cp:revision>
  <dcterms:created xsi:type="dcterms:W3CDTF">2026-08-28T14:01:00Z</dcterms:created>
  <dcterms:modified xsi:type="dcterms:W3CDTF">2026-08-28T14:01:00Z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0x0101005825611751D1514A9FB4E6BF644498C1</vt:lpwstr>
  </property>
  <property fmtid="{D5CDD505-2E9C-101B-9397-08002B2CF9AE}" pid="3" name="MediaServiceImageTags">
    <vt:lpwstr/>
  </property>
</Properties>
</file>