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96CC5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center"/>
        <w:rPr>
          <w:rFonts w:hint="default" w:ascii="Times New Roman" w:hAnsi="Times New Roman" w:eastAsia="宋体" w:cs="Times New Roman"/>
          <w:b/>
          <w:bCs/>
          <w:snapToGrid/>
          <w:kern w:val="22"/>
          <w:sz w:val="32"/>
          <w:szCs w:val="32"/>
          <w:lang w:val="en-US" w:eastAsia="zh-CN" w:bidi="ar"/>
        </w:rPr>
      </w:pPr>
      <w:bookmarkStart w:id="0" w:name="OLE_LINK80"/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Supporting Information</w:t>
      </w:r>
    </w:p>
    <w:p w14:paraId="72C29E5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center"/>
        <w:rPr>
          <w:rFonts w:hint="default" w:ascii="Times New Roman" w:hAnsi="Times New Roman" w:cs="Times New Roman"/>
          <w:b/>
          <w:bCs/>
          <w:kern w:val="22"/>
          <w:sz w:val="22"/>
          <w:szCs w:val="22"/>
          <w:lang w:val="en-US"/>
        </w:rPr>
      </w:pPr>
      <w:bookmarkStart w:id="3" w:name="_GoBack"/>
      <w:bookmarkEnd w:id="3"/>
      <w:r>
        <w:rPr>
          <w:rFonts w:hint="default" w:ascii="Times New Roman" w:hAnsi="Times New Roman" w:eastAsia="宋体" w:cs="Times New Roman"/>
          <w:b/>
          <w:bCs/>
          <w:snapToGrid/>
          <w:kern w:val="22"/>
          <w:sz w:val="22"/>
          <w:szCs w:val="22"/>
          <w:lang w:val="en-US" w:eastAsia="zh-CN" w:bidi="ar"/>
        </w:rPr>
        <w:t>Directing Recruitment and Differentiation of Endogenous Stem Cells via DNA Origami-based Nanorobot</w:t>
      </w:r>
      <w:r>
        <w:rPr>
          <w:rFonts w:hint="eastAsia" w:ascii="Times New Roman" w:hAnsi="Times New Roman" w:cs="Times New Roman"/>
          <w:b/>
          <w:bCs/>
          <w:snapToGrid/>
          <w:kern w:val="22"/>
          <w:sz w:val="22"/>
          <w:szCs w:val="22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b/>
          <w:bCs/>
          <w:snapToGrid/>
          <w:kern w:val="22"/>
          <w:sz w:val="22"/>
          <w:szCs w:val="22"/>
          <w:lang w:val="en-US" w:eastAsia="zh-CN" w:bidi="ar"/>
        </w:rPr>
        <w:t xml:space="preserve"> to Attenuate Osteoarthritis Progression</w:t>
      </w:r>
    </w:p>
    <w:p w14:paraId="3827967D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bookmarkStart w:id="1" w:name="_Hlk210832117"/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Song Xue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1,2</w:t>
      </w:r>
      <w:r>
        <w:rPr>
          <w:rFonts w:hint="eastAsia" w:ascii="Times New Roman" w:hAnsi="Times New Roman" w:eastAsia="宋体" w:cs="宋体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†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Peng Zhang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1,</w:t>
      </w:r>
      <w:r>
        <w:rPr>
          <w:rFonts w:hint="eastAsia" w:ascii="Times New Roman" w:hAnsi="Times New Roman" w:eastAsia="宋体" w:cs="宋体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†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Yuxiang Ren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1,</w:t>
      </w:r>
      <w:r>
        <w:rPr>
          <w:rFonts w:hint="eastAsia" w:ascii="Times New Roman" w:hAnsi="Times New Roman" w:eastAsia="宋体" w:cs="宋体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†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Canfeng Li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Shiqian Huang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Rui Cheng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color w:val="231F20"/>
          <w:kern w:val="2"/>
          <w:sz w:val="21"/>
          <w:szCs w:val="21"/>
          <w:lang w:val="en-US" w:eastAsia="zh-CN" w:bidi="ar"/>
        </w:rPr>
        <w:t>Yue Xu</w:t>
      </w:r>
      <w:r>
        <w:rPr>
          <w:rFonts w:hint="default" w:ascii="Times New Roman" w:hAnsi="Times New Roman" w:eastAsia="宋体" w:cs="Times New Roman"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color w:val="231F20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Hongxin Zhuo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Hongmao Cai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Xin Li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Xinyu Zhao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Xiaocheng Jiang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Ru Feng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Jianwei Zuo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Bo Zhu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Shaowei Zheng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Peng Chen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instrText xml:space="preserve"> HYPERLINK "https://pubmed.ncbi.nlm.nih.gov/?sort=date&amp;term=Di-Silvio+L&amp;cauthor_id=41495974" </w:instrTex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color w:val="231F20"/>
          <w:sz w:val="21"/>
          <w:szCs w:val="21"/>
          <w:u w:val="none"/>
          <w:lang w:val="en-US" w:bidi="ar"/>
        </w:rPr>
        <w:t>Lucy Di Silvio</w: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3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, Yan Xu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6-8,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*, Tianyu Chen</w:t>
      </w:r>
      <w:bookmarkStart w:id="2" w:name="OLE_LINK105"/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9,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*</w:t>
      </w:r>
      <w:bookmarkEnd w:id="2"/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Calibri"/>
          <w:snapToGrid/>
          <w:color w:val="231F20"/>
          <w:kern w:val="2"/>
          <w:sz w:val="21"/>
          <w:szCs w:val="21"/>
          <w:lang w:val="en-US" w:eastAsia="zh-CN" w:bidi="ar"/>
        </w:rPr>
        <w:t>Xintao Zhang</w:t>
      </w:r>
      <w:r>
        <w:rPr>
          <w:rFonts w:hint="default" w:ascii="Times New Roman" w:hAnsi="Times New Roman" w:eastAsia="宋体" w:cs="Calibri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*</w:t>
      </w:r>
    </w:p>
    <w:p w14:paraId="60D3264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 Department of Sports Medicine and Rehabilitation, Peking University Shenzhen Hospital, Shenzhen Peking University-The Hong Kong University of Science and Technology Medical Center, Shenzhen, China.</w:t>
      </w:r>
    </w:p>
    <w:p w14:paraId="3E9B226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 Clinical Research Centre, Zhujiang Hospital, Southern Medical University, Guangzhou, China.</w:t>
      </w:r>
    </w:p>
    <w:p w14:paraId="3716458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 xml:space="preserve">3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Center for Oral, Clinical and Translational Sciences, Faculty of Dentistry, Oral &amp; Craniofacial Sciences, King's College London, London, UK.</w:t>
      </w:r>
    </w:p>
    <w:p w14:paraId="7781A2F1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4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 </w:t>
      </w:r>
      <w:bookmarkEnd w:id="1"/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Department of Sports Medicine and Rehabilitation, Shenzhen Xinhua Hospital, Peking University Shenzhen Hospital, Shenzhen, China.</w:t>
      </w:r>
    </w:p>
    <w:p w14:paraId="7CFE9E1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5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 Department of Spinal and Neural Functional Reconstruction, China Rehabilitation Research Center, Capital Medical University, Beijing, China. </w:t>
      </w:r>
    </w:p>
    <w:p w14:paraId="1D4D3064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 xml:space="preserve">6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Department of Sports Medicine, Peking University Third Hospital, Institute of Sports Medicine of Peking University, Beijing, China.</w:t>
      </w:r>
    </w:p>
    <w:p w14:paraId="7C5C8C7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 xml:space="preserve">7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Beijing Key Laboratory of Research and Translation for Drugs and Medical Devices in Precision Diagnosis and Treatment of Sports Injuries, Beijing, China.</w:t>
      </w:r>
    </w:p>
    <w:p w14:paraId="4453E7C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 xml:space="preserve">8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Engineering Research Center of Sports Trauma Treatment Technology and Devices, Ministry of Education, Beijing, China.</w:t>
      </w:r>
    </w:p>
    <w:p w14:paraId="6F011C05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color w:val="231F20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 xml:space="preserve">9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 xml:space="preserve">Department of Orthopedics, The Third Affiliated Hospital of Southern Medical University, Guangzhou, China. </w:t>
      </w:r>
    </w:p>
    <w:p w14:paraId="31F11E99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Times New Roman"/>
          <w:sz w:val="21"/>
          <w:szCs w:val="21"/>
          <w:lang w:val="en-US" w:bidi="ar"/>
        </w:rPr>
      </w:pP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*</w:t>
      </w:r>
      <w:r>
        <w:rPr>
          <w:rFonts w:hint="default" w:ascii="Times New Roman" w:hAnsi="Times New Roman" w:eastAsia="宋体" w:cs="Calibri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t>Corresponding authors</w:t>
      </w:r>
    </w:p>
    <w:p w14:paraId="677C424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t xml:space="preserve">E-mail addresses: </w: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instrText xml:space="preserve"> HYPERLINK "mailto:zhangxintao@sina.com" </w:instrTex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cs="Times New Roman"/>
          <w:color w:val="auto"/>
          <w:sz w:val="21"/>
          <w:szCs w:val="21"/>
          <w:u w:val="none"/>
          <w:lang w:val="en-US" w:bidi="ar"/>
        </w:rPr>
        <w:t>zhangxintao@sina.com</w: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t xml:space="preserve"> (Zhang XT);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nysycty@163.com (Chen TY)</w: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snapToGrid/>
          <w:color w:val="231F20"/>
          <w:kern w:val="2"/>
          <w:sz w:val="21"/>
          <w:szCs w:val="21"/>
          <w:lang w:val="en-US" w:eastAsia="zh-CN" w:bidi="ar"/>
        </w:rPr>
        <w:t>yanxu@139.com (Xu Y)</w:t>
      </w:r>
      <w:r>
        <w:rPr>
          <w:rFonts w:hint="default" w:ascii="Calibri" w:hAnsi="Calibri" w:eastAsia="宋体" w:cs="Times New Roman"/>
          <w:snapToGrid/>
          <w:kern w:val="2"/>
          <w:sz w:val="21"/>
          <w:szCs w:val="21"/>
          <w:lang w:val="en-US" w:eastAsia="zh-CN" w:bidi="ar"/>
        </w:rPr>
        <w:t xml:space="preserve">   </w:t>
      </w:r>
    </w:p>
    <w:p w14:paraId="6D6CA8E7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48" w:afterLines="20" w:afterAutospacing="0" w:line="360" w:lineRule="auto"/>
        <w:ind w:left="0" w:right="0"/>
        <w:jc w:val="both"/>
        <w:rPr>
          <w:rFonts w:hint="default" w:ascii="Times New Roman" w:hAnsi="Times New Roman" w:cs="Calibri"/>
          <w:sz w:val="21"/>
          <w:szCs w:val="21"/>
          <w:vertAlign w:val="superscript"/>
          <w:lang w:val="en-US" w:bidi="ar"/>
        </w:rPr>
      </w:pPr>
      <w:r>
        <w:rPr>
          <w:rFonts w:hint="eastAsia" w:ascii="Times New Roman" w:hAnsi="Times New Roman" w:eastAsia="宋体" w:cs="宋体"/>
          <w:snapToGrid/>
          <w:color w:val="231F20"/>
          <w:kern w:val="2"/>
          <w:sz w:val="21"/>
          <w:szCs w:val="21"/>
          <w:vertAlign w:val="superscript"/>
          <w:lang w:val="en-US" w:eastAsia="zh-CN" w:bidi="ar"/>
        </w:rPr>
        <w:t>†</w:t>
      </w:r>
      <w:r>
        <w:rPr>
          <w:rFonts w:hint="default" w:ascii="Times New Roman" w:hAnsi="Times New Roman" w:eastAsia="宋体" w:cs="Times New Roman"/>
          <w:snapToGrid/>
          <w:kern w:val="2"/>
          <w:sz w:val="21"/>
          <w:szCs w:val="21"/>
          <w:lang w:val="en-US" w:eastAsia="zh-CN" w:bidi="ar"/>
        </w:rPr>
        <w:t xml:space="preserve"> These authors contributed equally</w:t>
      </w:r>
    </w:p>
    <w:p w14:paraId="151CCFFF">
      <w:pPr>
        <w:spacing w:line="360" w:lineRule="auto"/>
        <w:jc w:val="both"/>
        <w:rPr>
          <w:rFonts w:hint="default" w:ascii="Times New Roman" w:hAnsi="Times New Roman" w:eastAsia="宋体" w:cs="Times New Roman"/>
          <w:color w:val="231F20"/>
          <w:sz w:val="21"/>
          <w:szCs w:val="21"/>
          <w:vertAlign w:val="superscript"/>
          <w:lang w:val="en-US" w:eastAsia="zh-CN" w:bidi="ar"/>
        </w:rPr>
      </w:pPr>
    </w:p>
    <w:p w14:paraId="07E6C935">
      <w:pPr>
        <w:widowControl/>
        <w:spacing w:after="0" w:line="240" w:lineRule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page"/>
      </w:r>
    </w:p>
    <w:p w14:paraId="43F0E0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drawing>
          <wp:inline distT="0" distB="0" distL="114300" distR="114300">
            <wp:extent cx="5271135" cy="2974340"/>
            <wp:effectExtent l="0" t="0" r="5715" b="6985"/>
            <wp:docPr id="1" name="图片 1" descr="1787648762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8764876297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70C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t xml:space="preserve">Figure S1. 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A) The schematic diagram for the hybridizable tDONs linked with SOX9 plasmid. Specifically, the streptavidin-decorated tDON-WA react with the biotin-modified SOX9 plasmid via mixed incubation at neutral pH environment and room temperature. B) The diameters detection of different tDON-based nanodevices. C) The stability of DNR in different mediums (left: joint fluid from OA patient; right: weak acid medium) for consecutive 24 h (0, 3, 6, 12, 24 h). </w:t>
      </w:r>
    </w:p>
    <w:p w14:paraId="4943B0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vertAlign w:val="superscript"/>
          <w:lang w:val="en-US" w:eastAsia="zh-CN" w:bidi="ar"/>
        </w:rPr>
      </w:pPr>
    </w:p>
    <w:p w14:paraId="118DD256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drawing>
          <wp:inline distT="0" distB="0" distL="114300" distR="114300">
            <wp:extent cx="3194685" cy="2549525"/>
            <wp:effectExtent l="0" t="0" r="5715" b="3175"/>
            <wp:docPr id="2" name="图片 2" descr="1787648815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876488155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94685" cy="254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73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t xml:space="preserve">Figure S2. 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The fluorescence intensity alterations after different IA injection of tDONs-W and  tDONs for consecutive 7 days. 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0.01 and ***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0.001.</w:t>
      </w:r>
    </w:p>
    <w:p w14:paraId="2FAA94EF">
      <w:pPr>
        <w:spacing w:line="360" w:lineRule="auto"/>
        <w:jc w:val="both"/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drawing>
          <wp:inline distT="0" distB="0" distL="114300" distR="114300">
            <wp:extent cx="5269865" cy="1741170"/>
            <wp:effectExtent l="0" t="0" r="6985" b="1905"/>
            <wp:docPr id="3" name="图片 3" descr="1787648862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876488627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68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t xml:space="preserve">Figure S3. 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Statistical analysis of the positive alcian blue and toluidine blue staining for MSCs after different treatment. ***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0.001. #1: Ctrl；#2: tDONs-WA; #3: tDONs-WAR; #4:tDONs-WAS; #5: DNR.</w:t>
      </w:r>
    </w:p>
    <w:p w14:paraId="4F4A61A0">
      <w:pPr>
        <w:spacing w:line="360" w:lineRule="auto"/>
        <w:jc w:val="both"/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</w:pPr>
    </w:p>
    <w:p w14:paraId="440D8CC2">
      <w:pPr>
        <w:spacing w:line="360" w:lineRule="auto"/>
        <w:jc w:val="center"/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drawing>
          <wp:inline distT="0" distB="0" distL="114300" distR="114300">
            <wp:extent cx="5267325" cy="2143125"/>
            <wp:effectExtent l="0" t="0" r="0" b="0"/>
            <wp:docPr id="4" name="图片 4" descr="178764891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8764891139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AF7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t xml:space="preserve">Figure S4. 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Statistical analysis of the relative intensity of fluorescence of Col II and SOX9 (compared with Ctrl) among different treatment. 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vertAlign w:val="superscript"/>
          <w:lang w:val="en-US" w:eastAsia="zh-CN"/>
        </w:rPr>
        <w:t>ns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＞ 0.05, 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0.05, 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0.01 and ***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0.001. #1: Ctrl；#2: tDONs-WA; #3: tDONs-WAR; #4:tDONs-WAS; #5: DNR.</w:t>
      </w:r>
    </w:p>
    <w:p w14:paraId="679E0A5A">
      <w:pPr>
        <w:spacing w:line="360" w:lineRule="auto"/>
        <w:jc w:val="both"/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drawing>
          <wp:inline distT="0" distB="0" distL="114300" distR="114300">
            <wp:extent cx="5273040" cy="2115185"/>
            <wp:effectExtent l="0" t="0" r="3810" b="8890"/>
            <wp:docPr id="5" name="图片 5" descr="1787648950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876489508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66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t>Figure S5.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Cell viability analysis for MSCs after different treatment. 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0.05, 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0.01 and ***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0.001.</w:t>
      </w:r>
    </w:p>
    <w:p w14:paraId="4B921B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</w:pPr>
    </w:p>
    <w:p w14:paraId="3F9B595E">
      <w:pPr>
        <w:spacing w:line="360" w:lineRule="auto"/>
        <w:jc w:val="both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drawing>
          <wp:inline distT="0" distB="0" distL="114300" distR="114300">
            <wp:extent cx="5271135" cy="2350770"/>
            <wp:effectExtent l="0" t="0" r="5715" b="1905"/>
            <wp:docPr id="6" name="图片 6" descr="1787649834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8764983485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69744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eastAsia="zh-CN"/>
        </w:rPr>
      </w:pPr>
      <w:r>
        <w:rPr>
          <w:rFonts w:hint="eastAsia" w:ascii="Times New Roman" w:hAnsi="Times New Roman" w:cs="Times New Roman"/>
          <w:b/>
          <w:bCs/>
          <w:kern w:val="22"/>
          <w:sz w:val="21"/>
          <w:szCs w:val="21"/>
          <w:lang w:val="en-US" w:eastAsia="zh-CN"/>
        </w:rPr>
        <w:t>Figure S6.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eastAsia="zh-CN"/>
        </w:rPr>
        <w:t>Migratory capacity of MSCs after treated with different DNA nanodevices via transwell assay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(A) and statistical analysis of the positive cell number among these groups (B)</w:t>
      </w:r>
      <w:r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eastAsia="zh-CN"/>
        </w:rPr>
        <w:t xml:space="preserve">Scale bar, 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kern w:val="22"/>
          <w:sz w:val="21"/>
          <w:szCs w:val="21"/>
          <w:lang w:eastAsia="zh-CN"/>
        </w:rPr>
        <w:t xml:space="preserve">00 μm. 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0.05, and *** </w:t>
      </w:r>
      <w:r>
        <w:rPr>
          <w:rFonts w:hint="eastAsia" w:ascii="Times New Roman" w:hAnsi="Times New Roman" w:cs="Times New Roman"/>
          <w:b w:val="0"/>
          <w:bCs w:val="0"/>
          <w:i/>
          <w:iCs/>
          <w:kern w:val="22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b w:val="0"/>
          <w:bCs w:val="0"/>
          <w:kern w:val="22"/>
          <w:sz w:val="21"/>
          <w:szCs w:val="21"/>
          <w:lang w:val="en-US" w:eastAsia="zh-CN"/>
        </w:rPr>
        <w:t xml:space="preserve"> &lt; 0.001.</w:t>
      </w:r>
    </w:p>
    <w:p w14:paraId="0CDB8C9A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67BC7"/>
    <w:rsid w:val="06E91624"/>
    <w:rsid w:val="08EE77B6"/>
    <w:rsid w:val="0A7D421F"/>
    <w:rsid w:val="0B3864F3"/>
    <w:rsid w:val="0F892B17"/>
    <w:rsid w:val="11093979"/>
    <w:rsid w:val="12110B1B"/>
    <w:rsid w:val="142C45C0"/>
    <w:rsid w:val="146C32F1"/>
    <w:rsid w:val="1B2B20C9"/>
    <w:rsid w:val="1B523AD9"/>
    <w:rsid w:val="1C0C5403"/>
    <w:rsid w:val="223F5380"/>
    <w:rsid w:val="30AB758A"/>
    <w:rsid w:val="3B6F69EF"/>
    <w:rsid w:val="3BA47D82"/>
    <w:rsid w:val="3BB04F7E"/>
    <w:rsid w:val="3F5E4B9D"/>
    <w:rsid w:val="44AF39C5"/>
    <w:rsid w:val="44F00B6E"/>
    <w:rsid w:val="45800144"/>
    <w:rsid w:val="481E15EB"/>
    <w:rsid w:val="49080365"/>
    <w:rsid w:val="54965495"/>
    <w:rsid w:val="54D401F6"/>
    <w:rsid w:val="56233859"/>
    <w:rsid w:val="5A9626F2"/>
    <w:rsid w:val="5BA504AD"/>
    <w:rsid w:val="5F3C7CDA"/>
    <w:rsid w:val="60886947"/>
    <w:rsid w:val="61292BC6"/>
    <w:rsid w:val="63531638"/>
    <w:rsid w:val="6443420F"/>
    <w:rsid w:val="6A6C4DDA"/>
    <w:rsid w:val="6D0917B6"/>
    <w:rsid w:val="6F3F4AD6"/>
    <w:rsid w:val="70D87ACD"/>
    <w:rsid w:val="73C67BC7"/>
    <w:rsid w:val="75527F54"/>
    <w:rsid w:val="75F96FD3"/>
    <w:rsid w:val="78571624"/>
    <w:rsid w:val="7A6C43BD"/>
    <w:rsid w:val="7B007056"/>
    <w:rsid w:val="7CF159D9"/>
    <w:rsid w:val="7E65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unhideWhenUsed/>
    <w:qFormat/>
    <w:uiPriority w:val="39"/>
  </w:style>
  <w:style w:type="paragraph" w:styleId="4">
    <w:name w:val="toc 2"/>
    <w:basedOn w:val="1"/>
    <w:next w:val="1"/>
    <w:unhideWhenUsed/>
    <w:qFormat/>
    <w:uiPriority w:val="39"/>
    <w:pPr>
      <w:ind w:left="420" w:leftChars="200"/>
    </w:p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outlineLvl w:val="9"/>
    </w:pPr>
    <w:rPr>
      <w:rFonts w:asciiTheme="majorHAnsi" w:hAnsiTheme="majorHAnsi" w:eastAsiaTheme="majorEastAsia"/>
      <w:b w:val="0"/>
      <w:color w:val="2E54A1" w:themeColor="accent1" w:themeShade="BF"/>
      <w:kern w:val="0"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485</Words>
  <Characters>2766</Characters>
  <Lines>0</Lines>
  <Paragraphs>0</Paragraphs>
  <TotalTime>0</TotalTime>
  <ScaleCrop>false</ScaleCrop>
  <LinksUpToDate>false</LinksUpToDate>
  <CharactersWithSpaces>3230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2025-12-06T03:34:00Z</dcterms:created>
  <dc:creator>xuesong</dc:creator>
  <cp:lastModifiedBy>xuesong</cp:lastModifiedBy>
  <dcterms:modified xsi:type="dcterms:W3CDTF">2026-09-02T08:04:48Z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BC0901EA7F96424B8760138B9F06A488_11</vt:lpwstr>
  </property>
  <property fmtid="{D5CDD505-2E9C-101B-9397-08002B2CF9AE}" pid="4" name="KSOTemplateDocerSaveRecord">
    <vt:lpwstr>eyJoZGlkIjoiZmYyYzE1MjBlMjc4MGIyYTc5MmYzNWM1NDdjNWZhMzEiLCJ1c2VySWQiOiIzMzI2ODcyNzcifQ==</vt:lpwstr>
  </property>
</Properties>
</file>