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1C00D" w14:textId="77777777" w:rsidR="005A4358" w:rsidRPr="00D87579" w:rsidRDefault="005A4358" w:rsidP="005A4358">
      <w:pPr>
        <w:spacing w:line="480" w:lineRule="auto"/>
        <w:rPr>
          <w:rFonts w:ascii="Times New Roman" w:eastAsia="Yu Mincho" w:hAnsi="Times New Roman" w:cs="Times New Roman"/>
          <w:noProof/>
          <w:sz w:val="24"/>
        </w:rPr>
      </w:pPr>
      <w:r w:rsidRPr="00D87579">
        <w:rPr>
          <w:rFonts w:ascii="Times New Roman" w:eastAsia="Times New Roman" w:hAnsi="Times New Roman" w:cs="Times New Roman"/>
          <w:sz w:val="24"/>
        </w:rPr>
        <w:t>Table 2. Association between depressive symptoms and incident eGFR &lt; 60</w:t>
      </w:r>
    </w:p>
    <w:tbl>
      <w:tblPr>
        <w:tblW w:w="93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80"/>
        <w:gridCol w:w="2780"/>
        <w:gridCol w:w="2780"/>
        <w:gridCol w:w="1020"/>
      </w:tblGrid>
      <w:tr w:rsidR="005A4358" w14:paraId="1F7A2D21" w14:textId="77777777" w:rsidTr="008074F5">
        <w:trPr>
          <w:trHeight w:val="308"/>
        </w:trPr>
        <w:tc>
          <w:tcPr>
            <w:tcW w:w="27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518FC9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7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05DC6C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Depressive symptoms (-)</w:t>
            </w:r>
          </w:p>
        </w:tc>
        <w:tc>
          <w:tcPr>
            <w:tcW w:w="27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6033C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Depressive symptoms (+)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16F322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5A4358" w14:paraId="0B80CF6F" w14:textId="77777777" w:rsidTr="008074F5">
        <w:trPr>
          <w:trHeight w:val="308"/>
        </w:trPr>
        <w:tc>
          <w:tcPr>
            <w:tcW w:w="2780" w:type="dxa"/>
            <w:noWrap/>
            <w:vAlign w:val="bottom"/>
            <w:hideMark/>
          </w:tcPr>
          <w:p w14:paraId="2D22134C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Incident eGFR &lt; 60</w:t>
            </w:r>
          </w:p>
        </w:tc>
        <w:tc>
          <w:tcPr>
            <w:tcW w:w="27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F4B08F4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864 / 15 587 (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14:ligatures w14:val="none"/>
              </w:rPr>
              <w:t>5.5</w:t>
            </w: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278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CA330E9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288 / 4 997 (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14:ligatures w14:val="none"/>
              </w:rPr>
              <w:t>5.8</w:t>
            </w: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020" w:type="dxa"/>
            <w:noWrap/>
            <w:vAlign w:val="center"/>
            <w:hideMark/>
          </w:tcPr>
          <w:p w14:paraId="2B98444C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5A4358" w14:paraId="1EDB48F3" w14:textId="77777777" w:rsidTr="008074F5">
        <w:trPr>
          <w:trHeight w:val="315"/>
        </w:trPr>
        <w:tc>
          <w:tcPr>
            <w:tcW w:w="2780" w:type="dxa"/>
            <w:noWrap/>
            <w:vAlign w:val="bottom"/>
            <w:hideMark/>
          </w:tcPr>
          <w:p w14:paraId="67A29529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Cases / No. subjects (%)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413CCE" w14:textId="77777777" w:rsidR="005A4358" w:rsidRPr="00D87579" w:rsidRDefault="005A4358" w:rsidP="008074F5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C68ECA" w14:textId="77777777" w:rsidR="005A4358" w:rsidRPr="00D87579" w:rsidRDefault="005A4358" w:rsidP="008074F5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60C10F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5A4358" w14:paraId="05EEA338" w14:textId="77777777" w:rsidTr="008074F5">
        <w:trPr>
          <w:trHeight w:val="300"/>
        </w:trPr>
        <w:tc>
          <w:tcPr>
            <w:tcW w:w="27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D8A465A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Model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B9CDC1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171D89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OR</w:t>
            </w: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(95% CI)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D4E1FE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-</w:t>
            </w: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value</w:t>
            </w:r>
          </w:p>
        </w:tc>
      </w:tr>
      <w:tr w:rsidR="005A4358" w14:paraId="5BF65FB7" w14:textId="77777777" w:rsidTr="008074F5">
        <w:trPr>
          <w:trHeight w:val="308"/>
        </w:trPr>
        <w:tc>
          <w:tcPr>
            <w:tcW w:w="2780" w:type="dxa"/>
            <w:noWrap/>
            <w:vAlign w:val="bottom"/>
            <w:hideMark/>
          </w:tcPr>
          <w:p w14:paraId="2EF85BEF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 xml:space="preserve">Crude </w:t>
            </w:r>
          </w:p>
        </w:tc>
        <w:tc>
          <w:tcPr>
            <w:tcW w:w="2780" w:type="dxa"/>
            <w:noWrap/>
            <w:vAlign w:val="center"/>
            <w:hideMark/>
          </w:tcPr>
          <w:p w14:paraId="08EBA955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Ref. (1.00)</w:t>
            </w:r>
          </w:p>
        </w:tc>
        <w:tc>
          <w:tcPr>
            <w:tcW w:w="2780" w:type="dxa"/>
            <w:shd w:val="clear" w:color="auto" w:fill="FFFFFF"/>
            <w:noWrap/>
            <w:vAlign w:val="bottom"/>
            <w:hideMark/>
          </w:tcPr>
          <w:p w14:paraId="53CBDC9F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1.04 (0.91–1.20)</w:t>
            </w:r>
          </w:p>
        </w:tc>
        <w:tc>
          <w:tcPr>
            <w:tcW w:w="1020" w:type="dxa"/>
            <w:noWrap/>
            <w:vAlign w:val="center"/>
            <w:hideMark/>
          </w:tcPr>
          <w:p w14:paraId="4EDBA92F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0.56</w:t>
            </w:r>
          </w:p>
        </w:tc>
      </w:tr>
      <w:tr w:rsidR="005A4358" w14:paraId="51F32848" w14:textId="77777777" w:rsidTr="008074F5">
        <w:trPr>
          <w:trHeight w:val="308"/>
        </w:trPr>
        <w:tc>
          <w:tcPr>
            <w:tcW w:w="2780" w:type="dxa"/>
            <w:noWrap/>
            <w:vAlign w:val="bottom"/>
            <w:hideMark/>
          </w:tcPr>
          <w:p w14:paraId="15C2E20C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Model 1</w:t>
            </w:r>
          </w:p>
        </w:tc>
        <w:tc>
          <w:tcPr>
            <w:tcW w:w="2780" w:type="dxa"/>
            <w:noWrap/>
            <w:vAlign w:val="center"/>
            <w:hideMark/>
          </w:tcPr>
          <w:p w14:paraId="7066B5C8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Ref. (1.00)</w:t>
            </w:r>
          </w:p>
        </w:tc>
        <w:tc>
          <w:tcPr>
            <w:tcW w:w="2780" w:type="dxa"/>
            <w:shd w:val="clear" w:color="auto" w:fill="FFFFFF"/>
            <w:noWrap/>
            <w:vAlign w:val="bottom"/>
            <w:hideMark/>
          </w:tcPr>
          <w:p w14:paraId="2F58A82D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1.32 (1.13–1.53)</w:t>
            </w:r>
          </w:p>
        </w:tc>
        <w:tc>
          <w:tcPr>
            <w:tcW w:w="1020" w:type="dxa"/>
            <w:noWrap/>
            <w:vAlign w:val="center"/>
            <w:hideMark/>
          </w:tcPr>
          <w:p w14:paraId="77389D30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&lt;0.001</w:t>
            </w:r>
          </w:p>
        </w:tc>
      </w:tr>
      <w:tr w:rsidR="005A4358" w14:paraId="7A022945" w14:textId="77777777" w:rsidTr="008074F5">
        <w:trPr>
          <w:trHeight w:val="308"/>
        </w:trPr>
        <w:tc>
          <w:tcPr>
            <w:tcW w:w="2780" w:type="dxa"/>
            <w:noWrap/>
            <w:vAlign w:val="bottom"/>
            <w:hideMark/>
          </w:tcPr>
          <w:p w14:paraId="785D3715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Model 2</w:t>
            </w:r>
          </w:p>
        </w:tc>
        <w:tc>
          <w:tcPr>
            <w:tcW w:w="2780" w:type="dxa"/>
            <w:noWrap/>
            <w:vAlign w:val="center"/>
            <w:hideMark/>
          </w:tcPr>
          <w:p w14:paraId="2B17142C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Ref. (1.00)</w:t>
            </w:r>
          </w:p>
        </w:tc>
        <w:tc>
          <w:tcPr>
            <w:tcW w:w="2780" w:type="dxa"/>
            <w:shd w:val="clear" w:color="auto" w:fill="FFFFFF"/>
            <w:noWrap/>
            <w:vAlign w:val="bottom"/>
            <w:hideMark/>
          </w:tcPr>
          <w:p w14:paraId="2F6D930F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1.28 (1.10–1.49)</w:t>
            </w:r>
          </w:p>
        </w:tc>
        <w:tc>
          <w:tcPr>
            <w:tcW w:w="1020" w:type="dxa"/>
            <w:noWrap/>
            <w:vAlign w:val="center"/>
            <w:hideMark/>
          </w:tcPr>
          <w:p w14:paraId="19AF6D56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0.001</w:t>
            </w:r>
          </w:p>
        </w:tc>
      </w:tr>
      <w:tr w:rsidR="005A4358" w14:paraId="4122C865" w14:textId="77777777" w:rsidTr="008074F5">
        <w:trPr>
          <w:trHeight w:val="308"/>
        </w:trPr>
        <w:tc>
          <w:tcPr>
            <w:tcW w:w="2780" w:type="dxa"/>
            <w:noWrap/>
            <w:vAlign w:val="bottom"/>
            <w:hideMark/>
          </w:tcPr>
          <w:p w14:paraId="3FF642A3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Model 3</w:t>
            </w:r>
          </w:p>
        </w:tc>
        <w:tc>
          <w:tcPr>
            <w:tcW w:w="2780" w:type="dxa"/>
            <w:noWrap/>
            <w:vAlign w:val="center"/>
            <w:hideMark/>
          </w:tcPr>
          <w:p w14:paraId="656749BE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Ref. (1.00)</w:t>
            </w:r>
          </w:p>
        </w:tc>
        <w:tc>
          <w:tcPr>
            <w:tcW w:w="2780" w:type="dxa"/>
            <w:shd w:val="clear" w:color="auto" w:fill="FFFFFF"/>
            <w:noWrap/>
            <w:vAlign w:val="bottom"/>
            <w:hideMark/>
          </w:tcPr>
          <w:p w14:paraId="4684F8C2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1.27 (1.09–1.48)</w:t>
            </w:r>
          </w:p>
        </w:tc>
        <w:tc>
          <w:tcPr>
            <w:tcW w:w="1020" w:type="dxa"/>
            <w:noWrap/>
            <w:vAlign w:val="center"/>
            <w:hideMark/>
          </w:tcPr>
          <w:p w14:paraId="7647F22E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0.002</w:t>
            </w:r>
          </w:p>
        </w:tc>
      </w:tr>
      <w:tr w:rsidR="005A4358" w14:paraId="09617290" w14:textId="77777777" w:rsidTr="008074F5">
        <w:trPr>
          <w:trHeight w:val="308"/>
        </w:trPr>
        <w:tc>
          <w:tcPr>
            <w:tcW w:w="27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E6EA3EE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Model 4</w:t>
            </w:r>
          </w:p>
        </w:tc>
        <w:tc>
          <w:tcPr>
            <w:tcW w:w="278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93C81D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Ref. (1.00)</w:t>
            </w:r>
          </w:p>
        </w:tc>
        <w:tc>
          <w:tcPr>
            <w:tcW w:w="2780" w:type="dxa"/>
            <w:tcBorders>
              <w:bottom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70D4AE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1.26 (1.08–1.47)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9BF060" w14:textId="77777777" w:rsidR="005A4358" w:rsidRPr="00D87579" w:rsidRDefault="005A4358" w:rsidP="008074F5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87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0.003</w:t>
            </w:r>
          </w:p>
        </w:tc>
      </w:tr>
    </w:tbl>
    <w:p w14:paraId="7A74B010" w14:textId="77777777" w:rsidR="005A4358" w:rsidRPr="00D87579" w:rsidRDefault="005A4358" w:rsidP="005A4358">
      <w:pPr>
        <w:spacing w:line="480" w:lineRule="auto"/>
        <w:rPr>
          <w:rFonts w:ascii="Times New Roman" w:hAnsi="Times New Roman" w:cs="Times New Roman"/>
          <w:noProof/>
          <w:sz w:val="24"/>
        </w:rPr>
      </w:pPr>
      <w:r w:rsidRPr="00D87579">
        <w:rPr>
          <w:rFonts w:ascii="Times New Roman" w:eastAsia="Times New Roman" w:hAnsi="Times New Roman" w:cs="Times New Roman"/>
          <w:sz w:val="24"/>
        </w:rPr>
        <w:t>Model 1: Adjusted for age, sex, and baseline eGFR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Pr="00D87579">
        <w:rPr>
          <w:rFonts w:ascii="Times New Roman" w:eastAsia="Times New Roman" w:hAnsi="Times New Roman" w:cs="Times New Roman"/>
          <w:sz w:val="24"/>
        </w:rPr>
        <w:t>Model 2: Model 1 + socioeconomic factors (marital status, living alone, employment status, and educational attainment)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Pr="00D87579">
        <w:rPr>
          <w:rFonts w:ascii="Times New Roman" w:eastAsia="Times New Roman" w:hAnsi="Times New Roman" w:cs="Times New Roman"/>
          <w:sz w:val="24"/>
        </w:rPr>
        <w:t>Model 3: Model 2 + lifestyle factors (smoking status, alcohol consumption, and leisure-time physical activity)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Pr="00D87579">
        <w:rPr>
          <w:rFonts w:ascii="Times New Roman" w:eastAsia="Times New Roman" w:hAnsi="Times New Roman" w:cs="Times New Roman"/>
          <w:sz w:val="24"/>
        </w:rPr>
        <w:t>Model 4: Model 3 + comorbidities and clinical factors (hypertension, diabetes mellitus, dyslipidemia, cardiovascular disease, hypothyroidism, periodontal disease, body mass index</w:t>
      </w:r>
      <w:r>
        <w:rPr>
          <w:rFonts w:ascii="Times New Roman" w:eastAsia="Times New Roman" w:hAnsi="Times New Roman" w:cs="Times New Roman"/>
          <w:sz w:val="24"/>
        </w:rPr>
        <w:t>,</w:t>
      </w:r>
      <w:r w:rsidRPr="00D87579">
        <w:rPr>
          <w:rFonts w:ascii="Times New Roman" w:eastAsia="Times New Roman" w:hAnsi="Times New Roman" w:cs="Times New Roman"/>
          <w:sz w:val="24"/>
        </w:rPr>
        <w:t xml:space="preserve"> and hemoglobin)</w:t>
      </w:r>
      <w:r>
        <w:rPr>
          <w:rFonts w:ascii="Times New Roman" w:eastAsia="Times New Roman" w:hAnsi="Times New Roman" w:cs="Times New Roman"/>
          <w:sz w:val="24"/>
        </w:rPr>
        <w:t>. CI, confidence interval; eGFR, e</w:t>
      </w:r>
      <w:r w:rsidRPr="003B59E2">
        <w:rPr>
          <w:rFonts w:ascii="Times New Roman" w:eastAsia="Times New Roman" w:hAnsi="Times New Roman" w:cs="Times New Roman"/>
          <w:sz w:val="24"/>
        </w:rPr>
        <w:t>stimated glomerular filtration rate</w:t>
      </w:r>
      <w:r>
        <w:rPr>
          <w:rFonts w:ascii="Times New Roman" w:eastAsia="Times New Roman" w:hAnsi="Times New Roman" w:cs="Times New Roman"/>
          <w:sz w:val="24"/>
        </w:rPr>
        <w:t>; OR, odds ratio.</w:t>
      </w:r>
    </w:p>
    <w:p w14:paraId="18C071EC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358"/>
    <w:rsid w:val="000C4033"/>
    <w:rsid w:val="00173ED8"/>
    <w:rsid w:val="002F50B1"/>
    <w:rsid w:val="004B42CB"/>
    <w:rsid w:val="005A4358"/>
    <w:rsid w:val="005F2B46"/>
    <w:rsid w:val="006E1731"/>
    <w:rsid w:val="00732FDD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E4295"/>
  <w15:chartTrackingRefBased/>
  <w15:docId w15:val="{6CEBE2CD-0B0F-4DE1-AA0E-93BC43FB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358"/>
    <w:pPr>
      <w:widowControl w:val="0"/>
      <w:spacing w:after="0" w:line="240" w:lineRule="auto"/>
    </w:pPr>
    <w:rPr>
      <w:rFonts w:eastAsiaTheme="minorEastAsia"/>
      <w:sz w:val="21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4358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358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358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358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358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358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358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358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358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358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5A4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358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A4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358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5A4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358"/>
    <w:pPr>
      <w:widowControl/>
      <w:spacing w:after="160" w:line="278" w:lineRule="auto"/>
      <w:ind w:left="720"/>
      <w:contextualSpacing/>
    </w:pPr>
    <w:rPr>
      <w:rFonts w:eastAsiaTheme="minorHAnsi"/>
      <w:sz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5A4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35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3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2026-09-24T13:19:00Z</dcterms:created>
  <dcterms:modified xsi:type="dcterms:W3CDTF">2026-09-24T13:19:00Z</dcterms:modified>
</cp:coreProperties>
</file>