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3DA66E">
      <w:pPr>
        <w:spacing w:before="360" w:after="160"/>
      </w:pPr>
      <w:r>
        <w:rPr>
          <w:rFonts w:ascii="Calibri" w:hAnsi="Calibri"/>
          <w:b/>
          <w:i w:val="0"/>
          <w:color w:val="1F4D78"/>
          <w:sz w:val="48"/>
        </w:rPr>
        <w:t>Combined Supplementary Tables</w:t>
      </w:r>
    </w:p>
    <w:p w14:paraId="20644670">
      <w:pPr>
        <w:spacing w:after="160"/>
      </w:pPr>
      <w:r>
        <w:rPr>
          <w:rFonts w:hint="eastAsia" w:ascii="Calibri" w:hAnsi="Calibri"/>
          <w:b/>
          <w:i w:val="0"/>
          <w:color w:val="222222"/>
          <w:sz w:val="28"/>
        </w:rPr>
        <w:t>Knowledge, Prescribing Practices, and Perceived Barriers Regarding Novel Glucose-Lowering Medications Among Community Physicians: A Cross-Sectional Survey Across 36 Primary Healthcare Institutions in Pudong, Shanghai</w:t>
      </w:r>
    </w:p>
    <w:p w14:paraId="5D026331">
      <w:pPr>
        <w:spacing w:after="320"/>
        <w:rPr>
          <w:rFonts w:hint="eastAsia" w:ascii="Calibri" w:hAnsi="Calibri"/>
          <w:b w:val="0"/>
          <w:i w:val="0"/>
          <w:color w:val="666666"/>
          <w:sz w:val="22"/>
        </w:rPr>
      </w:pPr>
      <w:r>
        <w:rPr>
          <w:rFonts w:hint="eastAsia" w:ascii="Calibri" w:hAnsi="Calibri"/>
          <w:b w:val="0"/>
          <w:i w:val="0"/>
          <w:color w:val="666666"/>
          <w:sz w:val="22"/>
        </w:rPr>
        <w:t>Yanru Liu</w:t>
      </w:r>
      <w:r>
        <w:rPr>
          <w:rFonts w:hint="eastAsia" w:ascii="Calibri" w:hAnsi="Calibri"/>
          <w:b w:val="0"/>
          <w:i w:val="0"/>
          <w:color w:val="666666"/>
          <w:sz w:val="22"/>
          <w:vertAlign w:val="superscript"/>
        </w:rPr>
        <w:t>1</w:t>
      </w:r>
      <w:r>
        <w:rPr>
          <w:rFonts w:hint="eastAsia" w:ascii="Calibri" w:hAnsi="Calibri"/>
          <w:b w:val="0"/>
          <w:i w:val="0"/>
          <w:color w:val="666666"/>
          <w:sz w:val="22"/>
        </w:rPr>
        <w:t>, Xiaolin Liu</w:t>
      </w:r>
      <w:r>
        <w:rPr>
          <w:rFonts w:hint="eastAsia" w:ascii="Calibri" w:hAnsi="Calibri"/>
          <w:b w:val="0"/>
          <w:i w:val="0"/>
          <w:color w:val="666666"/>
          <w:sz w:val="22"/>
          <w:vertAlign w:val="superscript"/>
        </w:rPr>
        <w:t>1</w:t>
      </w:r>
      <w:r>
        <w:rPr>
          <w:rFonts w:hint="eastAsia" w:ascii="Calibri" w:hAnsi="Calibri"/>
          <w:b w:val="0"/>
          <w:i w:val="0"/>
          <w:color w:val="666666"/>
          <w:sz w:val="22"/>
        </w:rPr>
        <w:t>, Peipei Gao</w:t>
      </w:r>
      <w:r>
        <w:rPr>
          <w:rFonts w:hint="eastAsia" w:ascii="Calibri" w:hAnsi="Calibri"/>
          <w:b w:val="0"/>
          <w:i w:val="0"/>
          <w:color w:val="666666"/>
          <w:sz w:val="22"/>
          <w:vertAlign w:val="superscript"/>
        </w:rPr>
        <w:t>1</w:t>
      </w:r>
      <w:r>
        <w:rPr>
          <w:rFonts w:hint="eastAsia" w:ascii="Calibri" w:hAnsi="Calibri"/>
          <w:b w:val="0"/>
          <w:i w:val="0"/>
          <w:color w:val="666666"/>
          <w:sz w:val="22"/>
        </w:rPr>
        <w:t>, Tongtong Zhang</w:t>
      </w:r>
      <w:r>
        <w:rPr>
          <w:rFonts w:hint="eastAsia" w:ascii="Calibri" w:hAnsi="Calibri"/>
          <w:b w:val="0"/>
          <w:i w:val="0"/>
          <w:color w:val="666666"/>
          <w:sz w:val="22"/>
          <w:vertAlign w:val="superscript"/>
        </w:rPr>
        <w:t>1</w:t>
      </w:r>
      <w:r>
        <w:rPr>
          <w:rFonts w:hint="eastAsia" w:ascii="Calibri" w:hAnsi="Calibri"/>
          <w:b w:val="0"/>
          <w:i w:val="0"/>
          <w:color w:val="666666"/>
          <w:sz w:val="22"/>
        </w:rPr>
        <w:t>, Tao Yang</w:t>
      </w:r>
      <w:r>
        <w:rPr>
          <w:rFonts w:hint="eastAsia" w:ascii="Calibri" w:hAnsi="Calibri"/>
          <w:b w:val="0"/>
          <w:i w:val="0"/>
          <w:color w:val="666666"/>
          <w:sz w:val="22"/>
          <w:vertAlign w:val="superscript"/>
        </w:rPr>
        <w:t>1</w:t>
      </w:r>
      <w:r>
        <w:rPr>
          <w:rFonts w:hint="eastAsia" w:ascii="Calibri" w:hAnsi="Calibri"/>
          <w:b w:val="0"/>
          <w:i w:val="0"/>
          <w:color w:val="666666"/>
          <w:sz w:val="22"/>
        </w:rPr>
        <w:t>, Zhe Jiang</w:t>
      </w:r>
      <w:r>
        <w:rPr>
          <w:rFonts w:hint="eastAsia" w:ascii="Calibri" w:hAnsi="Calibri"/>
          <w:b w:val="0"/>
          <w:i w:val="0"/>
          <w:color w:val="666666"/>
          <w:sz w:val="22"/>
          <w:vertAlign w:val="superscript"/>
        </w:rPr>
        <w:t>1</w:t>
      </w:r>
      <w:r>
        <w:rPr>
          <w:rFonts w:hint="eastAsia" w:ascii="Calibri" w:hAnsi="Calibri"/>
          <w:b w:val="0"/>
          <w:i w:val="0"/>
          <w:color w:val="666666"/>
          <w:sz w:val="22"/>
        </w:rPr>
        <w:t>, Bijun Zuo</w:t>
      </w:r>
      <w:r>
        <w:rPr>
          <w:rFonts w:hint="eastAsia" w:ascii="Calibri" w:hAnsi="Calibri"/>
          <w:b w:val="0"/>
          <w:i w:val="0"/>
          <w:color w:val="666666"/>
          <w:sz w:val="22"/>
          <w:vertAlign w:val="superscript"/>
        </w:rPr>
        <w:t>2</w:t>
      </w:r>
      <w:r>
        <w:rPr>
          <w:rFonts w:hint="eastAsia" w:ascii="Calibri" w:hAnsi="Calibri"/>
          <w:b w:val="0"/>
          <w:i w:val="0"/>
          <w:color w:val="666666"/>
          <w:sz w:val="22"/>
        </w:rPr>
        <w:t>, Huiping Lu</w:t>
      </w:r>
      <w:r>
        <w:rPr>
          <w:rFonts w:hint="eastAsia" w:ascii="Calibri" w:hAnsi="Calibri"/>
          <w:b w:val="0"/>
          <w:i w:val="0"/>
          <w:color w:val="666666"/>
          <w:sz w:val="22"/>
          <w:vertAlign w:val="superscript"/>
        </w:rPr>
        <w:t>1</w:t>
      </w:r>
      <w:r>
        <w:rPr>
          <w:rFonts w:hint="eastAsia" w:ascii="Calibri" w:hAnsi="Calibri"/>
          <w:b w:val="0"/>
          <w:i w:val="0"/>
          <w:color w:val="666666"/>
          <w:sz w:val="22"/>
        </w:rPr>
        <w:t>*, Jingru Gong</w:t>
      </w:r>
      <w:r>
        <w:rPr>
          <w:rFonts w:hint="eastAsia" w:ascii="Calibri" w:hAnsi="Calibri"/>
          <w:b w:val="0"/>
          <w:i w:val="0"/>
          <w:color w:val="666666"/>
          <w:sz w:val="22"/>
          <w:vertAlign w:val="superscript"/>
        </w:rPr>
        <w:t>1</w:t>
      </w:r>
      <w:r>
        <w:rPr>
          <w:rFonts w:hint="eastAsia" w:ascii="Calibri" w:hAnsi="Calibri"/>
          <w:b w:val="0"/>
          <w:i w:val="0"/>
          <w:color w:val="666666"/>
          <w:sz w:val="22"/>
        </w:rPr>
        <w:t>*</w:t>
      </w:r>
    </w:p>
    <w:p w14:paraId="5ECDFBC1">
      <w:pPr>
        <w:spacing w:after="320"/>
        <w:rPr>
          <w:rFonts w:ascii="Calibri" w:hAnsi="Calibri"/>
          <w:b w:val="0"/>
          <w:i/>
          <w:color w:val="666666"/>
          <w:sz w:val="20"/>
        </w:rPr>
      </w:pPr>
      <w:r>
        <w:rPr>
          <w:rFonts w:hint="eastAsia" w:eastAsia="宋体"/>
          <w:b w:val="0"/>
          <w:i/>
          <w:color w:val="666666"/>
          <w:sz w:val="20"/>
          <w:vertAlign w:val="superscript"/>
          <w:lang w:val="en-US" w:eastAsia="zh-CN"/>
        </w:rPr>
        <w:t>1</w:t>
      </w:r>
      <w:r>
        <w:rPr>
          <w:rFonts w:ascii="Calibri" w:hAnsi="Calibri"/>
          <w:b w:val="0"/>
          <w:i/>
          <w:color w:val="666666"/>
          <w:sz w:val="20"/>
        </w:rPr>
        <w:t>Department of Pharmacy, Shanghai Pudong Hospital, Fudan University Pudong Medical Center, 201399 Shanghai, China</w:t>
      </w:r>
    </w:p>
    <w:p w14:paraId="01404323">
      <w:pPr>
        <w:spacing w:after="320"/>
        <w:rPr>
          <w:rFonts w:ascii="Calibri" w:hAnsi="Calibri"/>
          <w:b w:val="0"/>
          <w:i/>
          <w:color w:val="666666"/>
          <w:sz w:val="20"/>
        </w:rPr>
      </w:pPr>
      <w:r>
        <w:rPr>
          <w:rFonts w:hint="eastAsia" w:ascii="Calibri" w:hAnsi="Calibri"/>
          <w:b w:val="0"/>
          <w:i/>
          <w:color w:val="666666"/>
          <w:sz w:val="20"/>
          <w:vertAlign w:val="superscript"/>
        </w:rPr>
        <w:t xml:space="preserve">2 </w:t>
      </w:r>
      <w:r>
        <w:rPr>
          <w:rFonts w:hint="eastAsia" w:ascii="Calibri" w:hAnsi="Calibri"/>
          <w:b w:val="0"/>
          <w:i/>
          <w:color w:val="666666"/>
          <w:sz w:val="20"/>
        </w:rPr>
        <w:t>Department of Pharmacy, Pudong New District Nicheng Community Health Service Center, 201399 Shanghai, China</w:t>
      </w:r>
    </w:p>
    <w:tbl>
      <w:tblPr>
        <w:tblStyle w:val="33"/>
        <w:tblW w:w="936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14:paraId="542B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0" w:type="dxa"/>
            <w:shd w:val="clear" w:color="auto" w:fill="F2F4F7"/>
            <w:tcMar>
              <w:top w:w="80" w:type="dxa"/>
              <w:left w:w="120" w:type="dxa"/>
              <w:bottom w:w="80" w:type="dxa"/>
              <w:right w:w="120" w:type="dxa"/>
            </w:tcMar>
            <w:vAlign w:val="center"/>
          </w:tcPr>
          <w:p w14:paraId="575DF950">
            <w:pPr>
              <w:spacing w:before="0" w:after="0" w:line="252" w:lineRule="auto"/>
              <w:jc w:val="left"/>
            </w:pPr>
            <w:r>
              <w:rPr>
                <w:rFonts w:ascii="Calibri" w:hAnsi="Calibri"/>
                <w:b w:val="0"/>
                <w:i w:val="0"/>
                <w:color w:val="222222"/>
                <w:sz w:val="18"/>
              </w:rPr>
              <w:t>This document contains Tables S1-S4. The analysis population comprised 444 community physicians after excluding four questionnaires completed in &lt;3 minutes and ten completed in &gt;1 hour. All percentages use non-missing denominators; the locked core dataset had no missing values.</w:t>
            </w:r>
          </w:p>
        </w:tc>
      </w:tr>
    </w:tbl>
    <w:p w14:paraId="7AFE1B8C">
      <w:pPr>
        <w:spacing w:after="0"/>
      </w:pPr>
    </w:p>
    <w:p w14:paraId="4F2962CE">
      <w:pPr>
        <w:pStyle w:val="3"/>
        <w:pageBreakBefore/>
      </w:pPr>
      <w:r>
        <w:t>Table S1. Knowledge questionnaire and scoring key</w:t>
      </w:r>
    </w:p>
    <w:p w14:paraId="25095C42">
      <w:pPr>
        <w:keepNext/>
      </w:pPr>
      <w:r>
        <w:t>Each item contributed 1 point. Multiple-response items received 1 point only when all correct options and no incorrect options were selected; otherwise they received 0 points. Total score: 0-20.</w:t>
      </w:r>
    </w:p>
    <w:tbl>
      <w:tblPr>
        <w:tblStyle w:val="33"/>
        <w:tblW w:w="936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850"/>
        <w:gridCol w:w="5560"/>
        <w:gridCol w:w="1300"/>
      </w:tblGrid>
      <w:tr w14:paraId="355B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50" w:type="dxa"/>
            <w:shd w:val="clear" w:color="auto" w:fill="E8EEF5"/>
            <w:tcMar>
              <w:top w:w="80" w:type="dxa"/>
              <w:left w:w="120" w:type="dxa"/>
              <w:bottom w:w="80" w:type="dxa"/>
              <w:right w:w="120" w:type="dxa"/>
            </w:tcMar>
            <w:vAlign w:val="center"/>
          </w:tcPr>
          <w:p w14:paraId="33F5DD74">
            <w:pPr>
              <w:spacing w:before="0" w:after="0" w:line="252" w:lineRule="auto"/>
              <w:jc w:val="center"/>
            </w:pPr>
            <w:r>
              <w:rPr>
                <w:rFonts w:ascii="Calibri" w:hAnsi="Calibri"/>
                <w:b/>
                <w:i w:val="0"/>
                <w:color w:val="222222"/>
                <w:sz w:val="16"/>
              </w:rPr>
              <w:t>Item</w:t>
            </w:r>
          </w:p>
        </w:tc>
        <w:tc>
          <w:tcPr>
            <w:tcW w:w="1850" w:type="dxa"/>
            <w:shd w:val="clear" w:color="auto" w:fill="E8EEF5"/>
            <w:tcMar>
              <w:top w:w="80" w:type="dxa"/>
              <w:left w:w="120" w:type="dxa"/>
              <w:bottom w:w="80" w:type="dxa"/>
              <w:right w:w="120" w:type="dxa"/>
            </w:tcMar>
            <w:vAlign w:val="center"/>
          </w:tcPr>
          <w:p w14:paraId="24277EFC">
            <w:pPr>
              <w:spacing w:before="0" w:after="0" w:line="252" w:lineRule="auto"/>
              <w:jc w:val="center"/>
            </w:pPr>
            <w:r>
              <w:rPr>
                <w:rFonts w:ascii="Calibri" w:hAnsi="Calibri"/>
                <w:b/>
                <w:i w:val="0"/>
                <w:color w:val="222222"/>
                <w:sz w:val="16"/>
              </w:rPr>
              <w:t>Domain and type</w:t>
            </w:r>
          </w:p>
        </w:tc>
        <w:tc>
          <w:tcPr>
            <w:tcW w:w="5560" w:type="dxa"/>
            <w:shd w:val="clear" w:color="auto" w:fill="E8EEF5"/>
            <w:tcMar>
              <w:top w:w="80" w:type="dxa"/>
              <w:left w:w="120" w:type="dxa"/>
              <w:bottom w:w="80" w:type="dxa"/>
              <w:right w:w="120" w:type="dxa"/>
            </w:tcMar>
            <w:vAlign w:val="center"/>
          </w:tcPr>
          <w:p w14:paraId="56E204BA">
            <w:pPr>
              <w:spacing w:before="0" w:after="0" w:line="252" w:lineRule="auto"/>
              <w:jc w:val="center"/>
            </w:pPr>
            <w:r>
              <w:rPr>
                <w:rFonts w:ascii="Calibri" w:hAnsi="Calibri"/>
                <w:b/>
                <w:i w:val="0"/>
                <w:color w:val="222222"/>
                <w:sz w:val="16"/>
              </w:rPr>
              <w:t>Question and response options</w:t>
            </w:r>
          </w:p>
        </w:tc>
        <w:tc>
          <w:tcPr>
            <w:tcW w:w="1300" w:type="dxa"/>
            <w:shd w:val="clear" w:color="auto" w:fill="E8EEF5"/>
            <w:tcMar>
              <w:top w:w="80" w:type="dxa"/>
              <w:left w:w="120" w:type="dxa"/>
              <w:bottom w:w="80" w:type="dxa"/>
              <w:right w:w="120" w:type="dxa"/>
            </w:tcMar>
            <w:vAlign w:val="center"/>
          </w:tcPr>
          <w:p w14:paraId="721C5314">
            <w:pPr>
              <w:spacing w:before="0" w:after="0" w:line="252" w:lineRule="auto"/>
              <w:jc w:val="center"/>
            </w:pPr>
            <w:r>
              <w:rPr>
                <w:rFonts w:ascii="Calibri" w:hAnsi="Calibri"/>
                <w:b/>
                <w:i w:val="0"/>
                <w:color w:val="222222"/>
                <w:sz w:val="16"/>
              </w:rPr>
              <w:t>Correct answer</w:t>
            </w:r>
          </w:p>
        </w:tc>
      </w:tr>
      <w:tr w14:paraId="6470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65420511">
            <w:pPr>
              <w:spacing w:before="0" w:after="0" w:line="252" w:lineRule="auto"/>
              <w:jc w:val="center"/>
            </w:pPr>
            <w:r>
              <w:rPr>
                <w:rFonts w:ascii="Calibri" w:hAnsi="Calibri"/>
                <w:b w:val="0"/>
                <w:i w:val="0"/>
                <w:color w:val="222222"/>
                <w:sz w:val="16"/>
              </w:rPr>
              <w:t>1</w:t>
            </w:r>
          </w:p>
        </w:tc>
        <w:tc>
          <w:tcPr>
            <w:tcW w:w="1850" w:type="dxa"/>
            <w:tcMar>
              <w:top w:w="80" w:type="dxa"/>
              <w:left w:w="120" w:type="dxa"/>
              <w:bottom w:w="80" w:type="dxa"/>
              <w:right w:w="120" w:type="dxa"/>
            </w:tcMar>
            <w:vAlign w:val="center"/>
          </w:tcPr>
          <w:p w14:paraId="07B8EA14">
            <w:pPr>
              <w:spacing w:before="0" w:after="0" w:line="252" w:lineRule="auto"/>
              <w:jc w:val="left"/>
            </w:pPr>
            <w:r>
              <w:rPr>
                <w:rFonts w:ascii="Calibri" w:hAnsi="Calibri"/>
                <w:b w:val="0"/>
                <w:i w:val="0"/>
                <w:color w:val="222222"/>
                <w:sz w:val="16"/>
              </w:rPr>
              <w:t>Classification/mechanism; multiple</w:t>
            </w:r>
          </w:p>
        </w:tc>
        <w:tc>
          <w:tcPr>
            <w:tcW w:w="5560" w:type="dxa"/>
            <w:tcMar>
              <w:top w:w="80" w:type="dxa"/>
              <w:left w:w="120" w:type="dxa"/>
              <w:bottom w:w="80" w:type="dxa"/>
              <w:right w:w="120" w:type="dxa"/>
            </w:tcMar>
            <w:vAlign w:val="center"/>
          </w:tcPr>
          <w:p w14:paraId="2B7C53B5">
            <w:pPr>
              <w:spacing w:before="0" w:after="0" w:line="252" w:lineRule="auto"/>
              <w:jc w:val="left"/>
            </w:pPr>
            <w:r>
              <w:rPr>
                <w:rFonts w:ascii="Calibri" w:hAnsi="Calibri"/>
                <w:b w:val="0"/>
                <w:i w:val="0"/>
                <w:color w:val="222222"/>
                <w:sz w:val="16"/>
              </w:rPr>
              <w:t>Which are novel glucose-lowering medications? A metformin; B tirzepatide; C dapagliflozin; D liraglutide</w:t>
            </w:r>
          </w:p>
        </w:tc>
        <w:tc>
          <w:tcPr>
            <w:tcW w:w="1300" w:type="dxa"/>
            <w:tcMar>
              <w:top w:w="80" w:type="dxa"/>
              <w:left w:w="120" w:type="dxa"/>
              <w:bottom w:w="80" w:type="dxa"/>
              <w:right w:w="120" w:type="dxa"/>
            </w:tcMar>
            <w:vAlign w:val="center"/>
          </w:tcPr>
          <w:p w14:paraId="65FEDF5D">
            <w:pPr>
              <w:spacing w:before="0" w:after="0" w:line="252" w:lineRule="auto"/>
              <w:jc w:val="left"/>
            </w:pPr>
            <w:r>
              <w:rPr>
                <w:rFonts w:ascii="Calibri" w:hAnsi="Calibri"/>
                <w:b w:val="0"/>
                <w:i w:val="0"/>
                <w:color w:val="222222"/>
                <w:sz w:val="16"/>
              </w:rPr>
              <w:t>B, C, D</w:t>
            </w:r>
          </w:p>
        </w:tc>
      </w:tr>
      <w:tr w14:paraId="7903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2543C64A">
            <w:pPr>
              <w:spacing w:before="0" w:after="0" w:line="252" w:lineRule="auto"/>
              <w:jc w:val="center"/>
            </w:pPr>
            <w:r>
              <w:rPr>
                <w:rFonts w:ascii="Calibri" w:hAnsi="Calibri"/>
                <w:b w:val="0"/>
                <w:i w:val="0"/>
                <w:color w:val="222222"/>
                <w:sz w:val="16"/>
              </w:rPr>
              <w:t>2</w:t>
            </w:r>
          </w:p>
        </w:tc>
        <w:tc>
          <w:tcPr>
            <w:tcW w:w="1850" w:type="dxa"/>
            <w:tcMar>
              <w:top w:w="80" w:type="dxa"/>
              <w:left w:w="120" w:type="dxa"/>
              <w:bottom w:w="80" w:type="dxa"/>
              <w:right w:w="120" w:type="dxa"/>
            </w:tcMar>
            <w:vAlign w:val="center"/>
          </w:tcPr>
          <w:p w14:paraId="65584240">
            <w:pPr>
              <w:spacing w:before="0" w:after="0" w:line="252" w:lineRule="auto"/>
              <w:jc w:val="left"/>
            </w:pPr>
            <w:r>
              <w:rPr>
                <w:rFonts w:ascii="Calibri" w:hAnsi="Calibri"/>
                <w:b w:val="0"/>
                <w:i w:val="0"/>
                <w:color w:val="222222"/>
                <w:sz w:val="16"/>
              </w:rPr>
              <w:t>Classification/mechanism; single</w:t>
            </w:r>
          </w:p>
        </w:tc>
        <w:tc>
          <w:tcPr>
            <w:tcW w:w="5560" w:type="dxa"/>
            <w:tcMar>
              <w:top w:w="80" w:type="dxa"/>
              <w:left w:w="120" w:type="dxa"/>
              <w:bottom w:w="80" w:type="dxa"/>
              <w:right w:w="120" w:type="dxa"/>
            </w:tcMar>
            <w:vAlign w:val="center"/>
          </w:tcPr>
          <w:p w14:paraId="66E8186D">
            <w:pPr>
              <w:spacing w:before="0" w:after="0" w:line="252" w:lineRule="auto"/>
              <w:jc w:val="left"/>
            </w:pPr>
            <w:r>
              <w:rPr>
                <w:rFonts w:ascii="Calibri" w:hAnsi="Calibri"/>
                <w:b w:val="0"/>
                <w:i w:val="0"/>
                <w:color w:val="222222"/>
                <w:sz w:val="16"/>
              </w:rPr>
              <w:t>Main glucose-lowering mechanism of SGLT2 inhibitors: A insulin secretion; B reduced hepatic glucose production; C reduced proximal tubular glucose reabsorption; D improved insulin resistance</w:t>
            </w:r>
          </w:p>
        </w:tc>
        <w:tc>
          <w:tcPr>
            <w:tcW w:w="1300" w:type="dxa"/>
            <w:tcMar>
              <w:top w:w="80" w:type="dxa"/>
              <w:left w:w="120" w:type="dxa"/>
              <w:bottom w:w="80" w:type="dxa"/>
              <w:right w:w="120" w:type="dxa"/>
            </w:tcMar>
            <w:vAlign w:val="center"/>
          </w:tcPr>
          <w:p w14:paraId="05DA21D3">
            <w:pPr>
              <w:spacing w:before="0" w:after="0" w:line="252" w:lineRule="auto"/>
              <w:jc w:val="left"/>
            </w:pPr>
            <w:r>
              <w:rPr>
                <w:rFonts w:ascii="Calibri" w:hAnsi="Calibri"/>
                <w:b w:val="0"/>
                <w:i w:val="0"/>
                <w:color w:val="222222"/>
                <w:sz w:val="16"/>
              </w:rPr>
              <w:t>C</w:t>
            </w:r>
          </w:p>
        </w:tc>
      </w:tr>
      <w:tr w14:paraId="3F952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59D82F25">
            <w:pPr>
              <w:spacing w:before="0" w:after="0" w:line="252" w:lineRule="auto"/>
              <w:jc w:val="center"/>
            </w:pPr>
            <w:r>
              <w:rPr>
                <w:rFonts w:ascii="Calibri" w:hAnsi="Calibri"/>
                <w:b w:val="0"/>
                <w:i w:val="0"/>
                <w:color w:val="222222"/>
                <w:sz w:val="16"/>
              </w:rPr>
              <w:t>3</w:t>
            </w:r>
          </w:p>
        </w:tc>
        <w:tc>
          <w:tcPr>
            <w:tcW w:w="1850" w:type="dxa"/>
            <w:tcMar>
              <w:top w:w="80" w:type="dxa"/>
              <w:left w:w="120" w:type="dxa"/>
              <w:bottom w:w="80" w:type="dxa"/>
              <w:right w:w="120" w:type="dxa"/>
            </w:tcMar>
            <w:vAlign w:val="center"/>
          </w:tcPr>
          <w:p w14:paraId="0F32EC7A">
            <w:pPr>
              <w:spacing w:before="0" w:after="0" w:line="252" w:lineRule="auto"/>
              <w:jc w:val="left"/>
            </w:pPr>
            <w:r>
              <w:rPr>
                <w:rFonts w:ascii="Calibri" w:hAnsi="Calibri"/>
                <w:b w:val="0"/>
                <w:i w:val="0"/>
                <w:color w:val="222222"/>
                <w:sz w:val="16"/>
              </w:rPr>
              <w:t>Classification/mechanism; single</w:t>
            </w:r>
          </w:p>
        </w:tc>
        <w:tc>
          <w:tcPr>
            <w:tcW w:w="5560" w:type="dxa"/>
            <w:tcMar>
              <w:top w:w="80" w:type="dxa"/>
              <w:left w:w="120" w:type="dxa"/>
              <w:bottom w:w="80" w:type="dxa"/>
              <w:right w:w="120" w:type="dxa"/>
            </w:tcMar>
            <w:vAlign w:val="center"/>
          </w:tcPr>
          <w:p w14:paraId="6D8CBAD0">
            <w:pPr>
              <w:spacing w:before="0" w:after="0" w:line="252" w:lineRule="auto"/>
              <w:jc w:val="left"/>
            </w:pPr>
            <w:r>
              <w:rPr>
                <w:rFonts w:ascii="Calibri" w:hAnsi="Calibri"/>
                <w:b w:val="0"/>
                <w:i w:val="0"/>
                <w:color w:val="222222"/>
                <w:sz w:val="16"/>
              </w:rPr>
              <w:t>Main mechanisms of GLP-1 receptor agonists: A glucose-dependent insulin secretion; B glucagon suppression; C delayed gastric emptying/increased satiety; D all of the above</w:t>
            </w:r>
          </w:p>
        </w:tc>
        <w:tc>
          <w:tcPr>
            <w:tcW w:w="1300" w:type="dxa"/>
            <w:tcMar>
              <w:top w:w="80" w:type="dxa"/>
              <w:left w:w="120" w:type="dxa"/>
              <w:bottom w:w="80" w:type="dxa"/>
              <w:right w:w="120" w:type="dxa"/>
            </w:tcMar>
            <w:vAlign w:val="center"/>
          </w:tcPr>
          <w:p w14:paraId="3A5879F0">
            <w:pPr>
              <w:spacing w:before="0" w:after="0" w:line="252" w:lineRule="auto"/>
              <w:jc w:val="left"/>
            </w:pPr>
            <w:r>
              <w:rPr>
                <w:rFonts w:ascii="Calibri" w:hAnsi="Calibri"/>
                <w:b w:val="0"/>
                <w:i w:val="0"/>
                <w:color w:val="222222"/>
                <w:sz w:val="16"/>
              </w:rPr>
              <w:t>D</w:t>
            </w:r>
          </w:p>
        </w:tc>
      </w:tr>
      <w:tr w14:paraId="11239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4BA9E916">
            <w:pPr>
              <w:spacing w:before="0" w:after="0" w:line="252" w:lineRule="auto"/>
              <w:jc w:val="center"/>
            </w:pPr>
            <w:r>
              <w:rPr>
                <w:rFonts w:ascii="Calibri" w:hAnsi="Calibri"/>
                <w:b w:val="0"/>
                <w:i w:val="0"/>
                <w:color w:val="222222"/>
                <w:sz w:val="16"/>
              </w:rPr>
              <w:t>4</w:t>
            </w:r>
          </w:p>
        </w:tc>
        <w:tc>
          <w:tcPr>
            <w:tcW w:w="1850" w:type="dxa"/>
            <w:tcMar>
              <w:top w:w="80" w:type="dxa"/>
              <w:left w:w="120" w:type="dxa"/>
              <w:bottom w:w="80" w:type="dxa"/>
              <w:right w:w="120" w:type="dxa"/>
            </w:tcMar>
            <w:vAlign w:val="center"/>
          </w:tcPr>
          <w:p w14:paraId="0C4FAD9A">
            <w:pPr>
              <w:spacing w:before="0" w:after="0" w:line="252" w:lineRule="auto"/>
              <w:jc w:val="left"/>
            </w:pPr>
            <w:r>
              <w:rPr>
                <w:rFonts w:ascii="Calibri" w:hAnsi="Calibri"/>
                <w:b w:val="0"/>
                <w:i w:val="0"/>
                <w:color w:val="222222"/>
                <w:sz w:val="16"/>
              </w:rPr>
              <w:t>Clinical application; single</w:t>
            </w:r>
          </w:p>
        </w:tc>
        <w:tc>
          <w:tcPr>
            <w:tcW w:w="5560" w:type="dxa"/>
            <w:tcMar>
              <w:top w:w="80" w:type="dxa"/>
              <w:left w:w="120" w:type="dxa"/>
              <w:bottom w:w="80" w:type="dxa"/>
              <w:right w:w="120" w:type="dxa"/>
            </w:tcMar>
            <w:vAlign w:val="center"/>
          </w:tcPr>
          <w:p w14:paraId="1BDC4D4A">
            <w:pPr>
              <w:spacing w:before="0" w:after="0" w:line="252" w:lineRule="auto"/>
              <w:jc w:val="left"/>
            </w:pPr>
            <w:r>
              <w:rPr>
                <w:rFonts w:ascii="Calibri" w:hAnsi="Calibri"/>
                <w:b w:val="0"/>
                <w:i w:val="0"/>
                <w:color w:val="222222"/>
                <w:sz w:val="16"/>
              </w:rPr>
              <w:t>Drug class with glucose-, blood-pressure-, and urate-lowering effects: A DPP-4 inhibitor; B SGLT2 inhibitor; C GLP-1RA; D insulin</w:t>
            </w:r>
          </w:p>
        </w:tc>
        <w:tc>
          <w:tcPr>
            <w:tcW w:w="1300" w:type="dxa"/>
            <w:tcMar>
              <w:top w:w="80" w:type="dxa"/>
              <w:left w:w="120" w:type="dxa"/>
              <w:bottom w:w="80" w:type="dxa"/>
              <w:right w:w="120" w:type="dxa"/>
            </w:tcMar>
            <w:vAlign w:val="center"/>
          </w:tcPr>
          <w:p w14:paraId="4E290FAA">
            <w:pPr>
              <w:spacing w:before="0" w:after="0" w:line="252" w:lineRule="auto"/>
              <w:jc w:val="left"/>
            </w:pPr>
            <w:r>
              <w:rPr>
                <w:rFonts w:ascii="Calibri" w:hAnsi="Calibri"/>
                <w:b w:val="0"/>
                <w:i w:val="0"/>
                <w:color w:val="222222"/>
                <w:sz w:val="16"/>
              </w:rPr>
              <w:t>B</w:t>
            </w:r>
          </w:p>
        </w:tc>
      </w:tr>
      <w:tr w14:paraId="41E45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1D8AF95D">
            <w:pPr>
              <w:spacing w:before="0" w:after="0" w:line="252" w:lineRule="auto"/>
              <w:jc w:val="center"/>
            </w:pPr>
            <w:r>
              <w:rPr>
                <w:rFonts w:ascii="Calibri" w:hAnsi="Calibri"/>
                <w:b w:val="0"/>
                <w:i w:val="0"/>
                <w:color w:val="222222"/>
                <w:sz w:val="16"/>
              </w:rPr>
              <w:t>5</w:t>
            </w:r>
          </w:p>
        </w:tc>
        <w:tc>
          <w:tcPr>
            <w:tcW w:w="1850" w:type="dxa"/>
            <w:tcMar>
              <w:top w:w="80" w:type="dxa"/>
              <w:left w:w="120" w:type="dxa"/>
              <w:bottom w:w="80" w:type="dxa"/>
              <w:right w:w="120" w:type="dxa"/>
            </w:tcMar>
            <w:vAlign w:val="center"/>
          </w:tcPr>
          <w:p w14:paraId="55B96B0D">
            <w:pPr>
              <w:spacing w:before="0" w:after="0" w:line="252" w:lineRule="auto"/>
              <w:jc w:val="left"/>
            </w:pPr>
            <w:r>
              <w:rPr>
                <w:rFonts w:ascii="Calibri" w:hAnsi="Calibri"/>
                <w:b w:val="0"/>
                <w:i w:val="0"/>
                <w:color w:val="222222"/>
                <w:sz w:val="16"/>
              </w:rPr>
              <w:t>Clinical application; single</w:t>
            </w:r>
          </w:p>
        </w:tc>
        <w:tc>
          <w:tcPr>
            <w:tcW w:w="5560" w:type="dxa"/>
            <w:tcMar>
              <w:top w:w="80" w:type="dxa"/>
              <w:left w:w="120" w:type="dxa"/>
              <w:bottom w:w="80" w:type="dxa"/>
              <w:right w:w="120" w:type="dxa"/>
            </w:tcMar>
            <w:vAlign w:val="center"/>
          </w:tcPr>
          <w:p w14:paraId="2EC8617A">
            <w:pPr>
              <w:spacing w:before="0" w:after="0" w:line="252" w:lineRule="auto"/>
              <w:jc w:val="left"/>
            </w:pPr>
            <w:r>
              <w:rPr>
                <w:rFonts w:ascii="Calibri" w:hAnsi="Calibri"/>
                <w:b w:val="0"/>
                <w:i w:val="0"/>
                <w:color w:val="222222"/>
                <w:sz w:val="16"/>
              </w:rPr>
              <w:t>Preferred medication in chronic kidney disease: A metformin; B SGLT2 inhibitor; C sulfonylurea; D insulin</w:t>
            </w:r>
          </w:p>
        </w:tc>
        <w:tc>
          <w:tcPr>
            <w:tcW w:w="1300" w:type="dxa"/>
            <w:tcMar>
              <w:top w:w="80" w:type="dxa"/>
              <w:left w:w="120" w:type="dxa"/>
              <w:bottom w:w="80" w:type="dxa"/>
              <w:right w:w="120" w:type="dxa"/>
            </w:tcMar>
            <w:vAlign w:val="center"/>
          </w:tcPr>
          <w:p w14:paraId="4FD50786">
            <w:pPr>
              <w:spacing w:before="0" w:after="0" w:line="252" w:lineRule="auto"/>
              <w:jc w:val="left"/>
            </w:pPr>
            <w:r>
              <w:rPr>
                <w:rFonts w:ascii="Calibri" w:hAnsi="Calibri"/>
                <w:b w:val="0"/>
                <w:i w:val="0"/>
                <w:color w:val="222222"/>
                <w:sz w:val="16"/>
              </w:rPr>
              <w:t>B</w:t>
            </w:r>
          </w:p>
        </w:tc>
      </w:tr>
      <w:tr w14:paraId="376D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330C93CF">
            <w:pPr>
              <w:spacing w:before="0" w:after="0" w:line="252" w:lineRule="auto"/>
              <w:jc w:val="center"/>
            </w:pPr>
            <w:r>
              <w:rPr>
                <w:rFonts w:ascii="Calibri" w:hAnsi="Calibri"/>
                <w:b w:val="0"/>
                <w:i w:val="0"/>
                <w:color w:val="222222"/>
                <w:sz w:val="16"/>
              </w:rPr>
              <w:t>6</w:t>
            </w:r>
          </w:p>
        </w:tc>
        <w:tc>
          <w:tcPr>
            <w:tcW w:w="1850" w:type="dxa"/>
            <w:tcMar>
              <w:top w:w="80" w:type="dxa"/>
              <w:left w:w="120" w:type="dxa"/>
              <w:bottom w:w="80" w:type="dxa"/>
              <w:right w:w="120" w:type="dxa"/>
            </w:tcMar>
            <w:vAlign w:val="center"/>
          </w:tcPr>
          <w:p w14:paraId="3221DA3E">
            <w:pPr>
              <w:spacing w:before="0" w:after="0" w:line="252" w:lineRule="auto"/>
              <w:jc w:val="left"/>
            </w:pPr>
            <w:r>
              <w:rPr>
                <w:rFonts w:ascii="Calibri" w:hAnsi="Calibri"/>
                <w:b w:val="0"/>
                <w:i w:val="0"/>
                <w:color w:val="222222"/>
                <w:sz w:val="16"/>
              </w:rPr>
              <w:t>Clinical application; single</w:t>
            </w:r>
          </w:p>
        </w:tc>
        <w:tc>
          <w:tcPr>
            <w:tcW w:w="5560" w:type="dxa"/>
            <w:tcMar>
              <w:top w:w="80" w:type="dxa"/>
              <w:left w:w="120" w:type="dxa"/>
              <w:bottom w:w="80" w:type="dxa"/>
              <w:right w:w="120" w:type="dxa"/>
            </w:tcMar>
            <w:vAlign w:val="center"/>
          </w:tcPr>
          <w:p w14:paraId="5BBF0A55">
            <w:pPr>
              <w:spacing w:before="0" w:after="0" w:line="252" w:lineRule="auto"/>
              <w:jc w:val="left"/>
            </w:pPr>
            <w:r>
              <w:rPr>
                <w:rFonts w:ascii="Calibri" w:hAnsi="Calibri"/>
                <w:b w:val="0"/>
                <w:i w:val="0"/>
                <w:color w:val="222222"/>
                <w:sz w:val="16"/>
              </w:rPr>
              <w:t>Preferred medication in diabetes with heart failure: A SGLT2 inhibitor; B DPP-4 inhibitor; C sulfonylurea; D insulin</w:t>
            </w:r>
          </w:p>
        </w:tc>
        <w:tc>
          <w:tcPr>
            <w:tcW w:w="1300" w:type="dxa"/>
            <w:tcMar>
              <w:top w:w="80" w:type="dxa"/>
              <w:left w:w="120" w:type="dxa"/>
              <w:bottom w:w="80" w:type="dxa"/>
              <w:right w:w="120" w:type="dxa"/>
            </w:tcMar>
            <w:vAlign w:val="center"/>
          </w:tcPr>
          <w:p w14:paraId="1156C600">
            <w:pPr>
              <w:spacing w:before="0" w:after="0" w:line="252" w:lineRule="auto"/>
              <w:jc w:val="left"/>
            </w:pPr>
            <w:r>
              <w:rPr>
                <w:rFonts w:ascii="Calibri" w:hAnsi="Calibri"/>
                <w:b w:val="0"/>
                <w:i w:val="0"/>
                <w:color w:val="222222"/>
                <w:sz w:val="16"/>
              </w:rPr>
              <w:t>A</w:t>
            </w:r>
          </w:p>
        </w:tc>
      </w:tr>
      <w:tr w14:paraId="74336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260EA4BD">
            <w:pPr>
              <w:spacing w:before="0" w:after="0" w:line="252" w:lineRule="auto"/>
              <w:jc w:val="center"/>
            </w:pPr>
            <w:r>
              <w:rPr>
                <w:rFonts w:ascii="Calibri" w:hAnsi="Calibri"/>
                <w:b w:val="0"/>
                <w:i w:val="0"/>
                <w:color w:val="222222"/>
                <w:sz w:val="16"/>
              </w:rPr>
              <w:t>7</w:t>
            </w:r>
          </w:p>
        </w:tc>
        <w:tc>
          <w:tcPr>
            <w:tcW w:w="1850" w:type="dxa"/>
            <w:tcMar>
              <w:top w:w="80" w:type="dxa"/>
              <w:left w:w="120" w:type="dxa"/>
              <w:bottom w:w="80" w:type="dxa"/>
              <w:right w:w="120" w:type="dxa"/>
            </w:tcMar>
            <w:vAlign w:val="center"/>
          </w:tcPr>
          <w:p w14:paraId="2DD61746">
            <w:pPr>
              <w:spacing w:before="0" w:after="0" w:line="252" w:lineRule="auto"/>
              <w:jc w:val="left"/>
            </w:pPr>
            <w:r>
              <w:rPr>
                <w:rFonts w:ascii="Calibri" w:hAnsi="Calibri"/>
                <w:b w:val="0"/>
                <w:i w:val="0"/>
                <w:color w:val="222222"/>
                <w:sz w:val="16"/>
              </w:rPr>
              <w:t>Clinical application; single</w:t>
            </w:r>
          </w:p>
        </w:tc>
        <w:tc>
          <w:tcPr>
            <w:tcW w:w="5560" w:type="dxa"/>
            <w:tcMar>
              <w:top w:w="80" w:type="dxa"/>
              <w:left w:w="120" w:type="dxa"/>
              <w:bottom w:w="80" w:type="dxa"/>
              <w:right w:w="120" w:type="dxa"/>
            </w:tcMar>
            <w:vAlign w:val="center"/>
          </w:tcPr>
          <w:p w14:paraId="313CFF12">
            <w:pPr>
              <w:spacing w:before="0" w:after="0" w:line="252" w:lineRule="auto"/>
              <w:jc w:val="left"/>
            </w:pPr>
            <w:r>
              <w:rPr>
                <w:rFonts w:ascii="Calibri" w:hAnsi="Calibri"/>
                <w:b w:val="0"/>
                <w:i w:val="0"/>
                <w:color w:val="222222"/>
                <w:sz w:val="16"/>
              </w:rPr>
              <w:t>Medication class with benefit evidence after ischemic stroke: A GLP-1RA; B SGLT2 inhibitor; C DPP-4 inhibitor; D glucokinase activator</w:t>
            </w:r>
          </w:p>
        </w:tc>
        <w:tc>
          <w:tcPr>
            <w:tcW w:w="1300" w:type="dxa"/>
            <w:tcMar>
              <w:top w:w="80" w:type="dxa"/>
              <w:left w:w="120" w:type="dxa"/>
              <w:bottom w:w="80" w:type="dxa"/>
              <w:right w:w="120" w:type="dxa"/>
            </w:tcMar>
            <w:vAlign w:val="center"/>
          </w:tcPr>
          <w:p w14:paraId="04E07233">
            <w:pPr>
              <w:spacing w:before="0" w:after="0" w:line="252" w:lineRule="auto"/>
              <w:jc w:val="left"/>
            </w:pPr>
            <w:r>
              <w:rPr>
                <w:rFonts w:ascii="Calibri" w:hAnsi="Calibri"/>
                <w:b w:val="0"/>
                <w:i w:val="0"/>
                <w:color w:val="222222"/>
                <w:sz w:val="16"/>
              </w:rPr>
              <w:t>A</w:t>
            </w:r>
          </w:p>
        </w:tc>
      </w:tr>
      <w:tr w14:paraId="3662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0E71F98D">
            <w:pPr>
              <w:spacing w:before="0" w:after="0" w:line="252" w:lineRule="auto"/>
              <w:jc w:val="center"/>
            </w:pPr>
            <w:r>
              <w:rPr>
                <w:rFonts w:ascii="Calibri" w:hAnsi="Calibri"/>
                <w:b w:val="0"/>
                <w:i w:val="0"/>
                <w:color w:val="222222"/>
                <w:sz w:val="16"/>
              </w:rPr>
              <w:t>8</w:t>
            </w:r>
          </w:p>
        </w:tc>
        <w:tc>
          <w:tcPr>
            <w:tcW w:w="1850" w:type="dxa"/>
            <w:tcMar>
              <w:top w:w="80" w:type="dxa"/>
              <w:left w:w="120" w:type="dxa"/>
              <w:bottom w:w="80" w:type="dxa"/>
              <w:right w:w="120" w:type="dxa"/>
            </w:tcMar>
            <w:vAlign w:val="center"/>
          </w:tcPr>
          <w:p w14:paraId="777121F2">
            <w:pPr>
              <w:spacing w:before="0" w:after="0" w:line="252" w:lineRule="auto"/>
              <w:jc w:val="left"/>
            </w:pPr>
            <w:r>
              <w:rPr>
                <w:rFonts w:ascii="Calibri" w:hAnsi="Calibri"/>
                <w:b w:val="0"/>
                <w:i w:val="0"/>
                <w:color w:val="222222"/>
                <w:sz w:val="16"/>
              </w:rPr>
              <w:t>Clinical application; multiple</w:t>
            </w:r>
          </w:p>
        </w:tc>
        <w:tc>
          <w:tcPr>
            <w:tcW w:w="5560" w:type="dxa"/>
            <w:tcMar>
              <w:top w:w="80" w:type="dxa"/>
              <w:left w:w="120" w:type="dxa"/>
              <w:bottom w:w="80" w:type="dxa"/>
              <w:right w:w="120" w:type="dxa"/>
            </w:tcMar>
            <w:vAlign w:val="center"/>
          </w:tcPr>
          <w:p w14:paraId="67A1BEBA">
            <w:pPr>
              <w:spacing w:before="0" w:after="0" w:line="252" w:lineRule="auto"/>
              <w:jc w:val="left"/>
            </w:pPr>
            <w:r>
              <w:rPr>
                <w:rFonts w:ascii="Calibri" w:hAnsi="Calibri"/>
                <w:b w:val="0"/>
                <w:i w:val="0"/>
                <w:color w:val="222222"/>
                <w:sz w:val="16"/>
              </w:rPr>
              <w:t>Recommended agents in established ASCVD: A SGLT2 inhibitor; B DPP-4 inhibitor; C GLP-1RA; D sulfonylurea</w:t>
            </w:r>
          </w:p>
        </w:tc>
        <w:tc>
          <w:tcPr>
            <w:tcW w:w="1300" w:type="dxa"/>
            <w:tcMar>
              <w:top w:w="80" w:type="dxa"/>
              <w:left w:w="120" w:type="dxa"/>
              <w:bottom w:w="80" w:type="dxa"/>
              <w:right w:w="120" w:type="dxa"/>
            </w:tcMar>
            <w:vAlign w:val="center"/>
          </w:tcPr>
          <w:p w14:paraId="67F7D5C5">
            <w:pPr>
              <w:spacing w:before="0" w:after="0" w:line="252" w:lineRule="auto"/>
              <w:jc w:val="left"/>
            </w:pPr>
            <w:r>
              <w:rPr>
                <w:rFonts w:ascii="Calibri" w:hAnsi="Calibri"/>
                <w:b w:val="0"/>
                <w:i w:val="0"/>
                <w:color w:val="222222"/>
                <w:sz w:val="16"/>
              </w:rPr>
              <w:t>A, C</w:t>
            </w:r>
          </w:p>
        </w:tc>
      </w:tr>
      <w:tr w14:paraId="734A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4590B7DD">
            <w:pPr>
              <w:spacing w:before="0" w:after="0" w:line="252" w:lineRule="auto"/>
              <w:jc w:val="center"/>
            </w:pPr>
            <w:r>
              <w:rPr>
                <w:rFonts w:ascii="Calibri" w:hAnsi="Calibri"/>
                <w:b w:val="0"/>
                <w:i w:val="0"/>
                <w:color w:val="222222"/>
                <w:sz w:val="16"/>
              </w:rPr>
              <w:t>9</w:t>
            </w:r>
          </w:p>
        </w:tc>
        <w:tc>
          <w:tcPr>
            <w:tcW w:w="1850" w:type="dxa"/>
            <w:tcMar>
              <w:top w:w="80" w:type="dxa"/>
              <w:left w:w="120" w:type="dxa"/>
              <w:bottom w:w="80" w:type="dxa"/>
              <w:right w:w="120" w:type="dxa"/>
            </w:tcMar>
            <w:vAlign w:val="center"/>
          </w:tcPr>
          <w:p w14:paraId="14C0015D">
            <w:pPr>
              <w:spacing w:before="0" w:after="0" w:line="252" w:lineRule="auto"/>
              <w:jc w:val="left"/>
            </w:pPr>
            <w:r>
              <w:rPr>
                <w:rFonts w:ascii="Calibri" w:hAnsi="Calibri"/>
                <w:b w:val="0"/>
                <w:i w:val="0"/>
                <w:color w:val="222222"/>
                <w:sz w:val="16"/>
              </w:rPr>
              <w:t>Special populations; multiple</w:t>
            </w:r>
          </w:p>
        </w:tc>
        <w:tc>
          <w:tcPr>
            <w:tcW w:w="5560" w:type="dxa"/>
            <w:tcMar>
              <w:top w:w="80" w:type="dxa"/>
              <w:left w:w="120" w:type="dxa"/>
              <w:bottom w:w="80" w:type="dxa"/>
              <w:right w:w="120" w:type="dxa"/>
            </w:tcMar>
            <w:vAlign w:val="center"/>
          </w:tcPr>
          <w:p w14:paraId="497430C9">
            <w:pPr>
              <w:spacing w:before="0" w:after="0" w:line="252" w:lineRule="auto"/>
              <w:jc w:val="left"/>
            </w:pPr>
            <w:r>
              <w:rPr>
                <w:rFonts w:ascii="Calibri" w:hAnsi="Calibri"/>
                <w:b w:val="0"/>
                <w:i w:val="0"/>
                <w:color w:val="222222"/>
                <w:sz w:val="16"/>
              </w:rPr>
              <w:t>Correct statements about once-weekly insulin icodec: A discontinue/avoid in pregnancy; B suspend breastfeeding; C safety and effectiveness not established below age 18; D older adults require dose adjustment according to liver/kidney function</w:t>
            </w:r>
          </w:p>
        </w:tc>
        <w:tc>
          <w:tcPr>
            <w:tcW w:w="1300" w:type="dxa"/>
            <w:tcMar>
              <w:top w:w="80" w:type="dxa"/>
              <w:left w:w="120" w:type="dxa"/>
              <w:bottom w:w="80" w:type="dxa"/>
              <w:right w:w="120" w:type="dxa"/>
            </w:tcMar>
            <w:vAlign w:val="center"/>
          </w:tcPr>
          <w:p w14:paraId="39B24F6B">
            <w:pPr>
              <w:spacing w:before="0" w:after="0" w:line="252" w:lineRule="auto"/>
              <w:jc w:val="left"/>
            </w:pPr>
            <w:r>
              <w:rPr>
                <w:rFonts w:ascii="Calibri" w:hAnsi="Calibri"/>
                <w:b w:val="0"/>
                <w:i w:val="0"/>
                <w:color w:val="222222"/>
                <w:sz w:val="16"/>
              </w:rPr>
              <w:t>A, B, C</w:t>
            </w:r>
          </w:p>
        </w:tc>
      </w:tr>
      <w:tr w14:paraId="3939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317B8D72">
            <w:pPr>
              <w:spacing w:before="0" w:after="0" w:line="252" w:lineRule="auto"/>
              <w:jc w:val="center"/>
            </w:pPr>
            <w:r>
              <w:rPr>
                <w:rFonts w:ascii="Calibri" w:hAnsi="Calibri"/>
                <w:b w:val="0"/>
                <w:i w:val="0"/>
                <w:color w:val="222222"/>
                <w:sz w:val="16"/>
              </w:rPr>
              <w:t>10</w:t>
            </w:r>
          </w:p>
        </w:tc>
        <w:tc>
          <w:tcPr>
            <w:tcW w:w="1850" w:type="dxa"/>
            <w:tcMar>
              <w:top w:w="80" w:type="dxa"/>
              <w:left w:w="120" w:type="dxa"/>
              <w:bottom w:w="80" w:type="dxa"/>
              <w:right w:w="120" w:type="dxa"/>
            </w:tcMar>
            <w:vAlign w:val="center"/>
          </w:tcPr>
          <w:p w14:paraId="203A6E84">
            <w:pPr>
              <w:spacing w:before="0" w:after="0" w:line="252" w:lineRule="auto"/>
              <w:jc w:val="left"/>
            </w:pPr>
            <w:r>
              <w:rPr>
                <w:rFonts w:ascii="Calibri" w:hAnsi="Calibri"/>
                <w:b w:val="0"/>
                <w:i w:val="0"/>
                <w:color w:val="222222"/>
                <w:sz w:val="16"/>
              </w:rPr>
              <w:t>Special populations; multiple</w:t>
            </w:r>
          </w:p>
        </w:tc>
        <w:tc>
          <w:tcPr>
            <w:tcW w:w="5560" w:type="dxa"/>
            <w:tcMar>
              <w:top w:w="80" w:type="dxa"/>
              <w:left w:w="120" w:type="dxa"/>
              <w:bottom w:w="80" w:type="dxa"/>
              <w:right w:w="120" w:type="dxa"/>
            </w:tcMar>
            <w:vAlign w:val="center"/>
          </w:tcPr>
          <w:p w14:paraId="36BAE56D">
            <w:pPr>
              <w:spacing w:before="0" w:after="0" w:line="252" w:lineRule="auto"/>
              <w:jc w:val="left"/>
            </w:pPr>
            <w:r>
              <w:rPr>
                <w:rFonts w:ascii="Calibri" w:hAnsi="Calibri"/>
                <w:b w:val="0"/>
                <w:i w:val="0"/>
                <w:color w:val="222222"/>
                <w:sz w:val="16"/>
              </w:rPr>
              <w:t>DPP-4 inhibitors not requiring dose adjustment in kidney impairment: A sitagliptin; B evogliptin; C saxagliptin; D linagliptin</w:t>
            </w:r>
          </w:p>
        </w:tc>
        <w:tc>
          <w:tcPr>
            <w:tcW w:w="1300" w:type="dxa"/>
            <w:tcMar>
              <w:top w:w="80" w:type="dxa"/>
              <w:left w:w="120" w:type="dxa"/>
              <w:bottom w:w="80" w:type="dxa"/>
              <w:right w:w="120" w:type="dxa"/>
            </w:tcMar>
            <w:vAlign w:val="center"/>
          </w:tcPr>
          <w:p w14:paraId="56ABEC56">
            <w:pPr>
              <w:spacing w:before="0" w:after="0" w:line="252" w:lineRule="auto"/>
              <w:jc w:val="left"/>
            </w:pPr>
            <w:r>
              <w:rPr>
                <w:rFonts w:ascii="Calibri" w:hAnsi="Calibri"/>
                <w:b w:val="0"/>
                <w:i w:val="0"/>
                <w:color w:val="222222"/>
                <w:sz w:val="16"/>
              </w:rPr>
              <w:t>B, D</w:t>
            </w:r>
          </w:p>
        </w:tc>
      </w:tr>
      <w:tr w14:paraId="0F15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1950DFB3">
            <w:pPr>
              <w:spacing w:before="0" w:after="0" w:line="252" w:lineRule="auto"/>
              <w:jc w:val="center"/>
            </w:pPr>
            <w:r>
              <w:rPr>
                <w:rFonts w:ascii="Calibri" w:hAnsi="Calibri"/>
                <w:b w:val="0"/>
                <w:i w:val="0"/>
                <w:color w:val="222222"/>
                <w:sz w:val="16"/>
              </w:rPr>
              <w:t>11</w:t>
            </w:r>
          </w:p>
        </w:tc>
        <w:tc>
          <w:tcPr>
            <w:tcW w:w="1850" w:type="dxa"/>
            <w:tcMar>
              <w:top w:w="80" w:type="dxa"/>
              <w:left w:w="120" w:type="dxa"/>
              <w:bottom w:w="80" w:type="dxa"/>
              <w:right w:w="120" w:type="dxa"/>
            </w:tcMar>
            <w:vAlign w:val="center"/>
          </w:tcPr>
          <w:p w14:paraId="766C066B">
            <w:pPr>
              <w:spacing w:before="0" w:after="0" w:line="252" w:lineRule="auto"/>
              <w:jc w:val="left"/>
            </w:pPr>
            <w:r>
              <w:rPr>
                <w:rFonts w:ascii="Calibri" w:hAnsi="Calibri"/>
                <w:b w:val="0"/>
                <w:i w:val="0"/>
                <w:color w:val="222222"/>
                <w:sz w:val="16"/>
              </w:rPr>
              <w:t>Special populations; single</w:t>
            </w:r>
          </w:p>
        </w:tc>
        <w:tc>
          <w:tcPr>
            <w:tcW w:w="5560" w:type="dxa"/>
            <w:tcMar>
              <w:top w:w="80" w:type="dxa"/>
              <w:left w:w="120" w:type="dxa"/>
              <w:bottom w:w="80" w:type="dxa"/>
              <w:right w:w="120" w:type="dxa"/>
            </w:tcMar>
            <w:vAlign w:val="center"/>
          </w:tcPr>
          <w:p w14:paraId="7D4E4801">
            <w:pPr>
              <w:spacing w:before="0" w:after="0" w:line="252" w:lineRule="auto"/>
              <w:jc w:val="left"/>
            </w:pPr>
            <w:r>
              <w:rPr>
                <w:rFonts w:ascii="Calibri" w:hAnsi="Calibri"/>
                <w:b w:val="0"/>
                <w:i w:val="0"/>
                <w:color w:val="222222"/>
                <w:sz w:val="16"/>
              </w:rPr>
              <w:t>DPP-4 inhibitor not requiring dose adjustment in liver impairment: A sitagliptin; B evogliptin; C saxagliptin; D linagliptin</w:t>
            </w:r>
          </w:p>
        </w:tc>
        <w:tc>
          <w:tcPr>
            <w:tcW w:w="1300" w:type="dxa"/>
            <w:tcMar>
              <w:top w:w="80" w:type="dxa"/>
              <w:left w:w="120" w:type="dxa"/>
              <w:bottom w:w="80" w:type="dxa"/>
              <w:right w:w="120" w:type="dxa"/>
            </w:tcMar>
            <w:vAlign w:val="center"/>
          </w:tcPr>
          <w:p w14:paraId="41E4A490">
            <w:pPr>
              <w:spacing w:before="0" w:after="0" w:line="252" w:lineRule="auto"/>
              <w:jc w:val="left"/>
            </w:pPr>
            <w:r>
              <w:rPr>
                <w:rFonts w:ascii="Calibri" w:hAnsi="Calibri"/>
                <w:b w:val="0"/>
                <w:i w:val="0"/>
                <w:color w:val="222222"/>
                <w:sz w:val="16"/>
              </w:rPr>
              <w:t>D</w:t>
            </w:r>
          </w:p>
        </w:tc>
      </w:tr>
      <w:tr w14:paraId="594B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26066193">
            <w:pPr>
              <w:spacing w:before="0" w:after="0" w:line="252" w:lineRule="auto"/>
              <w:jc w:val="center"/>
            </w:pPr>
            <w:r>
              <w:rPr>
                <w:rFonts w:ascii="Calibri" w:hAnsi="Calibri"/>
                <w:b w:val="0"/>
                <w:i w:val="0"/>
                <w:color w:val="222222"/>
                <w:sz w:val="16"/>
              </w:rPr>
              <w:t>12</w:t>
            </w:r>
          </w:p>
        </w:tc>
        <w:tc>
          <w:tcPr>
            <w:tcW w:w="1850" w:type="dxa"/>
            <w:tcMar>
              <w:top w:w="80" w:type="dxa"/>
              <w:left w:w="120" w:type="dxa"/>
              <w:bottom w:w="80" w:type="dxa"/>
              <w:right w:w="120" w:type="dxa"/>
            </w:tcMar>
            <w:vAlign w:val="center"/>
          </w:tcPr>
          <w:p w14:paraId="0E87E820">
            <w:pPr>
              <w:spacing w:before="0" w:after="0" w:line="252" w:lineRule="auto"/>
              <w:jc w:val="left"/>
            </w:pPr>
            <w:r>
              <w:rPr>
                <w:rFonts w:ascii="Calibri" w:hAnsi="Calibri"/>
                <w:b w:val="0"/>
                <w:i w:val="0"/>
                <w:color w:val="222222"/>
                <w:sz w:val="16"/>
              </w:rPr>
              <w:t>Adverse effects/contraindications; multiple</w:t>
            </w:r>
          </w:p>
        </w:tc>
        <w:tc>
          <w:tcPr>
            <w:tcW w:w="5560" w:type="dxa"/>
            <w:tcMar>
              <w:top w:w="80" w:type="dxa"/>
              <w:left w:w="120" w:type="dxa"/>
              <w:bottom w:w="80" w:type="dxa"/>
              <w:right w:w="120" w:type="dxa"/>
            </w:tcMar>
            <w:vAlign w:val="center"/>
          </w:tcPr>
          <w:p w14:paraId="3D73785F">
            <w:pPr>
              <w:spacing w:before="0" w:after="0" w:line="252" w:lineRule="auto"/>
              <w:jc w:val="left"/>
            </w:pPr>
            <w:r>
              <w:rPr>
                <w:rFonts w:ascii="Calibri" w:hAnsi="Calibri"/>
                <w:b w:val="0"/>
                <w:i w:val="0"/>
                <w:color w:val="222222"/>
                <w:sz w:val="16"/>
              </w:rPr>
              <w:t>Groups in whom DPP-4 inhibitors are contraindicated/not recommended: A pregnant women; B persons &lt;18 years; C severe pancreatitis history; D mild kidney impairment</w:t>
            </w:r>
          </w:p>
        </w:tc>
        <w:tc>
          <w:tcPr>
            <w:tcW w:w="1300" w:type="dxa"/>
            <w:tcMar>
              <w:top w:w="80" w:type="dxa"/>
              <w:left w:w="120" w:type="dxa"/>
              <w:bottom w:w="80" w:type="dxa"/>
              <w:right w:w="120" w:type="dxa"/>
            </w:tcMar>
            <w:vAlign w:val="center"/>
          </w:tcPr>
          <w:p w14:paraId="2F25C621">
            <w:pPr>
              <w:spacing w:before="0" w:after="0" w:line="252" w:lineRule="auto"/>
              <w:jc w:val="left"/>
            </w:pPr>
            <w:r>
              <w:rPr>
                <w:rFonts w:ascii="Calibri" w:hAnsi="Calibri"/>
                <w:b w:val="0"/>
                <w:i w:val="0"/>
                <w:color w:val="222222"/>
                <w:sz w:val="16"/>
              </w:rPr>
              <w:t>A, B, C</w:t>
            </w:r>
          </w:p>
        </w:tc>
      </w:tr>
      <w:tr w14:paraId="0399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5130D5C6">
            <w:pPr>
              <w:spacing w:before="0" w:after="0" w:line="252" w:lineRule="auto"/>
              <w:jc w:val="center"/>
            </w:pPr>
            <w:r>
              <w:rPr>
                <w:rFonts w:ascii="Calibri" w:hAnsi="Calibri"/>
                <w:b w:val="0"/>
                <w:i w:val="0"/>
                <w:color w:val="222222"/>
                <w:sz w:val="16"/>
              </w:rPr>
              <w:t>13</w:t>
            </w:r>
          </w:p>
        </w:tc>
        <w:tc>
          <w:tcPr>
            <w:tcW w:w="1850" w:type="dxa"/>
            <w:tcMar>
              <w:top w:w="80" w:type="dxa"/>
              <w:left w:w="120" w:type="dxa"/>
              <w:bottom w:w="80" w:type="dxa"/>
              <w:right w:w="120" w:type="dxa"/>
            </w:tcMar>
            <w:vAlign w:val="center"/>
          </w:tcPr>
          <w:p w14:paraId="34A18391">
            <w:pPr>
              <w:spacing w:before="0" w:after="0" w:line="252" w:lineRule="auto"/>
              <w:jc w:val="left"/>
            </w:pPr>
            <w:r>
              <w:rPr>
                <w:rFonts w:ascii="Calibri" w:hAnsi="Calibri"/>
                <w:b w:val="0"/>
                <w:i w:val="0"/>
                <w:color w:val="222222"/>
                <w:sz w:val="16"/>
              </w:rPr>
              <w:t>Adverse effects; multiple</w:t>
            </w:r>
          </w:p>
        </w:tc>
        <w:tc>
          <w:tcPr>
            <w:tcW w:w="5560" w:type="dxa"/>
            <w:tcMar>
              <w:top w:w="80" w:type="dxa"/>
              <w:left w:w="120" w:type="dxa"/>
              <w:bottom w:w="80" w:type="dxa"/>
              <w:right w:w="120" w:type="dxa"/>
            </w:tcMar>
            <w:vAlign w:val="center"/>
          </w:tcPr>
          <w:p w14:paraId="408B41DD">
            <w:pPr>
              <w:spacing w:before="0" w:after="0" w:line="252" w:lineRule="auto"/>
              <w:jc w:val="left"/>
            </w:pPr>
            <w:r>
              <w:rPr>
                <w:rFonts w:ascii="Calibri" w:hAnsi="Calibri"/>
                <w:b w:val="0"/>
                <w:i w:val="0"/>
                <w:color w:val="222222"/>
                <w:sz w:val="16"/>
              </w:rPr>
              <w:t>Common adverse effects/important safety concerns of GLP-1RAs: A nausea/vomiting; B hypoglycemia; C medullary thyroid cancer risk; D weight gain</w:t>
            </w:r>
          </w:p>
        </w:tc>
        <w:tc>
          <w:tcPr>
            <w:tcW w:w="1300" w:type="dxa"/>
            <w:tcMar>
              <w:top w:w="80" w:type="dxa"/>
              <w:left w:w="120" w:type="dxa"/>
              <w:bottom w:w="80" w:type="dxa"/>
              <w:right w:w="120" w:type="dxa"/>
            </w:tcMar>
            <w:vAlign w:val="center"/>
          </w:tcPr>
          <w:p w14:paraId="051EE48A">
            <w:pPr>
              <w:spacing w:before="0" w:after="0" w:line="252" w:lineRule="auto"/>
              <w:jc w:val="left"/>
            </w:pPr>
            <w:r>
              <w:rPr>
                <w:rFonts w:ascii="Calibri" w:hAnsi="Calibri"/>
                <w:b w:val="0"/>
                <w:i w:val="0"/>
                <w:color w:val="222222"/>
                <w:sz w:val="16"/>
              </w:rPr>
              <w:t>A, C</w:t>
            </w:r>
          </w:p>
        </w:tc>
      </w:tr>
      <w:tr w14:paraId="33EB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6E342A65">
            <w:pPr>
              <w:spacing w:before="0" w:after="0" w:line="252" w:lineRule="auto"/>
              <w:jc w:val="center"/>
            </w:pPr>
            <w:r>
              <w:rPr>
                <w:rFonts w:ascii="Calibri" w:hAnsi="Calibri"/>
                <w:b w:val="0"/>
                <w:i w:val="0"/>
                <w:color w:val="222222"/>
                <w:sz w:val="16"/>
              </w:rPr>
              <w:t>14</w:t>
            </w:r>
          </w:p>
        </w:tc>
        <w:tc>
          <w:tcPr>
            <w:tcW w:w="1850" w:type="dxa"/>
            <w:tcMar>
              <w:top w:w="80" w:type="dxa"/>
              <w:left w:w="120" w:type="dxa"/>
              <w:bottom w:w="80" w:type="dxa"/>
              <w:right w:w="120" w:type="dxa"/>
            </w:tcMar>
            <w:vAlign w:val="center"/>
          </w:tcPr>
          <w:p w14:paraId="6549065D">
            <w:pPr>
              <w:spacing w:before="0" w:after="0" w:line="252" w:lineRule="auto"/>
              <w:jc w:val="left"/>
            </w:pPr>
            <w:r>
              <w:rPr>
                <w:rFonts w:ascii="Calibri" w:hAnsi="Calibri"/>
                <w:b w:val="0"/>
                <w:i w:val="0"/>
                <w:color w:val="222222"/>
                <w:sz w:val="16"/>
              </w:rPr>
              <w:t>Special populations; multiple</w:t>
            </w:r>
          </w:p>
        </w:tc>
        <w:tc>
          <w:tcPr>
            <w:tcW w:w="5560" w:type="dxa"/>
            <w:tcMar>
              <w:top w:w="80" w:type="dxa"/>
              <w:left w:w="120" w:type="dxa"/>
              <w:bottom w:w="80" w:type="dxa"/>
              <w:right w:w="120" w:type="dxa"/>
            </w:tcMar>
            <w:vAlign w:val="center"/>
          </w:tcPr>
          <w:p w14:paraId="1A05501C">
            <w:pPr>
              <w:spacing w:before="0" w:after="0" w:line="252" w:lineRule="auto"/>
              <w:jc w:val="left"/>
            </w:pPr>
            <w:r>
              <w:rPr>
                <w:rFonts w:ascii="Calibri" w:hAnsi="Calibri"/>
                <w:b w:val="0"/>
                <w:i w:val="0"/>
                <w:color w:val="222222"/>
                <w:sz w:val="16"/>
              </w:rPr>
              <w:t>GLP-1RAs usable with creatinine clearance 15-30 mL/min: A semaglutide; B dulaglutide; C exenatide; D liraglutide</w:t>
            </w:r>
          </w:p>
        </w:tc>
        <w:tc>
          <w:tcPr>
            <w:tcW w:w="1300" w:type="dxa"/>
            <w:tcMar>
              <w:top w:w="80" w:type="dxa"/>
              <w:left w:w="120" w:type="dxa"/>
              <w:bottom w:w="80" w:type="dxa"/>
              <w:right w:w="120" w:type="dxa"/>
            </w:tcMar>
            <w:vAlign w:val="center"/>
          </w:tcPr>
          <w:p w14:paraId="47DB1AC9">
            <w:pPr>
              <w:spacing w:before="0" w:after="0" w:line="252" w:lineRule="auto"/>
              <w:jc w:val="left"/>
            </w:pPr>
            <w:r>
              <w:rPr>
                <w:rFonts w:ascii="Calibri" w:hAnsi="Calibri"/>
                <w:b w:val="0"/>
                <w:i w:val="0"/>
                <w:color w:val="222222"/>
                <w:sz w:val="16"/>
              </w:rPr>
              <w:t>A, B, D</w:t>
            </w:r>
          </w:p>
        </w:tc>
      </w:tr>
      <w:tr w14:paraId="2699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38373A96">
            <w:pPr>
              <w:spacing w:before="0" w:after="0" w:line="252" w:lineRule="auto"/>
              <w:jc w:val="center"/>
            </w:pPr>
            <w:r>
              <w:rPr>
                <w:rFonts w:ascii="Calibri" w:hAnsi="Calibri"/>
                <w:b w:val="0"/>
                <w:i w:val="0"/>
                <w:color w:val="222222"/>
                <w:sz w:val="16"/>
              </w:rPr>
              <w:t>15</w:t>
            </w:r>
          </w:p>
        </w:tc>
        <w:tc>
          <w:tcPr>
            <w:tcW w:w="1850" w:type="dxa"/>
            <w:tcMar>
              <w:top w:w="80" w:type="dxa"/>
              <w:left w:w="120" w:type="dxa"/>
              <w:bottom w:w="80" w:type="dxa"/>
              <w:right w:w="120" w:type="dxa"/>
            </w:tcMar>
            <w:vAlign w:val="center"/>
          </w:tcPr>
          <w:p w14:paraId="6CFBF6F3">
            <w:pPr>
              <w:spacing w:before="0" w:after="0" w:line="252" w:lineRule="auto"/>
              <w:jc w:val="left"/>
            </w:pPr>
            <w:r>
              <w:rPr>
                <w:rFonts w:ascii="Calibri" w:hAnsi="Calibri"/>
                <w:b w:val="0"/>
                <w:i w:val="0"/>
                <w:color w:val="222222"/>
                <w:sz w:val="16"/>
              </w:rPr>
              <w:t>Adverse effects; single</w:t>
            </w:r>
          </w:p>
        </w:tc>
        <w:tc>
          <w:tcPr>
            <w:tcW w:w="5560" w:type="dxa"/>
            <w:tcMar>
              <w:top w:w="80" w:type="dxa"/>
              <w:left w:w="120" w:type="dxa"/>
              <w:bottom w:w="80" w:type="dxa"/>
              <w:right w:w="120" w:type="dxa"/>
            </w:tcMar>
            <w:vAlign w:val="center"/>
          </w:tcPr>
          <w:p w14:paraId="232A6414">
            <w:pPr>
              <w:spacing w:before="0" w:after="0" w:line="252" w:lineRule="auto"/>
              <w:jc w:val="left"/>
            </w:pPr>
            <w:r>
              <w:rPr>
                <w:rFonts w:ascii="Calibri" w:hAnsi="Calibri"/>
                <w:b w:val="0"/>
                <w:i w:val="0"/>
                <w:color w:val="222222"/>
                <w:sz w:val="16"/>
              </w:rPr>
              <w:t>Common adverse effect of SGLT2 inhibitors: A hypoglycemia; B genital infection; C gastrointestinal reaction; D weight gain</w:t>
            </w:r>
          </w:p>
        </w:tc>
        <w:tc>
          <w:tcPr>
            <w:tcW w:w="1300" w:type="dxa"/>
            <w:tcMar>
              <w:top w:w="80" w:type="dxa"/>
              <w:left w:w="120" w:type="dxa"/>
              <w:bottom w:w="80" w:type="dxa"/>
              <w:right w:w="120" w:type="dxa"/>
            </w:tcMar>
            <w:vAlign w:val="center"/>
          </w:tcPr>
          <w:p w14:paraId="4D8435D5">
            <w:pPr>
              <w:spacing w:before="0" w:after="0" w:line="252" w:lineRule="auto"/>
              <w:jc w:val="left"/>
            </w:pPr>
            <w:r>
              <w:rPr>
                <w:rFonts w:ascii="Calibri" w:hAnsi="Calibri"/>
                <w:b w:val="0"/>
                <w:i w:val="0"/>
                <w:color w:val="222222"/>
                <w:sz w:val="16"/>
              </w:rPr>
              <w:t>B</w:t>
            </w:r>
          </w:p>
        </w:tc>
      </w:tr>
      <w:tr w14:paraId="7E26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09F00976">
            <w:pPr>
              <w:spacing w:before="0" w:after="0" w:line="252" w:lineRule="auto"/>
              <w:jc w:val="center"/>
            </w:pPr>
            <w:r>
              <w:rPr>
                <w:rFonts w:ascii="Calibri" w:hAnsi="Calibri"/>
                <w:b w:val="0"/>
                <w:i w:val="0"/>
                <w:color w:val="222222"/>
                <w:sz w:val="16"/>
              </w:rPr>
              <w:t>16</w:t>
            </w:r>
          </w:p>
        </w:tc>
        <w:tc>
          <w:tcPr>
            <w:tcW w:w="1850" w:type="dxa"/>
            <w:tcMar>
              <w:top w:w="80" w:type="dxa"/>
              <w:left w:w="120" w:type="dxa"/>
              <w:bottom w:w="80" w:type="dxa"/>
              <w:right w:w="120" w:type="dxa"/>
            </w:tcMar>
            <w:vAlign w:val="center"/>
          </w:tcPr>
          <w:p w14:paraId="448FD50C">
            <w:pPr>
              <w:spacing w:before="0" w:after="0" w:line="252" w:lineRule="auto"/>
              <w:jc w:val="left"/>
            </w:pPr>
            <w:r>
              <w:rPr>
                <w:rFonts w:ascii="Calibri" w:hAnsi="Calibri"/>
                <w:b w:val="0"/>
                <w:i w:val="0"/>
                <w:color w:val="222222"/>
                <w:sz w:val="16"/>
              </w:rPr>
              <w:t>Contraindications; multiple</w:t>
            </w:r>
          </w:p>
        </w:tc>
        <w:tc>
          <w:tcPr>
            <w:tcW w:w="5560" w:type="dxa"/>
            <w:tcMar>
              <w:top w:w="80" w:type="dxa"/>
              <w:left w:w="120" w:type="dxa"/>
              <w:bottom w:w="80" w:type="dxa"/>
              <w:right w:w="120" w:type="dxa"/>
            </w:tcMar>
            <w:vAlign w:val="center"/>
          </w:tcPr>
          <w:p w14:paraId="059D2FE5">
            <w:pPr>
              <w:spacing w:before="0" w:after="0" w:line="252" w:lineRule="auto"/>
              <w:jc w:val="left"/>
            </w:pPr>
            <w:r>
              <w:rPr>
                <w:rFonts w:ascii="Calibri" w:hAnsi="Calibri"/>
                <w:b w:val="0"/>
                <w:i w:val="0"/>
                <w:color w:val="222222"/>
                <w:sz w:val="16"/>
              </w:rPr>
              <w:t>Patients in whom SGLT2 inhibitors are contraindicated/not recommended: A type 1 diabetes; B breastfeeding; C pregnancy; D symptomatic hypotension or SBP &lt;95 mmHg</w:t>
            </w:r>
          </w:p>
        </w:tc>
        <w:tc>
          <w:tcPr>
            <w:tcW w:w="1300" w:type="dxa"/>
            <w:tcMar>
              <w:top w:w="80" w:type="dxa"/>
              <w:left w:w="120" w:type="dxa"/>
              <w:bottom w:w="80" w:type="dxa"/>
              <w:right w:w="120" w:type="dxa"/>
            </w:tcMar>
            <w:vAlign w:val="center"/>
          </w:tcPr>
          <w:p w14:paraId="472CCFF4">
            <w:pPr>
              <w:spacing w:before="0" w:after="0" w:line="252" w:lineRule="auto"/>
              <w:jc w:val="left"/>
            </w:pPr>
            <w:r>
              <w:rPr>
                <w:rFonts w:ascii="Calibri" w:hAnsi="Calibri"/>
                <w:b w:val="0"/>
                <w:i w:val="0"/>
                <w:color w:val="222222"/>
                <w:sz w:val="16"/>
              </w:rPr>
              <w:t>A, B, C, D</w:t>
            </w:r>
          </w:p>
        </w:tc>
      </w:tr>
      <w:tr w14:paraId="40F4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63A385E4">
            <w:pPr>
              <w:spacing w:before="0" w:after="0" w:line="252" w:lineRule="auto"/>
              <w:jc w:val="center"/>
            </w:pPr>
            <w:r>
              <w:rPr>
                <w:rFonts w:ascii="Calibri" w:hAnsi="Calibri"/>
                <w:b w:val="0"/>
                <w:i w:val="0"/>
                <w:color w:val="222222"/>
                <w:sz w:val="16"/>
              </w:rPr>
              <w:t>17</w:t>
            </w:r>
          </w:p>
        </w:tc>
        <w:tc>
          <w:tcPr>
            <w:tcW w:w="1850" w:type="dxa"/>
            <w:tcMar>
              <w:top w:w="80" w:type="dxa"/>
              <w:left w:w="120" w:type="dxa"/>
              <w:bottom w:w="80" w:type="dxa"/>
              <w:right w:w="120" w:type="dxa"/>
            </w:tcMar>
            <w:vAlign w:val="center"/>
          </w:tcPr>
          <w:p w14:paraId="1803149F">
            <w:pPr>
              <w:spacing w:before="0" w:after="0" w:line="252" w:lineRule="auto"/>
              <w:jc w:val="left"/>
            </w:pPr>
            <w:r>
              <w:rPr>
                <w:rFonts w:ascii="Calibri" w:hAnsi="Calibri"/>
                <w:b w:val="0"/>
                <w:i w:val="0"/>
                <w:color w:val="222222"/>
                <w:sz w:val="16"/>
              </w:rPr>
              <w:t>Special populations; single</w:t>
            </w:r>
          </w:p>
        </w:tc>
        <w:tc>
          <w:tcPr>
            <w:tcW w:w="5560" w:type="dxa"/>
            <w:tcMar>
              <w:top w:w="80" w:type="dxa"/>
              <w:left w:w="120" w:type="dxa"/>
              <w:bottom w:w="80" w:type="dxa"/>
              <w:right w:w="120" w:type="dxa"/>
            </w:tcMar>
            <w:vAlign w:val="center"/>
          </w:tcPr>
          <w:p w14:paraId="097392C4">
            <w:pPr>
              <w:spacing w:before="0" w:after="0" w:line="252" w:lineRule="auto"/>
              <w:jc w:val="left"/>
            </w:pPr>
            <w:r>
              <w:rPr>
                <w:rFonts w:ascii="Calibri" w:hAnsi="Calibri"/>
                <w:b w:val="0"/>
                <w:i w:val="0"/>
                <w:color w:val="222222"/>
                <w:sz w:val="16"/>
              </w:rPr>
              <w:t>Glucokinase activator use in liver disease: A prohibited; B use cautiously and monitor liver function; C no adjustment; D preferred</w:t>
            </w:r>
          </w:p>
        </w:tc>
        <w:tc>
          <w:tcPr>
            <w:tcW w:w="1300" w:type="dxa"/>
            <w:tcMar>
              <w:top w:w="80" w:type="dxa"/>
              <w:left w:w="120" w:type="dxa"/>
              <w:bottom w:w="80" w:type="dxa"/>
              <w:right w:w="120" w:type="dxa"/>
            </w:tcMar>
            <w:vAlign w:val="center"/>
          </w:tcPr>
          <w:p w14:paraId="190CC8D3">
            <w:pPr>
              <w:spacing w:before="0" w:after="0" w:line="252" w:lineRule="auto"/>
              <w:jc w:val="left"/>
            </w:pPr>
            <w:r>
              <w:rPr>
                <w:rFonts w:ascii="Calibri" w:hAnsi="Calibri"/>
                <w:b w:val="0"/>
                <w:i w:val="0"/>
                <w:color w:val="222222"/>
                <w:sz w:val="16"/>
              </w:rPr>
              <w:t>B</w:t>
            </w:r>
          </w:p>
        </w:tc>
      </w:tr>
      <w:tr w14:paraId="6B58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71FF9FD6">
            <w:pPr>
              <w:spacing w:before="0" w:after="0" w:line="252" w:lineRule="auto"/>
              <w:jc w:val="center"/>
            </w:pPr>
            <w:r>
              <w:rPr>
                <w:rFonts w:ascii="Calibri" w:hAnsi="Calibri"/>
                <w:b w:val="0"/>
                <w:i w:val="0"/>
                <w:color w:val="222222"/>
                <w:sz w:val="16"/>
              </w:rPr>
              <w:t>18</w:t>
            </w:r>
          </w:p>
        </w:tc>
        <w:tc>
          <w:tcPr>
            <w:tcW w:w="1850" w:type="dxa"/>
            <w:tcMar>
              <w:top w:w="80" w:type="dxa"/>
              <w:left w:w="120" w:type="dxa"/>
              <w:bottom w:w="80" w:type="dxa"/>
              <w:right w:w="120" w:type="dxa"/>
            </w:tcMar>
            <w:vAlign w:val="center"/>
          </w:tcPr>
          <w:p w14:paraId="2EF22AC4">
            <w:pPr>
              <w:spacing w:before="0" w:after="0" w:line="252" w:lineRule="auto"/>
              <w:jc w:val="left"/>
            </w:pPr>
            <w:r>
              <w:rPr>
                <w:rFonts w:ascii="Calibri" w:hAnsi="Calibri"/>
                <w:b w:val="0"/>
                <w:i w:val="0"/>
                <w:color w:val="222222"/>
                <w:sz w:val="16"/>
              </w:rPr>
              <w:t>Adverse effects; single</w:t>
            </w:r>
          </w:p>
        </w:tc>
        <w:tc>
          <w:tcPr>
            <w:tcW w:w="5560" w:type="dxa"/>
            <w:tcMar>
              <w:top w:w="80" w:type="dxa"/>
              <w:left w:w="120" w:type="dxa"/>
              <w:bottom w:w="80" w:type="dxa"/>
              <w:right w:w="120" w:type="dxa"/>
            </w:tcMar>
            <w:vAlign w:val="center"/>
          </w:tcPr>
          <w:p w14:paraId="5DAC0764">
            <w:pPr>
              <w:spacing w:before="0" w:after="0" w:line="252" w:lineRule="auto"/>
              <w:jc w:val="left"/>
            </w:pPr>
            <w:r>
              <w:rPr>
                <w:rFonts w:ascii="Calibri" w:hAnsi="Calibri"/>
                <w:b w:val="0"/>
                <w:i w:val="0"/>
                <w:color w:val="222222"/>
                <w:sz w:val="16"/>
              </w:rPr>
              <w:t>First response to persistent vomiting after GLP-1RA use: A stop treatment and assess pancreatitis; B increase dose; C add antiemetic; D no action</w:t>
            </w:r>
          </w:p>
        </w:tc>
        <w:tc>
          <w:tcPr>
            <w:tcW w:w="1300" w:type="dxa"/>
            <w:tcMar>
              <w:top w:w="80" w:type="dxa"/>
              <w:left w:w="120" w:type="dxa"/>
              <w:bottom w:w="80" w:type="dxa"/>
              <w:right w:w="120" w:type="dxa"/>
            </w:tcMar>
            <w:vAlign w:val="center"/>
          </w:tcPr>
          <w:p w14:paraId="1A2C891D">
            <w:pPr>
              <w:spacing w:before="0" w:after="0" w:line="252" w:lineRule="auto"/>
              <w:jc w:val="left"/>
            </w:pPr>
            <w:r>
              <w:rPr>
                <w:rFonts w:ascii="Calibri" w:hAnsi="Calibri"/>
                <w:b w:val="0"/>
                <w:i w:val="0"/>
                <w:color w:val="222222"/>
                <w:sz w:val="16"/>
              </w:rPr>
              <w:t>A</w:t>
            </w:r>
          </w:p>
        </w:tc>
      </w:tr>
      <w:tr w14:paraId="1559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3A4AC677">
            <w:pPr>
              <w:spacing w:before="0" w:after="0" w:line="252" w:lineRule="auto"/>
              <w:jc w:val="center"/>
            </w:pPr>
            <w:r>
              <w:rPr>
                <w:rFonts w:ascii="Calibri" w:hAnsi="Calibri"/>
                <w:b w:val="0"/>
                <w:i w:val="0"/>
                <w:color w:val="222222"/>
                <w:sz w:val="16"/>
              </w:rPr>
              <w:t>19</w:t>
            </w:r>
          </w:p>
        </w:tc>
        <w:tc>
          <w:tcPr>
            <w:tcW w:w="1850" w:type="dxa"/>
            <w:tcMar>
              <w:top w:w="80" w:type="dxa"/>
              <w:left w:w="120" w:type="dxa"/>
              <w:bottom w:w="80" w:type="dxa"/>
              <w:right w:w="120" w:type="dxa"/>
            </w:tcMar>
            <w:vAlign w:val="center"/>
          </w:tcPr>
          <w:p w14:paraId="20A76606">
            <w:pPr>
              <w:spacing w:before="0" w:after="0" w:line="252" w:lineRule="auto"/>
              <w:jc w:val="left"/>
            </w:pPr>
            <w:r>
              <w:rPr>
                <w:rFonts w:ascii="Calibri" w:hAnsi="Calibri"/>
                <w:b w:val="0"/>
                <w:i w:val="0"/>
                <w:color w:val="222222"/>
                <w:sz w:val="16"/>
              </w:rPr>
              <w:t>Drug combinations; single</w:t>
            </w:r>
          </w:p>
        </w:tc>
        <w:tc>
          <w:tcPr>
            <w:tcW w:w="5560" w:type="dxa"/>
            <w:tcMar>
              <w:top w:w="80" w:type="dxa"/>
              <w:left w:w="120" w:type="dxa"/>
              <w:bottom w:w="80" w:type="dxa"/>
              <w:right w:w="120" w:type="dxa"/>
            </w:tcMar>
            <w:vAlign w:val="center"/>
          </w:tcPr>
          <w:p w14:paraId="4CA92A13">
            <w:pPr>
              <w:spacing w:before="0" w:after="0" w:line="252" w:lineRule="auto"/>
              <w:jc w:val="left"/>
            </w:pPr>
            <w:r>
              <w:rPr>
                <w:rFonts w:ascii="Calibri" w:hAnsi="Calibri"/>
                <w:b w:val="0"/>
                <w:i w:val="0"/>
                <w:color w:val="222222"/>
                <w:sz w:val="16"/>
              </w:rPr>
              <w:t>Combination not recommended: A semaglutide+sitagliptin; B liraglutide+metformin; C liraglutide+dapagliflozin; D semaglutide+acarbose</w:t>
            </w:r>
          </w:p>
        </w:tc>
        <w:tc>
          <w:tcPr>
            <w:tcW w:w="1300" w:type="dxa"/>
            <w:tcMar>
              <w:top w:w="80" w:type="dxa"/>
              <w:left w:w="120" w:type="dxa"/>
              <w:bottom w:w="80" w:type="dxa"/>
              <w:right w:w="120" w:type="dxa"/>
            </w:tcMar>
            <w:vAlign w:val="center"/>
          </w:tcPr>
          <w:p w14:paraId="7984E46C">
            <w:pPr>
              <w:spacing w:before="0" w:after="0" w:line="252" w:lineRule="auto"/>
              <w:jc w:val="left"/>
            </w:pPr>
            <w:r>
              <w:rPr>
                <w:rFonts w:ascii="Calibri" w:hAnsi="Calibri"/>
                <w:b w:val="0"/>
                <w:i w:val="0"/>
                <w:color w:val="222222"/>
                <w:sz w:val="16"/>
              </w:rPr>
              <w:t>A</w:t>
            </w:r>
          </w:p>
        </w:tc>
      </w:tr>
      <w:tr w14:paraId="5485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Mar>
              <w:top w:w="80" w:type="dxa"/>
              <w:left w:w="120" w:type="dxa"/>
              <w:bottom w:w="80" w:type="dxa"/>
              <w:right w:w="120" w:type="dxa"/>
            </w:tcMar>
            <w:vAlign w:val="center"/>
          </w:tcPr>
          <w:p w14:paraId="17ADE407">
            <w:pPr>
              <w:spacing w:before="0" w:after="0" w:line="252" w:lineRule="auto"/>
              <w:jc w:val="center"/>
            </w:pPr>
            <w:r>
              <w:rPr>
                <w:rFonts w:ascii="Calibri" w:hAnsi="Calibri"/>
                <w:b w:val="0"/>
                <w:i w:val="0"/>
                <w:color w:val="222222"/>
                <w:sz w:val="16"/>
              </w:rPr>
              <w:t>20</w:t>
            </w:r>
          </w:p>
        </w:tc>
        <w:tc>
          <w:tcPr>
            <w:tcW w:w="1850" w:type="dxa"/>
            <w:tcMar>
              <w:top w:w="80" w:type="dxa"/>
              <w:left w:w="120" w:type="dxa"/>
              <w:bottom w:w="80" w:type="dxa"/>
              <w:right w:w="120" w:type="dxa"/>
            </w:tcMar>
            <w:vAlign w:val="center"/>
          </w:tcPr>
          <w:p w14:paraId="37771CD5">
            <w:pPr>
              <w:spacing w:before="0" w:after="0" w:line="252" w:lineRule="auto"/>
              <w:jc w:val="left"/>
            </w:pPr>
            <w:r>
              <w:rPr>
                <w:rFonts w:ascii="Calibri" w:hAnsi="Calibri"/>
                <w:b w:val="0"/>
                <w:i w:val="0"/>
                <w:color w:val="222222"/>
                <w:sz w:val="16"/>
              </w:rPr>
              <w:t>Clinical vignette; multiple-response export</w:t>
            </w:r>
          </w:p>
        </w:tc>
        <w:tc>
          <w:tcPr>
            <w:tcW w:w="5560" w:type="dxa"/>
            <w:tcMar>
              <w:top w:w="80" w:type="dxa"/>
              <w:left w:w="120" w:type="dxa"/>
              <w:bottom w:w="80" w:type="dxa"/>
              <w:right w:w="120" w:type="dxa"/>
            </w:tcMar>
            <w:vAlign w:val="center"/>
          </w:tcPr>
          <w:p w14:paraId="02E04CBB">
            <w:pPr>
              <w:spacing w:before="0" w:after="0" w:line="252" w:lineRule="auto"/>
              <w:jc w:val="left"/>
            </w:pPr>
            <w:r>
              <w:rPr>
                <w:rFonts w:ascii="Calibri" w:hAnsi="Calibri"/>
                <w:b w:val="0"/>
                <w:i w:val="0"/>
                <w:color w:val="222222"/>
                <w:sz w:val="16"/>
              </w:rPr>
              <w:t>58-year-old man with type 2 diabetes, BMI 32 kg/m², eGFR 50 mL/min, and coronary heart disease. Preferred agent: A gliclazide; B dapagliflozin; C pioglitazone; D acarbose</w:t>
            </w:r>
          </w:p>
        </w:tc>
        <w:tc>
          <w:tcPr>
            <w:tcW w:w="1300" w:type="dxa"/>
            <w:tcMar>
              <w:top w:w="80" w:type="dxa"/>
              <w:left w:w="120" w:type="dxa"/>
              <w:bottom w:w="80" w:type="dxa"/>
              <w:right w:w="120" w:type="dxa"/>
            </w:tcMar>
            <w:vAlign w:val="center"/>
          </w:tcPr>
          <w:p w14:paraId="4B1A0AB3">
            <w:pPr>
              <w:spacing w:before="0" w:after="0" w:line="252" w:lineRule="auto"/>
              <w:jc w:val="left"/>
            </w:pPr>
            <w:r>
              <w:rPr>
                <w:rFonts w:ascii="Calibri" w:hAnsi="Calibri"/>
                <w:b w:val="0"/>
                <w:i w:val="0"/>
                <w:color w:val="222222"/>
                <w:sz w:val="16"/>
              </w:rPr>
              <w:t>B only</w:t>
            </w:r>
          </w:p>
        </w:tc>
      </w:tr>
      <w:tr w14:paraId="38C1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0" w:type="dxa"/>
            <w:gridSpan w:val="4"/>
            <w:shd w:val="clear" w:color="auto" w:fill="FFF4CE"/>
            <w:tcMar>
              <w:top w:w="80" w:type="dxa"/>
              <w:left w:w="120" w:type="dxa"/>
              <w:bottom w:w="80" w:type="dxa"/>
              <w:right w:w="120" w:type="dxa"/>
            </w:tcMar>
            <w:vAlign w:val="center"/>
          </w:tcPr>
          <w:p w14:paraId="66CE935D">
            <w:pPr>
              <w:spacing w:before="0" w:after="0" w:line="252" w:lineRule="auto"/>
              <w:jc w:val="left"/>
            </w:pPr>
            <w:r>
              <w:rPr>
                <w:rFonts w:ascii="Calibri" w:hAnsi="Calibri"/>
                <w:b w:val="0"/>
                <w:i w:val="0"/>
                <w:color w:val="222222"/>
                <w:sz w:val="18"/>
              </w:rPr>
              <w:t>Author check before submission: verify the spelling of all drug names and every answer against the dated expert-approved answer key, applicable 2025 guidelines, and product labels. The table reflects the locked scoring specification used for the analyses.</w:t>
            </w:r>
          </w:p>
        </w:tc>
      </w:tr>
    </w:tbl>
    <w:p w14:paraId="07BE0E19">
      <w:pPr>
        <w:spacing w:after="0"/>
      </w:pPr>
    </w:p>
    <w:p w14:paraId="01CA7D3D">
      <w:pPr>
        <w:pStyle w:val="3"/>
        <w:pageBreakBefore/>
      </w:pPr>
      <w:r>
        <w:t>Table S2. Supplementary methods and variable definitions</w:t>
      </w:r>
    </w:p>
    <w:tbl>
      <w:tblPr>
        <w:tblStyle w:val="33"/>
        <w:tblW w:w="936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0"/>
        <w:gridCol w:w="6860"/>
      </w:tblGrid>
      <w:tr w14:paraId="42724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500" w:type="dxa"/>
            <w:shd w:val="clear" w:color="auto" w:fill="E8EEF5"/>
            <w:tcMar>
              <w:top w:w="80" w:type="dxa"/>
              <w:left w:w="120" w:type="dxa"/>
              <w:bottom w:w="80" w:type="dxa"/>
              <w:right w:w="120" w:type="dxa"/>
            </w:tcMar>
            <w:vAlign w:val="center"/>
          </w:tcPr>
          <w:p w14:paraId="13004565">
            <w:pPr>
              <w:spacing w:before="0" w:after="0" w:line="252" w:lineRule="auto"/>
              <w:jc w:val="center"/>
            </w:pPr>
            <w:r>
              <w:rPr>
                <w:rFonts w:ascii="Calibri" w:hAnsi="Calibri"/>
                <w:b/>
                <w:i w:val="0"/>
                <w:color w:val="222222"/>
                <w:sz w:val="17"/>
              </w:rPr>
              <w:t>Method component</w:t>
            </w:r>
          </w:p>
        </w:tc>
        <w:tc>
          <w:tcPr>
            <w:tcW w:w="6860" w:type="dxa"/>
            <w:shd w:val="clear" w:color="auto" w:fill="E8EEF5"/>
            <w:tcMar>
              <w:top w:w="80" w:type="dxa"/>
              <w:left w:w="120" w:type="dxa"/>
              <w:bottom w:w="80" w:type="dxa"/>
              <w:right w:w="120" w:type="dxa"/>
            </w:tcMar>
            <w:vAlign w:val="center"/>
          </w:tcPr>
          <w:p w14:paraId="7ED9E510">
            <w:pPr>
              <w:spacing w:before="0" w:after="0" w:line="252" w:lineRule="auto"/>
              <w:jc w:val="center"/>
            </w:pPr>
            <w:r>
              <w:rPr>
                <w:rFonts w:ascii="Calibri" w:hAnsi="Calibri"/>
                <w:b/>
                <w:i w:val="0"/>
                <w:color w:val="222222"/>
                <w:sz w:val="17"/>
              </w:rPr>
              <w:t>Specification</w:t>
            </w:r>
          </w:p>
        </w:tc>
      </w:tr>
      <w:tr w14:paraId="1ED7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648F7D2E">
            <w:pPr>
              <w:spacing w:before="0" w:after="0" w:line="252" w:lineRule="auto"/>
              <w:jc w:val="center"/>
            </w:pPr>
            <w:r>
              <w:rPr>
                <w:rFonts w:ascii="Calibri" w:hAnsi="Calibri"/>
                <w:b w:val="0"/>
                <w:i w:val="0"/>
                <w:color w:val="222222"/>
                <w:sz w:val="17"/>
              </w:rPr>
              <w:t>Design and setting</w:t>
            </w:r>
          </w:p>
        </w:tc>
        <w:tc>
          <w:tcPr>
            <w:tcW w:w="6860" w:type="dxa"/>
            <w:tcMar>
              <w:top w:w="80" w:type="dxa"/>
              <w:left w:w="120" w:type="dxa"/>
              <w:bottom w:w="80" w:type="dxa"/>
              <w:right w:w="120" w:type="dxa"/>
            </w:tcMar>
            <w:vAlign w:val="center"/>
          </w:tcPr>
          <w:p w14:paraId="23677062">
            <w:pPr>
              <w:spacing w:before="0" w:after="0" w:line="252" w:lineRule="auto"/>
              <w:jc w:val="left"/>
            </w:pPr>
            <w:r>
              <w:rPr>
                <w:rFonts w:ascii="Calibri" w:hAnsi="Calibri"/>
                <w:b w:val="0"/>
                <w:i w:val="0"/>
                <w:color w:val="222222"/>
                <w:sz w:val="17"/>
              </w:rPr>
              <w:t>Anonymous web-based cross-sectional survey conducted 10 August-5 September 2025 across 36 primary healthcare institutions in Pudong New Area, Shanghai.</w:t>
            </w:r>
          </w:p>
        </w:tc>
      </w:tr>
      <w:tr w14:paraId="7709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5B570D30">
            <w:pPr>
              <w:spacing w:before="0" w:after="0" w:line="252" w:lineRule="auto"/>
              <w:jc w:val="center"/>
            </w:pPr>
            <w:r>
              <w:rPr>
                <w:rFonts w:ascii="Calibri" w:hAnsi="Calibri"/>
                <w:b w:val="0"/>
                <w:i w:val="0"/>
                <w:color w:val="222222"/>
                <w:sz w:val="17"/>
              </w:rPr>
              <w:t>Target population</w:t>
            </w:r>
          </w:p>
        </w:tc>
        <w:tc>
          <w:tcPr>
            <w:tcW w:w="6860" w:type="dxa"/>
            <w:tcMar>
              <w:top w:w="80" w:type="dxa"/>
              <w:left w:w="120" w:type="dxa"/>
              <w:bottom w:w="80" w:type="dxa"/>
              <w:right w:w="120" w:type="dxa"/>
            </w:tcMar>
            <w:vAlign w:val="center"/>
          </w:tcPr>
          <w:p w14:paraId="430E0F5A">
            <w:pPr>
              <w:spacing w:before="0" w:after="0" w:line="252" w:lineRule="auto"/>
              <w:jc w:val="left"/>
            </w:pPr>
            <w:r>
              <w:rPr>
                <w:rFonts w:ascii="Calibri" w:hAnsi="Calibri"/>
                <w:b w:val="0"/>
                <w:i w:val="0"/>
                <w:color w:val="222222"/>
                <w:sz w:val="17"/>
              </w:rPr>
              <w:t>Community physicians directly involved in routine diabetes diagnosis or treatment and prescribing medications in daily practice.</w:t>
            </w:r>
          </w:p>
        </w:tc>
      </w:tr>
      <w:tr w14:paraId="2525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20F497C8">
            <w:pPr>
              <w:spacing w:before="0" w:after="0" w:line="252" w:lineRule="auto"/>
              <w:jc w:val="center"/>
            </w:pPr>
            <w:r>
              <w:rPr>
                <w:rFonts w:ascii="Calibri" w:hAnsi="Calibri"/>
                <w:b w:val="0"/>
                <w:i w:val="0"/>
                <w:color w:val="222222"/>
                <w:sz w:val="17"/>
              </w:rPr>
              <w:t>Excluded personnel</w:t>
            </w:r>
          </w:p>
        </w:tc>
        <w:tc>
          <w:tcPr>
            <w:tcW w:w="6860" w:type="dxa"/>
            <w:tcMar>
              <w:top w:w="80" w:type="dxa"/>
              <w:left w:w="120" w:type="dxa"/>
              <w:bottom w:w="80" w:type="dxa"/>
              <w:right w:w="120" w:type="dxa"/>
            </w:tcMar>
            <w:vAlign w:val="center"/>
          </w:tcPr>
          <w:p w14:paraId="21D68DF8">
            <w:pPr>
              <w:spacing w:before="0" w:after="0" w:line="252" w:lineRule="auto"/>
              <w:jc w:val="left"/>
            </w:pPr>
            <w:r>
              <w:rPr>
                <w:rFonts w:ascii="Calibri" w:hAnsi="Calibri"/>
                <w:b w:val="0"/>
                <w:i w:val="0"/>
                <w:color w:val="222222"/>
                <w:sz w:val="17"/>
              </w:rPr>
              <w:t>Pharmacists, nurses, other nonphysician personnel, personnel not involved in diabetes care, and personnel without routine prescribing duties.</w:t>
            </w:r>
          </w:p>
        </w:tc>
      </w:tr>
      <w:tr w14:paraId="586D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547E3ACD">
            <w:pPr>
              <w:spacing w:before="0" w:after="0" w:line="252" w:lineRule="auto"/>
              <w:jc w:val="center"/>
            </w:pPr>
            <w:r>
              <w:rPr>
                <w:rFonts w:ascii="Calibri" w:hAnsi="Calibri"/>
                <w:b w:val="0"/>
                <w:i w:val="0"/>
                <w:color w:val="222222"/>
                <w:sz w:val="17"/>
              </w:rPr>
              <w:t>Recruitment</w:t>
            </w:r>
          </w:p>
        </w:tc>
        <w:tc>
          <w:tcPr>
            <w:tcW w:w="6860" w:type="dxa"/>
            <w:tcMar>
              <w:top w:w="80" w:type="dxa"/>
              <w:left w:w="120" w:type="dxa"/>
              <w:bottom w:w="80" w:type="dxa"/>
              <w:right w:w="120" w:type="dxa"/>
            </w:tcMar>
            <w:vAlign w:val="center"/>
          </w:tcPr>
          <w:p w14:paraId="7135BC0A">
            <w:pPr>
              <w:spacing w:before="0" w:after="0" w:line="252" w:lineRule="auto"/>
              <w:jc w:val="left"/>
            </w:pPr>
            <w:r>
              <w:rPr>
                <w:rFonts w:ascii="Calibri" w:hAnsi="Calibri"/>
                <w:b w:val="0"/>
                <w:i w:val="0"/>
                <w:color w:val="222222"/>
                <w:sz w:val="17"/>
              </w:rPr>
              <w:t>The link was distributed through work-related WeChat groups. Participation was voluntary; no institutional quota or compensation was provided.</w:t>
            </w:r>
          </w:p>
        </w:tc>
      </w:tr>
      <w:tr w14:paraId="22BB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501DCB57">
            <w:pPr>
              <w:spacing w:before="0" w:after="0" w:line="252" w:lineRule="auto"/>
              <w:jc w:val="center"/>
            </w:pPr>
            <w:r>
              <w:rPr>
                <w:rFonts w:ascii="Calibri" w:hAnsi="Calibri"/>
                <w:b w:val="0"/>
                <w:i w:val="0"/>
                <w:color w:val="222222"/>
                <w:sz w:val="17"/>
              </w:rPr>
              <w:t>Response rate</w:t>
            </w:r>
          </w:p>
        </w:tc>
        <w:tc>
          <w:tcPr>
            <w:tcW w:w="6860" w:type="dxa"/>
            <w:tcMar>
              <w:top w:w="80" w:type="dxa"/>
              <w:left w:w="120" w:type="dxa"/>
              <w:bottom w:w="80" w:type="dxa"/>
              <w:right w:w="120" w:type="dxa"/>
            </w:tcMar>
            <w:vAlign w:val="center"/>
          </w:tcPr>
          <w:p w14:paraId="3BFD3BB6">
            <w:pPr>
              <w:spacing w:before="0" w:after="0" w:line="252" w:lineRule="auto"/>
              <w:jc w:val="left"/>
            </w:pPr>
            <w:r>
              <w:rPr>
                <w:rFonts w:ascii="Calibri" w:hAnsi="Calibri"/>
                <w:b w:val="0"/>
                <w:i w:val="0"/>
                <w:color w:val="222222"/>
                <w:sz w:val="17"/>
              </w:rPr>
              <w:t>The number receiving or viewing the link was not recorded; overall and institution-specific response rates could not be calculated.</w:t>
            </w:r>
          </w:p>
        </w:tc>
      </w:tr>
      <w:tr w14:paraId="314A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1A93AB07">
            <w:pPr>
              <w:spacing w:before="0" w:after="0" w:line="252" w:lineRule="auto"/>
              <w:jc w:val="center"/>
            </w:pPr>
            <w:r>
              <w:rPr>
                <w:rFonts w:ascii="Calibri" w:hAnsi="Calibri"/>
                <w:b w:val="0"/>
                <w:i w:val="0"/>
                <w:color w:val="222222"/>
                <w:sz w:val="17"/>
              </w:rPr>
              <w:t>Duplicate prevention</w:t>
            </w:r>
          </w:p>
        </w:tc>
        <w:tc>
          <w:tcPr>
            <w:tcW w:w="6860" w:type="dxa"/>
            <w:tcMar>
              <w:top w:w="80" w:type="dxa"/>
              <w:left w:w="120" w:type="dxa"/>
              <w:bottom w:w="80" w:type="dxa"/>
              <w:right w:w="120" w:type="dxa"/>
            </w:tcMar>
            <w:vAlign w:val="center"/>
          </w:tcPr>
          <w:p w14:paraId="17D7F02D">
            <w:pPr>
              <w:spacing w:before="0" w:after="0" w:line="252" w:lineRule="auto"/>
              <w:jc w:val="left"/>
            </w:pPr>
            <w:r>
              <w:rPr>
                <w:rFonts w:ascii="Calibri" w:hAnsi="Calibri"/>
                <w:b w:val="0"/>
                <w:i w:val="0"/>
                <w:color w:val="222222"/>
                <w:sz w:val="17"/>
              </w:rPr>
              <w:t>The online platform was configured to prevent more than one submission by the same user.</w:t>
            </w:r>
          </w:p>
        </w:tc>
      </w:tr>
      <w:tr w14:paraId="1BF0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6D3E3CD8">
            <w:pPr>
              <w:spacing w:before="0" w:after="0" w:line="252" w:lineRule="auto"/>
              <w:jc w:val="center"/>
            </w:pPr>
            <w:r>
              <w:rPr>
                <w:rFonts w:ascii="Calibri" w:hAnsi="Calibri"/>
                <w:b w:val="0"/>
                <w:i w:val="0"/>
                <w:color w:val="222222"/>
                <w:sz w:val="17"/>
              </w:rPr>
              <w:t>Data-quality exclusions</w:t>
            </w:r>
          </w:p>
        </w:tc>
        <w:tc>
          <w:tcPr>
            <w:tcW w:w="6860" w:type="dxa"/>
            <w:tcMar>
              <w:top w:w="80" w:type="dxa"/>
              <w:left w:w="120" w:type="dxa"/>
              <w:bottom w:w="80" w:type="dxa"/>
              <w:right w:w="120" w:type="dxa"/>
            </w:tcMar>
            <w:vAlign w:val="center"/>
          </w:tcPr>
          <w:p w14:paraId="13DA3A72">
            <w:pPr>
              <w:spacing w:before="0" w:after="0" w:line="252" w:lineRule="auto"/>
              <w:jc w:val="left"/>
            </w:pPr>
            <w:r>
              <w:rPr>
                <w:rFonts w:ascii="Calibri" w:hAnsi="Calibri"/>
                <w:b w:val="0"/>
                <w:i w:val="0"/>
                <w:color w:val="222222"/>
                <w:sz w:val="17"/>
              </w:rPr>
              <w:t>Four questionnaires completed in &lt;3 minutes and ten completed in &gt;1 hour were excluded. The primary analysis included 444 of 458 submissions.</w:t>
            </w:r>
          </w:p>
        </w:tc>
      </w:tr>
      <w:tr w14:paraId="220D0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2CB28FAF">
            <w:pPr>
              <w:spacing w:before="0" w:after="0" w:line="252" w:lineRule="auto"/>
              <w:jc w:val="center"/>
            </w:pPr>
            <w:r>
              <w:rPr>
                <w:rFonts w:ascii="Calibri" w:hAnsi="Calibri"/>
                <w:b w:val="0"/>
                <w:i w:val="0"/>
                <w:color w:val="222222"/>
                <w:sz w:val="17"/>
              </w:rPr>
              <w:t>Questionnaire development</w:t>
            </w:r>
          </w:p>
        </w:tc>
        <w:tc>
          <w:tcPr>
            <w:tcW w:w="6860" w:type="dxa"/>
            <w:tcMar>
              <w:top w:w="80" w:type="dxa"/>
              <w:left w:w="120" w:type="dxa"/>
              <w:bottom w:w="80" w:type="dxa"/>
              <w:right w:w="120" w:type="dxa"/>
            </w:tcMar>
            <w:vAlign w:val="center"/>
          </w:tcPr>
          <w:p w14:paraId="3E372C28">
            <w:pPr>
              <w:spacing w:before="0" w:after="0" w:line="252" w:lineRule="auto"/>
              <w:jc w:val="left"/>
            </w:pPr>
            <w:r>
              <w:rPr>
                <w:rFonts w:ascii="Calibri" w:hAnsi="Calibri"/>
                <w:b w:val="0"/>
                <w:i w:val="0"/>
                <w:color w:val="222222"/>
                <w:sz w:val="17"/>
              </w:rPr>
              <w:t>Items were informed by diabetes guidelines, medication labels, and relevant literature. Knowledge answers were reviewed by endocrinology specialists and clinical pharmacists.</w:t>
            </w:r>
          </w:p>
        </w:tc>
      </w:tr>
      <w:tr w14:paraId="3237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2B9143E1">
            <w:pPr>
              <w:spacing w:before="0" w:after="0" w:line="252" w:lineRule="auto"/>
              <w:jc w:val="center"/>
            </w:pPr>
            <w:r>
              <w:rPr>
                <w:rFonts w:ascii="Calibri" w:hAnsi="Calibri"/>
                <w:b w:val="0"/>
                <w:i w:val="0"/>
                <w:color w:val="222222"/>
                <w:sz w:val="17"/>
              </w:rPr>
              <w:t>Pilot testing</w:t>
            </w:r>
          </w:p>
        </w:tc>
        <w:tc>
          <w:tcPr>
            <w:tcW w:w="6860" w:type="dxa"/>
            <w:tcMar>
              <w:top w:w="80" w:type="dxa"/>
              <w:left w:w="120" w:type="dxa"/>
              <w:bottom w:w="80" w:type="dxa"/>
              <w:right w:w="120" w:type="dxa"/>
            </w:tcMar>
            <w:vAlign w:val="center"/>
          </w:tcPr>
          <w:p w14:paraId="5F4064E2">
            <w:pPr>
              <w:spacing w:before="0" w:after="0" w:line="252" w:lineRule="auto"/>
              <w:jc w:val="left"/>
            </w:pPr>
            <w:r>
              <w:rPr>
                <w:rFonts w:ascii="Calibri" w:hAnsi="Calibri"/>
                <w:b w:val="0"/>
                <w:i w:val="0"/>
                <w:color w:val="222222"/>
                <w:sz w:val="17"/>
              </w:rPr>
              <w:t>A 28-participant pilot assessed comprehensibility, completion time, feasibility, and preliminary internal consistency. The final knowledge section was shortened to 20 items.</w:t>
            </w:r>
          </w:p>
        </w:tc>
      </w:tr>
      <w:tr w14:paraId="5857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00F3B594">
            <w:pPr>
              <w:spacing w:before="0" w:after="0" w:line="252" w:lineRule="auto"/>
              <w:jc w:val="center"/>
            </w:pPr>
            <w:r>
              <w:rPr>
                <w:rFonts w:ascii="Calibri" w:hAnsi="Calibri"/>
                <w:b w:val="0"/>
                <w:i w:val="0"/>
                <w:color w:val="222222"/>
                <w:sz w:val="17"/>
              </w:rPr>
              <w:t>Knowledge score</w:t>
            </w:r>
          </w:p>
        </w:tc>
        <w:tc>
          <w:tcPr>
            <w:tcW w:w="6860" w:type="dxa"/>
            <w:tcMar>
              <w:top w:w="80" w:type="dxa"/>
              <w:left w:w="120" w:type="dxa"/>
              <w:bottom w:w="80" w:type="dxa"/>
              <w:right w:w="120" w:type="dxa"/>
            </w:tcMar>
            <w:vAlign w:val="center"/>
          </w:tcPr>
          <w:p w14:paraId="7CAC7707">
            <w:pPr>
              <w:spacing w:before="0" w:after="0" w:line="252" w:lineRule="auto"/>
              <w:jc w:val="left"/>
            </w:pPr>
            <w:r>
              <w:rPr>
                <w:rFonts w:ascii="Calibri" w:hAnsi="Calibri"/>
                <w:b w:val="0"/>
                <w:i w:val="0"/>
                <w:color w:val="222222"/>
                <w:sz w:val="17"/>
              </w:rPr>
              <w:t>Twenty equally weighted binary items; strict all-correct-and-no-incorrect scoring for multiple-response items; total 0-20. KR-20=0.741 in the locked dataset.</w:t>
            </w:r>
          </w:p>
        </w:tc>
      </w:tr>
      <w:tr w14:paraId="28EF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29369503">
            <w:pPr>
              <w:spacing w:before="0" w:after="0" w:line="252" w:lineRule="auto"/>
              <w:jc w:val="center"/>
            </w:pPr>
            <w:r>
              <w:rPr>
                <w:rFonts w:ascii="Calibri" w:hAnsi="Calibri"/>
                <w:b w:val="0"/>
                <w:i w:val="0"/>
                <w:color w:val="222222"/>
                <w:sz w:val="17"/>
              </w:rPr>
              <w:t>Positive belief score</w:t>
            </w:r>
          </w:p>
        </w:tc>
        <w:tc>
          <w:tcPr>
            <w:tcW w:w="6860" w:type="dxa"/>
            <w:tcMar>
              <w:top w:w="80" w:type="dxa"/>
              <w:left w:w="120" w:type="dxa"/>
              <w:bottom w:w="80" w:type="dxa"/>
              <w:right w:w="120" w:type="dxa"/>
            </w:tcMar>
            <w:vAlign w:val="center"/>
          </w:tcPr>
          <w:p w14:paraId="0DCB6892">
            <w:pPr>
              <w:spacing w:before="0" w:after="0" w:line="252" w:lineRule="auto"/>
              <w:jc w:val="left"/>
            </w:pPr>
            <w:r>
              <w:rPr>
                <w:rFonts w:ascii="Calibri" w:hAnsi="Calibri"/>
                <w:b w:val="0"/>
                <w:i w:val="0"/>
                <w:color w:val="222222"/>
                <w:sz w:val="17"/>
              </w:rPr>
              <w:t>Mean of items on effectiveness, safety trust, prescribing intention, guideline mastery, and long-term benefit (five 1-5 Likert items); Cronbach's alpha=0.917.</w:t>
            </w:r>
          </w:p>
        </w:tc>
      </w:tr>
      <w:tr w14:paraId="1C77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2E4FD6F5">
            <w:pPr>
              <w:spacing w:before="0" w:after="0" w:line="252" w:lineRule="auto"/>
              <w:jc w:val="center"/>
            </w:pPr>
            <w:r>
              <w:rPr>
                <w:rFonts w:ascii="Calibri" w:hAnsi="Calibri"/>
                <w:b w:val="0"/>
                <w:i w:val="0"/>
                <w:color w:val="222222"/>
                <w:sz w:val="17"/>
              </w:rPr>
              <w:t>Perceived barrier score</w:t>
            </w:r>
          </w:p>
        </w:tc>
        <w:tc>
          <w:tcPr>
            <w:tcW w:w="6860" w:type="dxa"/>
            <w:tcMar>
              <w:top w:w="80" w:type="dxa"/>
              <w:left w:w="120" w:type="dxa"/>
              <w:bottom w:w="80" w:type="dxa"/>
              <w:right w:w="120" w:type="dxa"/>
            </w:tcMar>
            <w:vAlign w:val="center"/>
          </w:tcPr>
          <w:p w14:paraId="24B506F7">
            <w:pPr>
              <w:spacing w:before="0" w:after="0" w:line="252" w:lineRule="auto"/>
              <w:jc w:val="left"/>
            </w:pPr>
            <w:r>
              <w:rPr>
                <w:rFonts w:ascii="Calibri" w:hAnsi="Calibri"/>
                <w:b w:val="0"/>
                <w:i w:val="0"/>
                <w:color w:val="222222"/>
                <w:sz w:val="17"/>
              </w:rPr>
              <w:t>Mean of concern about adverse effects and perceived price/reimbursement restriction (two 1-5 Likert items); Cronbach's alpha=0.703.</w:t>
            </w:r>
          </w:p>
        </w:tc>
      </w:tr>
      <w:tr w14:paraId="3E7F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5810043C">
            <w:pPr>
              <w:spacing w:before="0" w:after="0" w:line="252" w:lineRule="auto"/>
              <w:jc w:val="center"/>
            </w:pPr>
            <w:r>
              <w:rPr>
                <w:rFonts w:ascii="Calibri" w:hAnsi="Calibri"/>
                <w:b w:val="0"/>
                <w:i w:val="0"/>
                <w:color w:val="222222"/>
                <w:sz w:val="17"/>
              </w:rPr>
              <w:t>Primary outcomes</w:t>
            </w:r>
          </w:p>
        </w:tc>
        <w:tc>
          <w:tcPr>
            <w:tcW w:w="6860" w:type="dxa"/>
            <w:tcMar>
              <w:top w:w="80" w:type="dxa"/>
              <w:left w:w="120" w:type="dxa"/>
              <w:bottom w:w="80" w:type="dxa"/>
              <w:right w:w="120" w:type="dxa"/>
            </w:tcMar>
            <w:vAlign w:val="center"/>
          </w:tcPr>
          <w:p w14:paraId="73FD12E6">
            <w:pPr>
              <w:spacing w:before="0" w:after="0" w:line="252" w:lineRule="auto"/>
              <w:jc w:val="left"/>
            </w:pPr>
            <w:r>
              <w:rPr>
                <w:rFonts w:ascii="Calibri" w:hAnsi="Calibri"/>
                <w:b w:val="0"/>
                <w:i w:val="0"/>
                <w:color w:val="222222"/>
                <w:sz w:val="17"/>
              </w:rPr>
              <w:t>Self-reported prescribing of an SGLT2 inhibitor and of a GLP-1 receptor agonist during the preceding 3 months, each coded yes/no.</w:t>
            </w:r>
          </w:p>
        </w:tc>
      </w:tr>
      <w:tr w14:paraId="67D7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01AB6A43">
            <w:pPr>
              <w:spacing w:before="0" w:after="0" w:line="252" w:lineRule="auto"/>
              <w:jc w:val="center"/>
            </w:pPr>
            <w:r>
              <w:rPr>
                <w:rFonts w:ascii="Calibri" w:hAnsi="Calibri"/>
                <w:b w:val="0"/>
                <w:i w:val="0"/>
                <w:color w:val="222222"/>
                <w:sz w:val="17"/>
              </w:rPr>
              <w:t>Covariates</w:t>
            </w:r>
          </w:p>
        </w:tc>
        <w:tc>
          <w:tcPr>
            <w:tcW w:w="6860" w:type="dxa"/>
            <w:tcMar>
              <w:top w:w="80" w:type="dxa"/>
              <w:left w:w="120" w:type="dxa"/>
              <w:bottom w:w="80" w:type="dxa"/>
              <w:right w:w="120" w:type="dxa"/>
            </w:tcMar>
            <w:vAlign w:val="center"/>
          </w:tcPr>
          <w:p w14:paraId="378B68F6">
            <w:pPr>
              <w:spacing w:before="0" w:after="0" w:line="252" w:lineRule="auto"/>
              <w:jc w:val="left"/>
            </w:pPr>
            <w:r>
              <w:rPr>
                <w:rFonts w:ascii="Calibri" w:hAnsi="Calibri"/>
                <w:b w:val="0"/>
                <w:i w:val="0"/>
                <w:color w:val="222222"/>
                <w:sz w:val="17"/>
              </w:rPr>
              <w:t>Knowledge score; positive belief score; perceived barrier score; training frequency; sex; education; title; department; years in practice; and medication-supply limitation frequency.</w:t>
            </w:r>
          </w:p>
        </w:tc>
      </w:tr>
      <w:tr w14:paraId="2227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6C507618">
            <w:pPr>
              <w:spacing w:before="0" w:after="0" w:line="252" w:lineRule="auto"/>
              <w:jc w:val="center"/>
            </w:pPr>
            <w:r>
              <w:rPr>
                <w:rFonts w:ascii="Calibri" w:hAnsi="Calibri"/>
                <w:b w:val="0"/>
                <w:i w:val="0"/>
                <w:color w:val="222222"/>
                <w:sz w:val="17"/>
              </w:rPr>
              <w:t>Reference categories</w:t>
            </w:r>
          </w:p>
        </w:tc>
        <w:tc>
          <w:tcPr>
            <w:tcW w:w="6860" w:type="dxa"/>
            <w:tcMar>
              <w:top w:w="80" w:type="dxa"/>
              <w:left w:w="120" w:type="dxa"/>
              <w:bottom w:w="80" w:type="dxa"/>
              <w:right w:w="120" w:type="dxa"/>
            </w:tcMar>
            <w:vAlign w:val="center"/>
          </w:tcPr>
          <w:p w14:paraId="68D069C9">
            <w:pPr>
              <w:spacing w:before="0" w:after="0" w:line="252" w:lineRule="auto"/>
              <w:jc w:val="left"/>
            </w:pPr>
            <w:r>
              <w:rPr>
                <w:rFonts w:ascii="Calibri" w:hAnsi="Calibri"/>
                <w:b w:val="0"/>
                <w:i w:val="0"/>
                <w:color w:val="222222"/>
                <w:sz w:val="17"/>
              </w:rPr>
              <w:t>Training: none; sex: male; education: bachelor's degree or lower; title: junior; department: other; supply limitation: never.</w:t>
            </w:r>
          </w:p>
        </w:tc>
      </w:tr>
      <w:tr w14:paraId="50C6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029BAEC8">
            <w:pPr>
              <w:spacing w:before="0" w:after="0" w:line="252" w:lineRule="auto"/>
              <w:jc w:val="center"/>
            </w:pPr>
            <w:r>
              <w:rPr>
                <w:rFonts w:ascii="Calibri" w:hAnsi="Calibri"/>
                <w:b w:val="0"/>
                <w:i w:val="0"/>
                <w:color w:val="222222"/>
                <w:sz w:val="17"/>
              </w:rPr>
              <w:t>Missing data</w:t>
            </w:r>
          </w:p>
        </w:tc>
        <w:tc>
          <w:tcPr>
            <w:tcW w:w="6860" w:type="dxa"/>
            <w:tcMar>
              <w:top w:w="80" w:type="dxa"/>
              <w:left w:w="120" w:type="dxa"/>
              <w:bottom w:w="80" w:type="dxa"/>
              <w:right w:w="120" w:type="dxa"/>
            </w:tcMar>
            <w:vAlign w:val="center"/>
          </w:tcPr>
          <w:p w14:paraId="15A815BA">
            <w:pPr>
              <w:spacing w:before="0" w:after="0" w:line="252" w:lineRule="auto"/>
              <w:jc w:val="left"/>
            </w:pPr>
            <w:r>
              <w:rPr>
                <w:rFonts w:ascii="Calibri" w:hAnsi="Calibri"/>
                <w:b w:val="0"/>
                <w:i w:val="0"/>
                <w:color w:val="222222"/>
                <w:sz w:val="17"/>
              </w:rPr>
              <w:t>No missing values in core demographic, knowledge, belief, training, or principal outcome variables among the 444 included records; no imputation was performed.</w:t>
            </w:r>
          </w:p>
        </w:tc>
      </w:tr>
      <w:tr w14:paraId="736E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15EA569C">
            <w:pPr>
              <w:spacing w:before="0" w:after="0" w:line="252" w:lineRule="auto"/>
              <w:jc w:val="center"/>
            </w:pPr>
            <w:r>
              <w:rPr>
                <w:rFonts w:ascii="Calibri" w:hAnsi="Calibri"/>
                <w:b w:val="0"/>
                <w:i w:val="0"/>
                <w:color w:val="222222"/>
                <w:sz w:val="17"/>
              </w:rPr>
              <w:t>Clustered model</w:t>
            </w:r>
          </w:p>
        </w:tc>
        <w:tc>
          <w:tcPr>
            <w:tcW w:w="6860" w:type="dxa"/>
            <w:tcMar>
              <w:top w:w="80" w:type="dxa"/>
              <w:left w:w="120" w:type="dxa"/>
              <w:bottom w:w="80" w:type="dxa"/>
              <w:right w:w="120" w:type="dxa"/>
            </w:tcMar>
            <w:vAlign w:val="center"/>
          </w:tcPr>
          <w:p w14:paraId="43F3EFA5">
            <w:pPr>
              <w:spacing w:before="0" w:after="0" w:line="252" w:lineRule="auto"/>
              <w:jc w:val="left"/>
            </w:pPr>
            <w:r>
              <w:rPr>
                <w:rFonts w:ascii="Calibri" w:hAnsi="Calibri"/>
                <w:b w:val="0"/>
                <w:i w:val="0"/>
                <w:color w:val="222222"/>
                <w:sz w:val="17"/>
              </w:rPr>
              <w:t>Random-intercept logistic models were attempted but did not meet the numerical convergence criterion. Final models used GEE with institution as subject, exchangeable working correlation, and empirical robust standard errors.</w:t>
            </w:r>
          </w:p>
        </w:tc>
      </w:tr>
      <w:tr w14:paraId="22FA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7C10E72B">
            <w:pPr>
              <w:spacing w:before="0" w:after="0" w:line="252" w:lineRule="auto"/>
              <w:jc w:val="center"/>
            </w:pPr>
            <w:r>
              <w:rPr>
                <w:rFonts w:ascii="Calibri" w:hAnsi="Calibri"/>
                <w:b w:val="0"/>
                <w:i w:val="0"/>
                <w:color w:val="222222"/>
                <w:sz w:val="17"/>
              </w:rPr>
              <w:t>Inference</w:t>
            </w:r>
          </w:p>
        </w:tc>
        <w:tc>
          <w:tcPr>
            <w:tcW w:w="6860" w:type="dxa"/>
            <w:tcMar>
              <w:top w:w="80" w:type="dxa"/>
              <w:left w:w="120" w:type="dxa"/>
              <w:bottom w:w="80" w:type="dxa"/>
              <w:right w:w="120" w:type="dxa"/>
            </w:tcMar>
            <w:vAlign w:val="center"/>
          </w:tcPr>
          <w:p w14:paraId="6509E084">
            <w:pPr>
              <w:spacing w:before="0" w:after="0" w:line="252" w:lineRule="auto"/>
              <w:jc w:val="left"/>
            </w:pPr>
            <w:r>
              <w:rPr>
                <w:rFonts w:ascii="Calibri" w:hAnsi="Calibri"/>
                <w:b w:val="0"/>
                <w:i w:val="0"/>
                <w:color w:val="222222"/>
                <w:sz w:val="17"/>
              </w:rPr>
              <w:t>Adjusted odds ratios with 95% confidence intervals; two-sided tests; P&lt;0.05. Statistical specification intended for IBM SPSS Statistics 26.0.</w:t>
            </w:r>
          </w:p>
        </w:tc>
      </w:tr>
      <w:tr w14:paraId="6A3E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dxa"/>
            <w:tcMar>
              <w:top w:w="80" w:type="dxa"/>
              <w:left w:w="120" w:type="dxa"/>
              <w:bottom w:w="80" w:type="dxa"/>
              <w:right w:w="120" w:type="dxa"/>
            </w:tcMar>
            <w:vAlign w:val="center"/>
          </w:tcPr>
          <w:p w14:paraId="25FD18E0">
            <w:pPr>
              <w:spacing w:before="0" w:after="0" w:line="252" w:lineRule="auto"/>
              <w:jc w:val="center"/>
            </w:pPr>
            <w:r>
              <w:rPr>
                <w:rFonts w:ascii="Calibri" w:hAnsi="Calibri"/>
                <w:b w:val="0"/>
                <w:i w:val="0"/>
                <w:color w:val="222222"/>
                <w:sz w:val="17"/>
              </w:rPr>
              <w:t>Ethics and consent</w:t>
            </w:r>
          </w:p>
        </w:tc>
        <w:tc>
          <w:tcPr>
            <w:tcW w:w="6860" w:type="dxa"/>
            <w:tcMar>
              <w:top w:w="80" w:type="dxa"/>
              <w:left w:w="120" w:type="dxa"/>
              <w:bottom w:w="80" w:type="dxa"/>
              <w:right w:w="120" w:type="dxa"/>
            </w:tcMar>
            <w:vAlign w:val="center"/>
          </w:tcPr>
          <w:p w14:paraId="2D32B57F">
            <w:pPr>
              <w:spacing w:before="0" w:after="0" w:line="252" w:lineRule="auto"/>
              <w:jc w:val="left"/>
            </w:pPr>
            <w:r>
              <w:rPr>
                <w:rFonts w:ascii="Calibri" w:hAnsi="Calibri"/>
                <w:b w:val="0"/>
                <w:i w:val="0"/>
                <w:color w:val="222222"/>
                <w:sz w:val="17"/>
              </w:rPr>
              <w:t>Electronic informed consent was obtained before questionnaire access. No compensation was provided. Insert the ethics committee's exact retrospective review/exemption decision, committee name, reference number, and date before submission.</w:t>
            </w:r>
          </w:p>
        </w:tc>
      </w:tr>
    </w:tbl>
    <w:p w14:paraId="360BBE5D">
      <w:pPr>
        <w:pStyle w:val="3"/>
        <w:pageBreakBefore/>
      </w:pPr>
      <w:r>
        <w:t>Table S3. Institutional sample distribution</w:t>
      </w:r>
    </w:p>
    <w:tbl>
      <w:tblPr>
        <w:tblStyle w:val="33"/>
        <w:tblW w:w="936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6210"/>
        <w:gridCol w:w="1050"/>
        <w:gridCol w:w="1250"/>
      </w:tblGrid>
      <w:tr w14:paraId="6BE5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50" w:type="dxa"/>
            <w:shd w:val="clear" w:color="auto" w:fill="E8EEF5"/>
            <w:tcMar>
              <w:top w:w="80" w:type="dxa"/>
              <w:left w:w="120" w:type="dxa"/>
              <w:bottom w:w="80" w:type="dxa"/>
              <w:right w:w="120" w:type="dxa"/>
            </w:tcMar>
            <w:vAlign w:val="center"/>
          </w:tcPr>
          <w:p w14:paraId="4EAA2BF0">
            <w:pPr>
              <w:spacing w:before="0" w:after="0" w:line="252" w:lineRule="auto"/>
              <w:jc w:val="center"/>
            </w:pPr>
            <w:r>
              <w:rPr>
                <w:rFonts w:ascii="Calibri" w:hAnsi="Calibri"/>
                <w:b/>
                <w:i w:val="0"/>
                <w:color w:val="222222"/>
                <w:sz w:val="18"/>
              </w:rPr>
              <w:t>Rank</w:t>
            </w:r>
          </w:p>
        </w:tc>
        <w:tc>
          <w:tcPr>
            <w:tcW w:w="6210" w:type="dxa"/>
            <w:shd w:val="clear" w:color="auto" w:fill="E8EEF5"/>
            <w:tcMar>
              <w:top w:w="80" w:type="dxa"/>
              <w:left w:w="120" w:type="dxa"/>
              <w:bottom w:w="80" w:type="dxa"/>
              <w:right w:w="120" w:type="dxa"/>
            </w:tcMar>
            <w:vAlign w:val="center"/>
          </w:tcPr>
          <w:p w14:paraId="4A92D257">
            <w:pPr>
              <w:spacing w:before="0" w:after="0" w:line="252" w:lineRule="auto"/>
              <w:jc w:val="center"/>
            </w:pPr>
            <w:r>
              <w:rPr>
                <w:rFonts w:ascii="Calibri" w:hAnsi="Calibri"/>
                <w:b/>
                <w:i w:val="0"/>
                <w:color w:val="222222"/>
                <w:sz w:val="18"/>
              </w:rPr>
              <w:t>Institution</w:t>
            </w:r>
          </w:p>
        </w:tc>
        <w:tc>
          <w:tcPr>
            <w:tcW w:w="1050" w:type="dxa"/>
            <w:shd w:val="clear" w:color="auto" w:fill="E8EEF5"/>
            <w:tcMar>
              <w:top w:w="80" w:type="dxa"/>
              <w:left w:w="120" w:type="dxa"/>
              <w:bottom w:w="80" w:type="dxa"/>
              <w:right w:w="120" w:type="dxa"/>
            </w:tcMar>
            <w:vAlign w:val="center"/>
          </w:tcPr>
          <w:p w14:paraId="6F0B6144">
            <w:pPr>
              <w:spacing w:before="0" w:after="0" w:line="252" w:lineRule="auto"/>
              <w:jc w:val="center"/>
            </w:pPr>
            <w:r>
              <w:rPr>
                <w:rFonts w:ascii="Calibri" w:hAnsi="Calibri"/>
                <w:b/>
                <w:i w:val="0"/>
                <w:color w:val="222222"/>
                <w:sz w:val="18"/>
              </w:rPr>
              <w:t>n</w:t>
            </w:r>
          </w:p>
        </w:tc>
        <w:tc>
          <w:tcPr>
            <w:tcW w:w="1250" w:type="dxa"/>
            <w:shd w:val="clear" w:color="auto" w:fill="E8EEF5"/>
            <w:tcMar>
              <w:top w:w="80" w:type="dxa"/>
              <w:left w:w="120" w:type="dxa"/>
              <w:bottom w:w="80" w:type="dxa"/>
              <w:right w:w="120" w:type="dxa"/>
            </w:tcMar>
            <w:vAlign w:val="center"/>
          </w:tcPr>
          <w:p w14:paraId="69BC80E0">
            <w:pPr>
              <w:spacing w:before="0" w:after="0" w:line="252" w:lineRule="auto"/>
              <w:jc w:val="center"/>
            </w:pPr>
            <w:r>
              <w:rPr>
                <w:rFonts w:ascii="Calibri" w:hAnsi="Calibri"/>
                <w:b/>
                <w:i w:val="0"/>
                <w:color w:val="222222"/>
                <w:sz w:val="18"/>
              </w:rPr>
              <w:t>%</w:t>
            </w:r>
          </w:p>
        </w:tc>
      </w:tr>
      <w:tr w14:paraId="7C95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2F6A3F95">
            <w:pPr>
              <w:spacing w:before="0" w:after="0" w:line="252" w:lineRule="auto"/>
              <w:jc w:val="center"/>
            </w:pPr>
            <w:r>
              <w:rPr>
                <w:rFonts w:ascii="Calibri" w:hAnsi="Calibri"/>
                <w:b w:val="0"/>
                <w:i w:val="0"/>
                <w:color w:val="222222"/>
                <w:sz w:val="18"/>
              </w:rPr>
              <w:t>1</w:t>
            </w:r>
          </w:p>
        </w:tc>
        <w:tc>
          <w:tcPr>
            <w:tcW w:w="6210" w:type="dxa"/>
            <w:tcMar>
              <w:top w:w="80" w:type="dxa"/>
              <w:left w:w="120" w:type="dxa"/>
              <w:bottom w:w="80" w:type="dxa"/>
              <w:right w:w="120" w:type="dxa"/>
            </w:tcMar>
            <w:vAlign w:val="center"/>
          </w:tcPr>
          <w:p w14:paraId="207FC5A2">
            <w:pPr>
              <w:spacing w:before="0" w:after="0" w:line="252" w:lineRule="auto"/>
              <w:jc w:val="left"/>
            </w:pPr>
            <w:r>
              <w:rPr>
                <w:rFonts w:ascii="Calibri" w:hAnsi="Calibri"/>
                <w:b w:val="0"/>
                <w:i w:val="0"/>
                <w:color w:val="222222"/>
                <w:sz w:val="18"/>
              </w:rPr>
              <w:t>Huinan Community Health Service Center</w:t>
            </w:r>
          </w:p>
        </w:tc>
        <w:tc>
          <w:tcPr>
            <w:tcW w:w="1050" w:type="dxa"/>
            <w:tcMar>
              <w:top w:w="80" w:type="dxa"/>
              <w:left w:w="120" w:type="dxa"/>
              <w:bottom w:w="80" w:type="dxa"/>
              <w:right w:w="120" w:type="dxa"/>
            </w:tcMar>
            <w:vAlign w:val="center"/>
          </w:tcPr>
          <w:p w14:paraId="7284160A">
            <w:pPr>
              <w:spacing w:before="0" w:after="0" w:line="252" w:lineRule="auto"/>
              <w:jc w:val="left"/>
            </w:pPr>
            <w:r>
              <w:rPr>
                <w:rFonts w:ascii="Calibri" w:hAnsi="Calibri"/>
                <w:b w:val="0"/>
                <w:i w:val="0"/>
                <w:color w:val="222222"/>
                <w:sz w:val="18"/>
              </w:rPr>
              <w:t>63</w:t>
            </w:r>
          </w:p>
        </w:tc>
        <w:tc>
          <w:tcPr>
            <w:tcW w:w="1250" w:type="dxa"/>
            <w:tcMar>
              <w:top w:w="80" w:type="dxa"/>
              <w:left w:w="120" w:type="dxa"/>
              <w:bottom w:w="80" w:type="dxa"/>
              <w:right w:w="120" w:type="dxa"/>
            </w:tcMar>
            <w:vAlign w:val="center"/>
          </w:tcPr>
          <w:p w14:paraId="3CF5F35B">
            <w:pPr>
              <w:spacing w:before="0" w:after="0" w:line="252" w:lineRule="auto"/>
              <w:jc w:val="left"/>
            </w:pPr>
            <w:r>
              <w:rPr>
                <w:rFonts w:ascii="Calibri" w:hAnsi="Calibri"/>
                <w:b w:val="0"/>
                <w:i w:val="0"/>
                <w:color w:val="222222"/>
                <w:sz w:val="18"/>
              </w:rPr>
              <w:t>14.2</w:t>
            </w:r>
          </w:p>
        </w:tc>
      </w:tr>
      <w:tr w14:paraId="71AA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7FDABC26">
            <w:pPr>
              <w:spacing w:before="0" w:after="0" w:line="252" w:lineRule="auto"/>
              <w:jc w:val="center"/>
            </w:pPr>
            <w:r>
              <w:rPr>
                <w:rFonts w:ascii="Calibri" w:hAnsi="Calibri"/>
                <w:b w:val="0"/>
                <w:i w:val="0"/>
                <w:color w:val="222222"/>
                <w:sz w:val="18"/>
              </w:rPr>
              <w:t>2</w:t>
            </w:r>
          </w:p>
        </w:tc>
        <w:tc>
          <w:tcPr>
            <w:tcW w:w="6210" w:type="dxa"/>
            <w:tcMar>
              <w:top w:w="80" w:type="dxa"/>
              <w:left w:w="120" w:type="dxa"/>
              <w:bottom w:w="80" w:type="dxa"/>
              <w:right w:w="120" w:type="dxa"/>
            </w:tcMar>
            <w:vAlign w:val="center"/>
          </w:tcPr>
          <w:p w14:paraId="62403B56">
            <w:pPr>
              <w:spacing w:before="0" w:after="0" w:line="252" w:lineRule="auto"/>
              <w:jc w:val="left"/>
            </w:pPr>
            <w:r>
              <w:rPr>
                <w:rFonts w:ascii="Calibri" w:hAnsi="Calibri"/>
                <w:b w:val="0"/>
                <w:i w:val="0"/>
                <w:color w:val="222222"/>
                <w:sz w:val="18"/>
              </w:rPr>
              <w:t>Laogang Community Health Service Center</w:t>
            </w:r>
          </w:p>
        </w:tc>
        <w:tc>
          <w:tcPr>
            <w:tcW w:w="1050" w:type="dxa"/>
            <w:tcMar>
              <w:top w:w="80" w:type="dxa"/>
              <w:left w:w="120" w:type="dxa"/>
              <w:bottom w:w="80" w:type="dxa"/>
              <w:right w:w="120" w:type="dxa"/>
            </w:tcMar>
            <w:vAlign w:val="center"/>
          </w:tcPr>
          <w:p w14:paraId="629B24FA">
            <w:pPr>
              <w:spacing w:before="0" w:after="0" w:line="252" w:lineRule="auto"/>
              <w:jc w:val="left"/>
            </w:pPr>
            <w:r>
              <w:rPr>
                <w:rFonts w:ascii="Calibri" w:hAnsi="Calibri"/>
                <w:b w:val="0"/>
                <w:i w:val="0"/>
                <w:color w:val="222222"/>
                <w:sz w:val="18"/>
              </w:rPr>
              <w:t>43</w:t>
            </w:r>
          </w:p>
        </w:tc>
        <w:tc>
          <w:tcPr>
            <w:tcW w:w="1250" w:type="dxa"/>
            <w:tcMar>
              <w:top w:w="80" w:type="dxa"/>
              <w:left w:w="120" w:type="dxa"/>
              <w:bottom w:w="80" w:type="dxa"/>
              <w:right w:w="120" w:type="dxa"/>
            </w:tcMar>
            <w:vAlign w:val="center"/>
          </w:tcPr>
          <w:p w14:paraId="730141C0">
            <w:pPr>
              <w:spacing w:before="0" w:after="0" w:line="252" w:lineRule="auto"/>
              <w:jc w:val="left"/>
            </w:pPr>
            <w:r>
              <w:rPr>
                <w:rFonts w:ascii="Calibri" w:hAnsi="Calibri"/>
                <w:b w:val="0"/>
                <w:i w:val="0"/>
                <w:color w:val="222222"/>
                <w:sz w:val="18"/>
              </w:rPr>
              <w:t>9.7</w:t>
            </w:r>
          </w:p>
        </w:tc>
      </w:tr>
      <w:tr w14:paraId="0BF2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11C2552F">
            <w:pPr>
              <w:spacing w:before="0" w:after="0" w:line="252" w:lineRule="auto"/>
              <w:jc w:val="center"/>
            </w:pPr>
            <w:r>
              <w:rPr>
                <w:rFonts w:ascii="Calibri" w:hAnsi="Calibri"/>
                <w:b w:val="0"/>
                <w:i w:val="0"/>
                <w:color w:val="222222"/>
                <w:sz w:val="18"/>
              </w:rPr>
              <w:t>3</w:t>
            </w:r>
          </w:p>
        </w:tc>
        <w:tc>
          <w:tcPr>
            <w:tcW w:w="6210" w:type="dxa"/>
            <w:tcMar>
              <w:top w:w="80" w:type="dxa"/>
              <w:left w:w="120" w:type="dxa"/>
              <w:bottom w:w="80" w:type="dxa"/>
              <w:right w:w="120" w:type="dxa"/>
            </w:tcMar>
            <w:vAlign w:val="center"/>
          </w:tcPr>
          <w:p w14:paraId="349B8F19">
            <w:pPr>
              <w:spacing w:before="0" w:after="0" w:line="252" w:lineRule="auto"/>
              <w:jc w:val="left"/>
            </w:pPr>
            <w:r>
              <w:rPr>
                <w:rFonts w:ascii="Calibri" w:hAnsi="Calibri"/>
                <w:b w:val="0"/>
                <w:i w:val="0"/>
                <w:color w:val="222222"/>
                <w:sz w:val="18"/>
              </w:rPr>
              <w:t>Datuan Community Health Service Center</w:t>
            </w:r>
          </w:p>
        </w:tc>
        <w:tc>
          <w:tcPr>
            <w:tcW w:w="1050" w:type="dxa"/>
            <w:tcMar>
              <w:top w:w="80" w:type="dxa"/>
              <w:left w:w="120" w:type="dxa"/>
              <w:bottom w:w="80" w:type="dxa"/>
              <w:right w:w="120" w:type="dxa"/>
            </w:tcMar>
            <w:vAlign w:val="center"/>
          </w:tcPr>
          <w:p w14:paraId="0A1011EA">
            <w:pPr>
              <w:spacing w:before="0" w:after="0" w:line="252" w:lineRule="auto"/>
              <w:jc w:val="left"/>
            </w:pPr>
            <w:r>
              <w:rPr>
                <w:rFonts w:ascii="Calibri" w:hAnsi="Calibri"/>
                <w:b w:val="0"/>
                <w:i w:val="0"/>
                <w:color w:val="222222"/>
                <w:sz w:val="18"/>
              </w:rPr>
              <w:t>32</w:t>
            </w:r>
          </w:p>
        </w:tc>
        <w:tc>
          <w:tcPr>
            <w:tcW w:w="1250" w:type="dxa"/>
            <w:tcMar>
              <w:top w:w="80" w:type="dxa"/>
              <w:left w:w="120" w:type="dxa"/>
              <w:bottom w:w="80" w:type="dxa"/>
              <w:right w:w="120" w:type="dxa"/>
            </w:tcMar>
            <w:vAlign w:val="center"/>
          </w:tcPr>
          <w:p w14:paraId="25ACE680">
            <w:pPr>
              <w:spacing w:before="0" w:after="0" w:line="252" w:lineRule="auto"/>
              <w:jc w:val="left"/>
            </w:pPr>
            <w:r>
              <w:rPr>
                <w:rFonts w:ascii="Calibri" w:hAnsi="Calibri"/>
                <w:b w:val="0"/>
                <w:i w:val="0"/>
                <w:color w:val="222222"/>
                <w:sz w:val="18"/>
              </w:rPr>
              <w:t>7.2</w:t>
            </w:r>
          </w:p>
        </w:tc>
      </w:tr>
      <w:tr w14:paraId="31CCC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55A429EB">
            <w:pPr>
              <w:spacing w:before="0" w:after="0" w:line="252" w:lineRule="auto"/>
              <w:jc w:val="center"/>
            </w:pPr>
            <w:r>
              <w:rPr>
                <w:rFonts w:ascii="Calibri" w:hAnsi="Calibri"/>
                <w:b w:val="0"/>
                <w:i w:val="0"/>
                <w:color w:val="222222"/>
                <w:sz w:val="18"/>
              </w:rPr>
              <w:t>4</w:t>
            </w:r>
          </w:p>
        </w:tc>
        <w:tc>
          <w:tcPr>
            <w:tcW w:w="6210" w:type="dxa"/>
            <w:tcMar>
              <w:top w:w="80" w:type="dxa"/>
              <w:left w:w="120" w:type="dxa"/>
              <w:bottom w:w="80" w:type="dxa"/>
              <w:right w:w="120" w:type="dxa"/>
            </w:tcMar>
            <w:vAlign w:val="center"/>
          </w:tcPr>
          <w:p w14:paraId="055C47D9">
            <w:pPr>
              <w:spacing w:before="0" w:after="0" w:line="252" w:lineRule="auto"/>
              <w:jc w:val="left"/>
            </w:pPr>
            <w:r>
              <w:rPr>
                <w:rFonts w:ascii="Calibri" w:hAnsi="Calibri"/>
                <w:b w:val="0"/>
                <w:i w:val="0"/>
                <w:color w:val="222222"/>
                <w:sz w:val="18"/>
              </w:rPr>
              <w:t>Nicheng Community Health Service Center</w:t>
            </w:r>
          </w:p>
        </w:tc>
        <w:tc>
          <w:tcPr>
            <w:tcW w:w="1050" w:type="dxa"/>
            <w:tcMar>
              <w:top w:w="80" w:type="dxa"/>
              <w:left w:w="120" w:type="dxa"/>
              <w:bottom w:w="80" w:type="dxa"/>
              <w:right w:w="120" w:type="dxa"/>
            </w:tcMar>
            <w:vAlign w:val="center"/>
          </w:tcPr>
          <w:p w14:paraId="5145797B">
            <w:pPr>
              <w:spacing w:before="0" w:after="0" w:line="252" w:lineRule="auto"/>
              <w:jc w:val="left"/>
            </w:pPr>
            <w:r>
              <w:rPr>
                <w:rFonts w:ascii="Calibri" w:hAnsi="Calibri"/>
                <w:b w:val="0"/>
                <w:i w:val="0"/>
                <w:color w:val="222222"/>
                <w:sz w:val="18"/>
              </w:rPr>
              <w:t>31</w:t>
            </w:r>
          </w:p>
        </w:tc>
        <w:tc>
          <w:tcPr>
            <w:tcW w:w="1250" w:type="dxa"/>
            <w:tcMar>
              <w:top w:w="80" w:type="dxa"/>
              <w:left w:w="120" w:type="dxa"/>
              <w:bottom w:w="80" w:type="dxa"/>
              <w:right w:w="120" w:type="dxa"/>
            </w:tcMar>
            <w:vAlign w:val="center"/>
          </w:tcPr>
          <w:p w14:paraId="4B4789B7">
            <w:pPr>
              <w:spacing w:before="0" w:after="0" w:line="252" w:lineRule="auto"/>
              <w:jc w:val="left"/>
            </w:pPr>
            <w:r>
              <w:rPr>
                <w:rFonts w:ascii="Calibri" w:hAnsi="Calibri"/>
                <w:b w:val="0"/>
                <w:i w:val="0"/>
                <w:color w:val="222222"/>
                <w:sz w:val="18"/>
              </w:rPr>
              <w:t>7.0</w:t>
            </w:r>
          </w:p>
        </w:tc>
      </w:tr>
      <w:tr w14:paraId="6572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FB90946">
            <w:pPr>
              <w:spacing w:before="0" w:after="0" w:line="252" w:lineRule="auto"/>
              <w:jc w:val="center"/>
            </w:pPr>
            <w:r>
              <w:rPr>
                <w:rFonts w:ascii="Calibri" w:hAnsi="Calibri"/>
                <w:b w:val="0"/>
                <w:i w:val="0"/>
                <w:color w:val="222222"/>
                <w:sz w:val="18"/>
              </w:rPr>
              <w:t>5</w:t>
            </w:r>
          </w:p>
        </w:tc>
        <w:tc>
          <w:tcPr>
            <w:tcW w:w="6210" w:type="dxa"/>
            <w:tcMar>
              <w:top w:w="80" w:type="dxa"/>
              <w:left w:w="120" w:type="dxa"/>
              <w:bottom w:w="80" w:type="dxa"/>
              <w:right w:w="120" w:type="dxa"/>
            </w:tcMar>
            <w:vAlign w:val="center"/>
          </w:tcPr>
          <w:p w14:paraId="1C0D71B5">
            <w:pPr>
              <w:spacing w:before="0" w:after="0" w:line="252" w:lineRule="auto"/>
              <w:jc w:val="left"/>
            </w:pPr>
            <w:r>
              <w:rPr>
                <w:rFonts w:ascii="Calibri" w:hAnsi="Calibri"/>
                <w:b w:val="0"/>
                <w:i w:val="0"/>
                <w:color w:val="222222"/>
                <w:sz w:val="18"/>
              </w:rPr>
              <w:t>Zhuqiao Community Health Service Center</w:t>
            </w:r>
          </w:p>
        </w:tc>
        <w:tc>
          <w:tcPr>
            <w:tcW w:w="1050" w:type="dxa"/>
            <w:tcMar>
              <w:top w:w="80" w:type="dxa"/>
              <w:left w:w="120" w:type="dxa"/>
              <w:bottom w:w="80" w:type="dxa"/>
              <w:right w:w="120" w:type="dxa"/>
            </w:tcMar>
            <w:vAlign w:val="center"/>
          </w:tcPr>
          <w:p w14:paraId="17C2C16C">
            <w:pPr>
              <w:spacing w:before="0" w:after="0" w:line="252" w:lineRule="auto"/>
              <w:jc w:val="left"/>
            </w:pPr>
            <w:r>
              <w:rPr>
                <w:rFonts w:ascii="Calibri" w:hAnsi="Calibri"/>
                <w:b w:val="0"/>
                <w:i w:val="0"/>
                <w:color w:val="222222"/>
                <w:sz w:val="18"/>
              </w:rPr>
              <w:t>31</w:t>
            </w:r>
          </w:p>
        </w:tc>
        <w:tc>
          <w:tcPr>
            <w:tcW w:w="1250" w:type="dxa"/>
            <w:tcMar>
              <w:top w:w="80" w:type="dxa"/>
              <w:left w:w="120" w:type="dxa"/>
              <w:bottom w:w="80" w:type="dxa"/>
              <w:right w:w="120" w:type="dxa"/>
            </w:tcMar>
            <w:vAlign w:val="center"/>
          </w:tcPr>
          <w:p w14:paraId="502B7B68">
            <w:pPr>
              <w:spacing w:before="0" w:after="0" w:line="252" w:lineRule="auto"/>
              <w:jc w:val="left"/>
            </w:pPr>
            <w:r>
              <w:rPr>
                <w:rFonts w:ascii="Calibri" w:hAnsi="Calibri"/>
                <w:b w:val="0"/>
                <w:i w:val="0"/>
                <w:color w:val="222222"/>
                <w:sz w:val="18"/>
              </w:rPr>
              <w:t>7.0</w:t>
            </w:r>
          </w:p>
        </w:tc>
      </w:tr>
      <w:tr w14:paraId="15A75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D7FECC8">
            <w:pPr>
              <w:spacing w:before="0" w:after="0" w:line="252" w:lineRule="auto"/>
              <w:jc w:val="center"/>
            </w:pPr>
            <w:r>
              <w:rPr>
                <w:rFonts w:ascii="Calibri" w:hAnsi="Calibri"/>
                <w:b w:val="0"/>
                <w:i w:val="0"/>
                <w:color w:val="222222"/>
                <w:sz w:val="18"/>
              </w:rPr>
              <w:t>6</w:t>
            </w:r>
          </w:p>
        </w:tc>
        <w:tc>
          <w:tcPr>
            <w:tcW w:w="6210" w:type="dxa"/>
            <w:tcMar>
              <w:top w:w="80" w:type="dxa"/>
              <w:left w:w="120" w:type="dxa"/>
              <w:bottom w:w="80" w:type="dxa"/>
              <w:right w:w="120" w:type="dxa"/>
            </w:tcMar>
            <w:vAlign w:val="center"/>
          </w:tcPr>
          <w:p w14:paraId="1FBFF3EE">
            <w:pPr>
              <w:spacing w:before="0" w:after="0" w:line="252" w:lineRule="auto"/>
              <w:jc w:val="left"/>
            </w:pPr>
            <w:r>
              <w:rPr>
                <w:rFonts w:ascii="Calibri" w:hAnsi="Calibri"/>
                <w:b w:val="0"/>
                <w:i w:val="0"/>
                <w:color w:val="222222"/>
                <w:sz w:val="18"/>
              </w:rPr>
              <w:t>Zhoujiadu Community Health Service Center</w:t>
            </w:r>
          </w:p>
        </w:tc>
        <w:tc>
          <w:tcPr>
            <w:tcW w:w="1050" w:type="dxa"/>
            <w:tcMar>
              <w:top w:w="80" w:type="dxa"/>
              <w:left w:w="120" w:type="dxa"/>
              <w:bottom w:w="80" w:type="dxa"/>
              <w:right w:w="120" w:type="dxa"/>
            </w:tcMar>
            <w:vAlign w:val="center"/>
          </w:tcPr>
          <w:p w14:paraId="6A1BEC0F">
            <w:pPr>
              <w:spacing w:before="0" w:after="0" w:line="252" w:lineRule="auto"/>
              <w:jc w:val="left"/>
            </w:pPr>
            <w:r>
              <w:rPr>
                <w:rFonts w:ascii="Calibri" w:hAnsi="Calibri"/>
                <w:b w:val="0"/>
                <w:i w:val="0"/>
                <w:color w:val="222222"/>
                <w:sz w:val="18"/>
              </w:rPr>
              <w:t>25</w:t>
            </w:r>
          </w:p>
        </w:tc>
        <w:tc>
          <w:tcPr>
            <w:tcW w:w="1250" w:type="dxa"/>
            <w:tcMar>
              <w:top w:w="80" w:type="dxa"/>
              <w:left w:w="120" w:type="dxa"/>
              <w:bottom w:w="80" w:type="dxa"/>
              <w:right w:w="120" w:type="dxa"/>
            </w:tcMar>
            <w:vAlign w:val="center"/>
          </w:tcPr>
          <w:p w14:paraId="1EA6AB33">
            <w:pPr>
              <w:spacing w:before="0" w:after="0" w:line="252" w:lineRule="auto"/>
              <w:jc w:val="left"/>
            </w:pPr>
            <w:r>
              <w:rPr>
                <w:rFonts w:ascii="Calibri" w:hAnsi="Calibri"/>
                <w:b w:val="0"/>
                <w:i w:val="0"/>
                <w:color w:val="222222"/>
                <w:sz w:val="18"/>
              </w:rPr>
              <w:t>5.6</w:t>
            </w:r>
          </w:p>
        </w:tc>
      </w:tr>
      <w:tr w14:paraId="6192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4E135DF">
            <w:pPr>
              <w:spacing w:before="0" w:after="0" w:line="252" w:lineRule="auto"/>
              <w:jc w:val="center"/>
            </w:pPr>
            <w:r>
              <w:rPr>
                <w:rFonts w:ascii="Calibri" w:hAnsi="Calibri"/>
                <w:b w:val="0"/>
                <w:i w:val="0"/>
                <w:color w:val="222222"/>
                <w:sz w:val="18"/>
              </w:rPr>
              <w:t>7</w:t>
            </w:r>
          </w:p>
        </w:tc>
        <w:tc>
          <w:tcPr>
            <w:tcW w:w="6210" w:type="dxa"/>
            <w:tcMar>
              <w:top w:w="80" w:type="dxa"/>
              <w:left w:w="120" w:type="dxa"/>
              <w:bottom w:w="80" w:type="dxa"/>
              <w:right w:w="120" w:type="dxa"/>
            </w:tcMar>
            <w:vAlign w:val="center"/>
          </w:tcPr>
          <w:p w14:paraId="723CAC46">
            <w:pPr>
              <w:spacing w:before="0" w:after="0" w:line="252" w:lineRule="auto"/>
              <w:jc w:val="left"/>
            </w:pPr>
            <w:r>
              <w:rPr>
                <w:rFonts w:ascii="Calibri" w:hAnsi="Calibri"/>
                <w:b w:val="0"/>
                <w:i w:val="0"/>
                <w:color w:val="222222"/>
                <w:sz w:val="18"/>
              </w:rPr>
              <w:t>Hangtou Community Health Service Center</w:t>
            </w:r>
          </w:p>
        </w:tc>
        <w:tc>
          <w:tcPr>
            <w:tcW w:w="1050" w:type="dxa"/>
            <w:tcMar>
              <w:top w:w="80" w:type="dxa"/>
              <w:left w:w="120" w:type="dxa"/>
              <w:bottom w:w="80" w:type="dxa"/>
              <w:right w:w="120" w:type="dxa"/>
            </w:tcMar>
            <w:vAlign w:val="center"/>
          </w:tcPr>
          <w:p w14:paraId="08EFCFC7">
            <w:pPr>
              <w:spacing w:before="0" w:after="0" w:line="252" w:lineRule="auto"/>
              <w:jc w:val="left"/>
            </w:pPr>
            <w:r>
              <w:rPr>
                <w:rFonts w:ascii="Calibri" w:hAnsi="Calibri"/>
                <w:b w:val="0"/>
                <w:i w:val="0"/>
                <w:color w:val="222222"/>
                <w:sz w:val="18"/>
              </w:rPr>
              <w:t>20</w:t>
            </w:r>
          </w:p>
        </w:tc>
        <w:tc>
          <w:tcPr>
            <w:tcW w:w="1250" w:type="dxa"/>
            <w:tcMar>
              <w:top w:w="80" w:type="dxa"/>
              <w:left w:w="120" w:type="dxa"/>
              <w:bottom w:w="80" w:type="dxa"/>
              <w:right w:w="120" w:type="dxa"/>
            </w:tcMar>
            <w:vAlign w:val="center"/>
          </w:tcPr>
          <w:p w14:paraId="771D6D4D">
            <w:pPr>
              <w:spacing w:before="0" w:after="0" w:line="252" w:lineRule="auto"/>
              <w:jc w:val="left"/>
            </w:pPr>
            <w:r>
              <w:rPr>
                <w:rFonts w:ascii="Calibri" w:hAnsi="Calibri"/>
                <w:b w:val="0"/>
                <w:i w:val="0"/>
                <w:color w:val="222222"/>
                <w:sz w:val="18"/>
              </w:rPr>
              <w:t>4.5</w:t>
            </w:r>
          </w:p>
        </w:tc>
      </w:tr>
      <w:tr w14:paraId="52CC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6E5D2FD4">
            <w:pPr>
              <w:spacing w:before="0" w:after="0" w:line="252" w:lineRule="auto"/>
              <w:jc w:val="center"/>
            </w:pPr>
            <w:r>
              <w:rPr>
                <w:rFonts w:ascii="Calibri" w:hAnsi="Calibri"/>
                <w:b w:val="0"/>
                <w:i w:val="0"/>
                <w:color w:val="222222"/>
                <w:sz w:val="18"/>
              </w:rPr>
              <w:t>8</w:t>
            </w:r>
          </w:p>
        </w:tc>
        <w:tc>
          <w:tcPr>
            <w:tcW w:w="6210" w:type="dxa"/>
            <w:tcMar>
              <w:top w:w="80" w:type="dxa"/>
              <w:left w:w="120" w:type="dxa"/>
              <w:bottom w:w="80" w:type="dxa"/>
              <w:right w:w="120" w:type="dxa"/>
            </w:tcMar>
            <w:vAlign w:val="center"/>
          </w:tcPr>
          <w:p w14:paraId="2C1C1377">
            <w:pPr>
              <w:spacing w:before="0" w:after="0" w:line="252" w:lineRule="auto"/>
              <w:jc w:val="left"/>
            </w:pPr>
            <w:r>
              <w:rPr>
                <w:rFonts w:ascii="Calibri" w:hAnsi="Calibri"/>
                <w:b w:val="0"/>
                <w:i w:val="0"/>
                <w:color w:val="222222"/>
                <w:sz w:val="18"/>
              </w:rPr>
              <w:t>Wanxiang Community Health Service Center</w:t>
            </w:r>
          </w:p>
        </w:tc>
        <w:tc>
          <w:tcPr>
            <w:tcW w:w="1050" w:type="dxa"/>
            <w:tcMar>
              <w:top w:w="80" w:type="dxa"/>
              <w:left w:w="120" w:type="dxa"/>
              <w:bottom w:w="80" w:type="dxa"/>
              <w:right w:w="120" w:type="dxa"/>
            </w:tcMar>
            <w:vAlign w:val="center"/>
          </w:tcPr>
          <w:p w14:paraId="319909C0">
            <w:pPr>
              <w:spacing w:before="0" w:after="0" w:line="252" w:lineRule="auto"/>
              <w:jc w:val="left"/>
            </w:pPr>
            <w:r>
              <w:rPr>
                <w:rFonts w:ascii="Calibri" w:hAnsi="Calibri"/>
                <w:b w:val="0"/>
                <w:i w:val="0"/>
                <w:color w:val="222222"/>
                <w:sz w:val="18"/>
              </w:rPr>
              <w:t>20</w:t>
            </w:r>
          </w:p>
        </w:tc>
        <w:tc>
          <w:tcPr>
            <w:tcW w:w="1250" w:type="dxa"/>
            <w:tcMar>
              <w:top w:w="80" w:type="dxa"/>
              <w:left w:w="120" w:type="dxa"/>
              <w:bottom w:w="80" w:type="dxa"/>
              <w:right w:w="120" w:type="dxa"/>
            </w:tcMar>
            <w:vAlign w:val="center"/>
          </w:tcPr>
          <w:p w14:paraId="1B465960">
            <w:pPr>
              <w:spacing w:before="0" w:after="0" w:line="252" w:lineRule="auto"/>
              <w:jc w:val="left"/>
            </w:pPr>
            <w:r>
              <w:rPr>
                <w:rFonts w:ascii="Calibri" w:hAnsi="Calibri"/>
                <w:b w:val="0"/>
                <w:i w:val="0"/>
                <w:color w:val="222222"/>
                <w:sz w:val="18"/>
              </w:rPr>
              <w:t>4.5</w:t>
            </w:r>
          </w:p>
        </w:tc>
      </w:tr>
      <w:tr w14:paraId="6D46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65A080C8">
            <w:pPr>
              <w:spacing w:before="0" w:after="0" w:line="252" w:lineRule="auto"/>
              <w:jc w:val="center"/>
            </w:pPr>
            <w:r>
              <w:rPr>
                <w:rFonts w:ascii="Calibri" w:hAnsi="Calibri"/>
                <w:b w:val="0"/>
                <w:i w:val="0"/>
                <w:color w:val="222222"/>
                <w:sz w:val="18"/>
              </w:rPr>
              <w:t>9</w:t>
            </w:r>
          </w:p>
        </w:tc>
        <w:tc>
          <w:tcPr>
            <w:tcW w:w="6210" w:type="dxa"/>
            <w:tcMar>
              <w:top w:w="80" w:type="dxa"/>
              <w:left w:w="120" w:type="dxa"/>
              <w:bottom w:w="80" w:type="dxa"/>
              <w:right w:w="120" w:type="dxa"/>
            </w:tcMar>
            <w:vAlign w:val="center"/>
          </w:tcPr>
          <w:p w14:paraId="7D28E3E3">
            <w:pPr>
              <w:spacing w:before="0" w:after="0" w:line="252" w:lineRule="auto"/>
              <w:jc w:val="left"/>
            </w:pPr>
            <w:r>
              <w:rPr>
                <w:rFonts w:ascii="Calibri" w:hAnsi="Calibri"/>
                <w:b w:val="0"/>
                <w:i w:val="0"/>
                <w:color w:val="222222"/>
                <w:sz w:val="18"/>
              </w:rPr>
              <w:t>Xuanqiao Community Health Service Center</w:t>
            </w:r>
          </w:p>
        </w:tc>
        <w:tc>
          <w:tcPr>
            <w:tcW w:w="1050" w:type="dxa"/>
            <w:tcMar>
              <w:top w:w="80" w:type="dxa"/>
              <w:left w:w="120" w:type="dxa"/>
              <w:bottom w:w="80" w:type="dxa"/>
              <w:right w:w="120" w:type="dxa"/>
            </w:tcMar>
            <w:vAlign w:val="center"/>
          </w:tcPr>
          <w:p w14:paraId="5F7FF453">
            <w:pPr>
              <w:spacing w:before="0" w:after="0" w:line="252" w:lineRule="auto"/>
              <w:jc w:val="left"/>
            </w:pPr>
            <w:r>
              <w:rPr>
                <w:rFonts w:ascii="Calibri" w:hAnsi="Calibri"/>
                <w:b w:val="0"/>
                <w:i w:val="0"/>
                <w:color w:val="222222"/>
                <w:sz w:val="18"/>
              </w:rPr>
              <w:t>20</w:t>
            </w:r>
          </w:p>
        </w:tc>
        <w:tc>
          <w:tcPr>
            <w:tcW w:w="1250" w:type="dxa"/>
            <w:tcMar>
              <w:top w:w="80" w:type="dxa"/>
              <w:left w:w="120" w:type="dxa"/>
              <w:bottom w:w="80" w:type="dxa"/>
              <w:right w:w="120" w:type="dxa"/>
            </w:tcMar>
            <w:vAlign w:val="center"/>
          </w:tcPr>
          <w:p w14:paraId="2D36465B">
            <w:pPr>
              <w:spacing w:before="0" w:after="0" w:line="252" w:lineRule="auto"/>
              <w:jc w:val="left"/>
            </w:pPr>
            <w:r>
              <w:rPr>
                <w:rFonts w:ascii="Calibri" w:hAnsi="Calibri"/>
                <w:b w:val="0"/>
                <w:i w:val="0"/>
                <w:color w:val="222222"/>
                <w:sz w:val="18"/>
              </w:rPr>
              <w:t>4.5</w:t>
            </w:r>
          </w:p>
        </w:tc>
      </w:tr>
      <w:tr w14:paraId="6E37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1EF53337">
            <w:pPr>
              <w:spacing w:before="0" w:after="0" w:line="252" w:lineRule="auto"/>
              <w:jc w:val="center"/>
            </w:pPr>
            <w:r>
              <w:rPr>
                <w:rFonts w:ascii="Calibri" w:hAnsi="Calibri"/>
                <w:b w:val="0"/>
                <w:i w:val="0"/>
                <w:color w:val="222222"/>
                <w:sz w:val="18"/>
              </w:rPr>
              <w:t>10</w:t>
            </w:r>
          </w:p>
        </w:tc>
        <w:tc>
          <w:tcPr>
            <w:tcW w:w="6210" w:type="dxa"/>
            <w:tcMar>
              <w:top w:w="80" w:type="dxa"/>
              <w:left w:w="120" w:type="dxa"/>
              <w:bottom w:w="80" w:type="dxa"/>
              <w:right w:w="120" w:type="dxa"/>
            </w:tcMar>
            <w:vAlign w:val="center"/>
          </w:tcPr>
          <w:p w14:paraId="1DEF3FED">
            <w:pPr>
              <w:spacing w:before="0" w:after="0" w:line="252" w:lineRule="auto"/>
              <w:jc w:val="left"/>
            </w:pPr>
            <w:r>
              <w:rPr>
                <w:rFonts w:ascii="Calibri" w:hAnsi="Calibri"/>
                <w:b w:val="0"/>
                <w:i w:val="0"/>
                <w:color w:val="222222"/>
                <w:sz w:val="18"/>
              </w:rPr>
              <w:t>Gaoqiao Community Health Service Center</w:t>
            </w:r>
          </w:p>
        </w:tc>
        <w:tc>
          <w:tcPr>
            <w:tcW w:w="1050" w:type="dxa"/>
            <w:tcMar>
              <w:top w:w="80" w:type="dxa"/>
              <w:left w:w="120" w:type="dxa"/>
              <w:bottom w:w="80" w:type="dxa"/>
              <w:right w:w="120" w:type="dxa"/>
            </w:tcMar>
            <w:vAlign w:val="center"/>
          </w:tcPr>
          <w:p w14:paraId="7039914D">
            <w:pPr>
              <w:spacing w:before="0" w:after="0" w:line="252" w:lineRule="auto"/>
              <w:jc w:val="left"/>
            </w:pPr>
            <w:r>
              <w:rPr>
                <w:rFonts w:ascii="Calibri" w:hAnsi="Calibri"/>
                <w:b w:val="0"/>
                <w:i w:val="0"/>
                <w:color w:val="222222"/>
                <w:sz w:val="18"/>
              </w:rPr>
              <w:t>19</w:t>
            </w:r>
          </w:p>
        </w:tc>
        <w:tc>
          <w:tcPr>
            <w:tcW w:w="1250" w:type="dxa"/>
            <w:tcMar>
              <w:top w:w="80" w:type="dxa"/>
              <w:left w:w="120" w:type="dxa"/>
              <w:bottom w:w="80" w:type="dxa"/>
              <w:right w:w="120" w:type="dxa"/>
            </w:tcMar>
            <w:vAlign w:val="center"/>
          </w:tcPr>
          <w:p w14:paraId="29EC3E02">
            <w:pPr>
              <w:spacing w:before="0" w:after="0" w:line="252" w:lineRule="auto"/>
              <w:jc w:val="left"/>
            </w:pPr>
            <w:r>
              <w:rPr>
                <w:rFonts w:ascii="Calibri" w:hAnsi="Calibri"/>
                <w:b w:val="0"/>
                <w:i w:val="0"/>
                <w:color w:val="222222"/>
                <w:sz w:val="18"/>
              </w:rPr>
              <w:t>4.3</w:t>
            </w:r>
          </w:p>
        </w:tc>
      </w:tr>
      <w:tr w14:paraId="634B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7E3D756B">
            <w:pPr>
              <w:spacing w:before="0" w:after="0" w:line="252" w:lineRule="auto"/>
              <w:jc w:val="center"/>
            </w:pPr>
            <w:r>
              <w:rPr>
                <w:rFonts w:ascii="Calibri" w:hAnsi="Calibri"/>
                <w:b w:val="0"/>
                <w:i w:val="0"/>
                <w:color w:val="222222"/>
                <w:sz w:val="18"/>
              </w:rPr>
              <w:t>11</w:t>
            </w:r>
          </w:p>
        </w:tc>
        <w:tc>
          <w:tcPr>
            <w:tcW w:w="6210" w:type="dxa"/>
            <w:tcMar>
              <w:top w:w="80" w:type="dxa"/>
              <w:left w:w="120" w:type="dxa"/>
              <w:bottom w:w="80" w:type="dxa"/>
              <w:right w:w="120" w:type="dxa"/>
            </w:tcMar>
            <w:vAlign w:val="center"/>
          </w:tcPr>
          <w:p w14:paraId="3C9D0AE2">
            <w:pPr>
              <w:spacing w:before="0" w:after="0" w:line="252" w:lineRule="auto"/>
              <w:jc w:val="left"/>
            </w:pPr>
            <w:r>
              <w:rPr>
                <w:rFonts w:ascii="Calibri" w:hAnsi="Calibri"/>
                <w:b w:val="0"/>
                <w:i w:val="0"/>
                <w:color w:val="222222"/>
                <w:sz w:val="18"/>
              </w:rPr>
              <w:t>Nanhui New Town Community Health Service Center</w:t>
            </w:r>
          </w:p>
        </w:tc>
        <w:tc>
          <w:tcPr>
            <w:tcW w:w="1050" w:type="dxa"/>
            <w:tcMar>
              <w:top w:w="80" w:type="dxa"/>
              <w:left w:w="120" w:type="dxa"/>
              <w:bottom w:w="80" w:type="dxa"/>
              <w:right w:w="120" w:type="dxa"/>
            </w:tcMar>
            <w:vAlign w:val="center"/>
          </w:tcPr>
          <w:p w14:paraId="3DF7A0D8">
            <w:pPr>
              <w:spacing w:before="0" w:after="0" w:line="252" w:lineRule="auto"/>
              <w:jc w:val="left"/>
            </w:pPr>
            <w:r>
              <w:rPr>
                <w:rFonts w:ascii="Calibri" w:hAnsi="Calibri"/>
                <w:b w:val="0"/>
                <w:i w:val="0"/>
                <w:color w:val="222222"/>
                <w:sz w:val="18"/>
              </w:rPr>
              <w:t>19</w:t>
            </w:r>
          </w:p>
        </w:tc>
        <w:tc>
          <w:tcPr>
            <w:tcW w:w="1250" w:type="dxa"/>
            <w:tcMar>
              <w:top w:w="80" w:type="dxa"/>
              <w:left w:w="120" w:type="dxa"/>
              <w:bottom w:w="80" w:type="dxa"/>
              <w:right w:w="120" w:type="dxa"/>
            </w:tcMar>
            <w:vAlign w:val="center"/>
          </w:tcPr>
          <w:p w14:paraId="30170111">
            <w:pPr>
              <w:spacing w:before="0" w:after="0" w:line="252" w:lineRule="auto"/>
              <w:jc w:val="left"/>
            </w:pPr>
            <w:r>
              <w:rPr>
                <w:rFonts w:ascii="Calibri" w:hAnsi="Calibri"/>
                <w:b w:val="0"/>
                <w:i w:val="0"/>
                <w:color w:val="222222"/>
                <w:sz w:val="18"/>
              </w:rPr>
              <w:t>4.3</w:t>
            </w:r>
          </w:p>
        </w:tc>
      </w:tr>
      <w:tr w14:paraId="7977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239F80CE">
            <w:pPr>
              <w:spacing w:before="0" w:after="0" w:line="252" w:lineRule="auto"/>
              <w:jc w:val="center"/>
            </w:pPr>
            <w:r>
              <w:rPr>
                <w:rFonts w:ascii="Calibri" w:hAnsi="Calibri"/>
                <w:b w:val="0"/>
                <w:i w:val="0"/>
                <w:color w:val="222222"/>
                <w:sz w:val="18"/>
              </w:rPr>
              <w:t>12</w:t>
            </w:r>
          </w:p>
        </w:tc>
        <w:tc>
          <w:tcPr>
            <w:tcW w:w="6210" w:type="dxa"/>
            <w:tcMar>
              <w:top w:w="80" w:type="dxa"/>
              <w:left w:w="120" w:type="dxa"/>
              <w:bottom w:w="80" w:type="dxa"/>
              <w:right w:w="120" w:type="dxa"/>
            </w:tcMar>
            <w:vAlign w:val="center"/>
          </w:tcPr>
          <w:p w14:paraId="2A8476FF">
            <w:pPr>
              <w:spacing w:before="0" w:after="0" w:line="252" w:lineRule="auto"/>
              <w:jc w:val="left"/>
            </w:pPr>
            <w:r>
              <w:rPr>
                <w:rFonts w:ascii="Calibri" w:hAnsi="Calibri"/>
                <w:b w:val="0"/>
                <w:i w:val="0"/>
                <w:color w:val="222222"/>
                <w:sz w:val="18"/>
              </w:rPr>
              <w:t>Chuansha Community Health Service Center</w:t>
            </w:r>
          </w:p>
        </w:tc>
        <w:tc>
          <w:tcPr>
            <w:tcW w:w="1050" w:type="dxa"/>
            <w:tcMar>
              <w:top w:w="80" w:type="dxa"/>
              <w:left w:w="120" w:type="dxa"/>
              <w:bottom w:w="80" w:type="dxa"/>
              <w:right w:w="120" w:type="dxa"/>
            </w:tcMar>
            <w:vAlign w:val="center"/>
          </w:tcPr>
          <w:p w14:paraId="0A6F6ED9">
            <w:pPr>
              <w:spacing w:before="0" w:after="0" w:line="252" w:lineRule="auto"/>
              <w:jc w:val="left"/>
            </w:pPr>
            <w:r>
              <w:rPr>
                <w:rFonts w:ascii="Calibri" w:hAnsi="Calibri"/>
                <w:b w:val="0"/>
                <w:i w:val="0"/>
                <w:color w:val="222222"/>
                <w:sz w:val="18"/>
              </w:rPr>
              <w:t>15</w:t>
            </w:r>
          </w:p>
        </w:tc>
        <w:tc>
          <w:tcPr>
            <w:tcW w:w="1250" w:type="dxa"/>
            <w:tcMar>
              <w:top w:w="80" w:type="dxa"/>
              <w:left w:w="120" w:type="dxa"/>
              <w:bottom w:w="80" w:type="dxa"/>
              <w:right w:w="120" w:type="dxa"/>
            </w:tcMar>
            <w:vAlign w:val="center"/>
          </w:tcPr>
          <w:p w14:paraId="2A23849A">
            <w:pPr>
              <w:spacing w:before="0" w:after="0" w:line="252" w:lineRule="auto"/>
              <w:jc w:val="left"/>
            </w:pPr>
            <w:r>
              <w:rPr>
                <w:rFonts w:ascii="Calibri" w:hAnsi="Calibri"/>
                <w:b w:val="0"/>
                <w:i w:val="0"/>
                <w:color w:val="222222"/>
                <w:sz w:val="18"/>
              </w:rPr>
              <w:t>3.4</w:t>
            </w:r>
          </w:p>
        </w:tc>
      </w:tr>
      <w:tr w14:paraId="5EED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62A4E266">
            <w:pPr>
              <w:spacing w:before="0" w:after="0" w:line="252" w:lineRule="auto"/>
              <w:jc w:val="center"/>
            </w:pPr>
            <w:r>
              <w:rPr>
                <w:rFonts w:ascii="Calibri" w:hAnsi="Calibri"/>
                <w:b w:val="0"/>
                <w:i w:val="0"/>
                <w:color w:val="222222"/>
                <w:sz w:val="18"/>
              </w:rPr>
              <w:t>13</w:t>
            </w:r>
          </w:p>
        </w:tc>
        <w:tc>
          <w:tcPr>
            <w:tcW w:w="6210" w:type="dxa"/>
            <w:tcMar>
              <w:top w:w="80" w:type="dxa"/>
              <w:left w:w="120" w:type="dxa"/>
              <w:bottom w:w="80" w:type="dxa"/>
              <w:right w:w="120" w:type="dxa"/>
            </w:tcMar>
            <w:vAlign w:val="center"/>
          </w:tcPr>
          <w:p w14:paraId="3B623965">
            <w:pPr>
              <w:spacing w:before="0" w:after="0" w:line="252" w:lineRule="auto"/>
              <w:jc w:val="left"/>
            </w:pPr>
            <w:r>
              <w:rPr>
                <w:rFonts w:ascii="Calibri" w:hAnsi="Calibri"/>
                <w:b w:val="0"/>
                <w:i w:val="0"/>
                <w:color w:val="222222"/>
                <w:sz w:val="18"/>
              </w:rPr>
              <w:t>Lujiazui Community Health Service Center</w:t>
            </w:r>
          </w:p>
        </w:tc>
        <w:tc>
          <w:tcPr>
            <w:tcW w:w="1050" w:type="dxa"/>
            <w:tcMar>
              <w:top w:w="80" w:type="dxa"/>
              <w:left w:w="120" w:type="dxa"/>
              <w:bottom w:w="80" w:type="dxa"/>
              <w:right w:w="120" w:type="dxa"/>
            </w:tcMar>
            <w:vAlign w:val="center"/>
          </w:tcPr>
          <w:p w14:paraId="54AC40FB">
            <w:pPr>
              <w:spacing w:before="0" w:after="0" w:line="252" w:lineRule="auto"/>
              <w:jc w:val="left"/>
            </w:pPr>
            <w:r>
              <w:rPr>
                <w:rFonts w:ascii="Calibri" w:hAnsi="Calibri"/>
                <w:b w:val="0"/>
                <w:i w:val="0"/>
                <w:color w:val="222222"/>
                <w:sz w:val="18"/>
              </w:rPr>
              <w:t>14</w:t>
            </w:r>
          </w:p>
        </w:tc>
        <w:tc>
          <w:tcPr>
            <w:tcW w:w="1250" w:type="dxa"/>
            <w:tcMar>
              <w:top w:w="80" w:type="dxa"/>
              <w:left w:w="120" w:type="dxa"/>
              <w:bottom w:w="80" w:type="dxa"/>
              <w:right w:w="120" w:type="dxa"/>
            </w:tcMar>
            <w:vAlign w:val="center"/>
          </w:tcPr>
          <w:p w14:paraId="29CB3F1B">
            <w:pPr>
              <w:spacing w:before="0" w:after="0" w:line="252" w:lineRule="auto"/>
              <w:jc w:val="left"/>
            </w:pPr>
            <w:r>
              <w:rPr>
                <w:rFonts w:ascii="Calibri" w:hAnsi="Calibri"/>
                <w:b w:val="0"/>
                <w:i w:val="0"/>
                <w:color w:val="222222"/>
                <w:sz w:val="18"/>
              </w:rPr>
              <w:t>3.2</w:t>
            </w:r>
          </w:p>
        </w:tc>
      </w:tr>
      <w:tr w14:paraId="44B9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75389EC">
            <w:pPr>
              <w:spacing w:before="0" w:after="0" w:line="252" w:lineRule="auto"/>
              <w:jc w:val="center"/>
            </w:pPr>
            <w:r>
              <w:rPr>
                <w:rFonts w:ascii="Calibri" w:hAnsi="Calibri"/>
                <w:b w:val="0"/>
                <w:i w:val="0"/>
                <w:color w:val="222222"/>
                <w:sz w:val="18"/>
              </w:rPr>
              <w:t>14</w:t>
            </w:r>
          </w:p>
        </w:tc>
        <w:tc>
          <w:tcPr>
            <w:tcW w:w="6210" w:type="dxa"/>
            <w:tcMar>
              <w:top w:w="80" w:type="dxa"/>
              <w:left w:w="120" w:type="dxa"/>
              <w:bottom w:w="80" w:type="dxa"/>
              <w:right w:w="120" w:type="dxa"/>
            </w:tcMar>
            <w:vAlign w:val="center"/>
          </w:tcPr>
          <w:p w14:paraId="578F1F33">
            <w:pPr>
              <w:spacing w:before="0" w:after="0" w:line="252" w:lineRule="auto"/>
              <w:jc w:val="left"/>
            </w:pPr>
            <w:r>
              <w:rPr>
                <w:rFonts w:ascii="Calibri" w:hAnsi="Calibri"/>
                <w:b w:val="0"/>
                <w:i w:val="0"/>
                <w:color w:val="222222"/>
                <w:sz w:val="18"/>
              </w:rPr>
              <w:t>Shuyuan Community Health Service Center</w:t>
            </w:r>
          </w:p>
        </w:tc>
        <w:tc>
          <w:tcPr>
            <w:tcW w:w="1050" w:type="dxa"/>
            <w:tcMar>
              <w:top w:w="80" w:type="dxa"/>
              <w:left w:w="120" w:type="dxa"/>
              <w:bottom w:w="80" w:type="dxa"/>
              <w:right w:w="120" w:type="dxa"/>
            </w:tcMar>
            <w:vAlign w:val="center"/>
          </w:tcPr>
          <w:p w14:paraId="09732847">
            <w:pPr>
              <w:spacing w:before="0" w:after="0" w:line="252" w:lineRule="auto"/>
              <w:jc w:val="left"/>
            </w:pPr>
            <w:r>
              <w:rPr>
                <w:rFonts w:ascii="Calibri" w:hAnsi="Calibri"/>
                <w:b w:val="0"/>
                <w:i w:val="0"/>
                <w:color w:val="222222"/>
                <w:sz w:val="18"/>
              </w:rPr>
              <w:t>13</w:t>
            </w:r>
          </w:p>
        </w:tc>
        <w:tc>
          <w:tcPr>
            <w:tcW w:w="1250" w:type="dxa"/>
            <w:tcMar>
              <w:top w:w="80" w:type="dxa"/>
              <w:left w:w="120" w:type="dxa"/>
              <w:bottom w:w="80" w:type="dxa"/>
              <w:right w:w="120" w:type="dxa"/>
            </w:tcMar>
            <w:vAlign w:val="center"/>
          </w:tcPr>
          <w:p w14:paraId="4B6568FB">
            <w:pPr>
              <w:spacing w:before="0" w:after="0" w:line="252" w:lineRule="auto"/>
              <w:jc w:val="left"/>
            </w:pPr>
            <w:r>
              <w:rPr>
                <w:rFonts w:ascii="Calibri" w:hAnsi="Calibri"/>
                <w:b w:val="0"/>
                <w:i w:val="0"/>
                <w:color w:val="222222"/>
                <w:sz w:val="18"/>
              </w:rPr>
              <w:t>2.9</w:t>
            </w:r>
          </w:p>
        </w:tc>
      </w:tr>
      <w:tr w14:paraId="64D8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1B8820F6">
            <w:pPr>
              <w:spacing w:before="0" w:after="0" w:line="252" w:lineRule="auto"/>
              <w:jc w:val="center"/>
            </w:pPr>
            <w:r>
              <w:rPr>
                <w:rFonts w:ascii="Calibri" w:hAnsi="Calibri"/>
                <w:b w:val="0"/>
                <w:i w:val="0"/>
                <w:color w:val="222222"/>
                <w:sz w:val="18"/>
              </w:rPr>
              <w:t>15</w:t>
            </w:r>
          </w:p>
        </w:tc>
        <w:tc>
          <w:tcPr>
            <w:tcW w:w="6210" w:type="dxa"/>
            <w:tcMar>
              <w:top w:w="80" w:type="dxa"/>
              <w:left w:w="120" w:type="dxa"/>
              <w:bottom w:w="80" w:type="dxa"/>
              <w:right w:w="120" w:type="dxa"/>
            </w:tcMar>
            <w:vAlign w:val="center"/>
          </w:tcPr>
          <w:p w14:paraId="20626FF5">
            <w:pPr>
              <w:spacing w:before="0" w:after="0" w:line="252" w:lineRule="auto"/>
              <w:jc w:val="left"/>
            </w:pPr>
            <w:r>
              <w:rPr>
                <w:rFonts w:ascii="Calibri" w:hAnsi="Calibri"/>
                <w:b w:val="0"/>
                <w:i w:val="0"/>
                <w:color w:val="222222"/>
                <w:sz w:val="18"/>
              </w:rPr>
              <w:t>Chuansha Huaxia Community Health Service Center</w:t>
            </w:r>
          </w:p>
        </w:tc>
        <w:tc>
          <w:tcPr>
            <w:tcW w:w="1050" w:type="dxa"/>
            <w:tcMar>
              <w:top w:w="80" w:type="dxa"/>
              <w:left w:w="120" w:type="dxa"/>
              <w:bottom w:w="80" w:type="dxa"/>
              <w:right w:w="120" w:type="dxa"/>
            </w:tcMar>
            <w:vAlign w:val="center"/>
          </w:tcPr>
          <w:p w14:paraId="246C07A6">
            <w:pPr>
              <w:spacing w:before="0" w:after="0" w:line="252" w:lineRule="auto"/>
              <w:jc w:val="left"/>
            </w:pPr>
            <w:r>
              <w:rPr>
                <w:rFonts w:ascii="Calibri" w:hAnsi="Calibri"/>
                <w:b w:val="0"/>
                <w:i w:val="0"/>
                <w:color w:val="222222"/>
                <w:sz w:val="18"/>
              </w:rPr>
              <w:t>12</w:t>
            </w:r>
          </w:p>
        </w:tc>
        <w:tc>
          <w:tcPr>
            <w:tcW w:w="1250" w:type="dxa"/>
            <w:tcMar>
              <w:top w:w="80" w:type="dxa"/>
              <w:left w:w="120" w:type="dxa"/>
              <w:bottom w:w="80" w:type="dxa"/>
              <w:right w:w="120" w:type="dxa"/>
            </w:tcMar>
            <w:vAlign w:val="center"/>
          </w:tcPr>
          <w:p w14:paraId="227BDE03">
            <w:pPr>
              <w:spacing w:before="0" w:after="0" w:line="252" w:lineRule="auto"/>
              <w:jc w:val="left"/>
            </w:pPr>
            <w:r>
              <w:rPr>
                <w:rFonts w:ascii="Calibri" w:hAnsi="Calibri"/>
                <w:b w:val="0"/>
                <w:i w:val="0"/>
                <w:color w:val="222222"/>
                <w:sz w:val="18"/>
              </w:rPr>
              <w:t>2.7</w:t>
            </w:r>
          </w:p>
        </w:tc>
      </w:tr>
      <w:tr w14:paraId="7F0D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9A3B1CE">
            <w:pPr>
              <w:spacing w:before="0" w:after="0" w:line="252" w:lineRule="auto"/>
              <w:jc w:val="center"/>
            </w:pPr>
            <w:r>
              <w:rPr>
                <w:rFonts w:ascii="Calibri" w:hAnsi="Calibri"/>
                <w:b w:val="0"/>
                <w:i w:val="0"/>
                <w:color w:val="222222"/>
                <w:sz w:val="18"/>
              </w:rPr>
              <w:t>16</w:t>
            </w:r>
          </w:p>
        </w:tc>
        <w:tc>
          <w:tcPr>
            <w:tcW w:w="6210" w:type="dxa"/>
            <w:tcMar>
              <w:top w:w="80" w:type="dxa"/>
              <w:left w:w="120" w:type="dxa"/>
              <w:bottom w:w="80" w:type="dxa"/>
              <w:right w:w="120" w:type="dxa"/>
            </w:tcMar>
            <w:vAlign w:val="center"/>
          </w:tcPr>
          <w:p w14:paraId="3C0E9874">
            <w:pPr>
              <w:spacing w:before="0" w:after="0" w:line="252" w:lineRule="auto"/>
              <w:jc w:val="left"/>
            </w:pPr>
            <w:r>
              <w:rPr>
                <w:rFonts w:ascii="Calibri" w:hAnsi="Calibri"/>
                <w:b w:val="0"/>
                <w:i w:val="0"/>
                <w:color w:val="222222"/>
                <w:sz w:val="18"/>
              </w:rPr>
              <w:t>Jiangzhen Community Health Service Center</w:t>
            </w:r>
          </w:p>
        </w:tc>
        <w:tc>
          <w:tcPr>
            <w:tcW w:w="1050" w:type="dxa"/>
            <w:tcMar>
              <w:top w:w="80" w:type="dxa"/>
              <w:left w:w="120" w:type="dxa"/>
              <w:bottom w:w="80" w:type="dxa"/>
              <w:right w:w="120" w:type="dxa"/>
            </w:tcMar>
            <w:vAlign w:val="center"/>
          </w:tcPr>
          <w:p w14:paraId="76A26B0B">
            <w:pPr>
              <w:spacing w:before="0" w:after="0" w:line="252" w:lineRule="auto"/>
              <w:jc w:val="left"/>
            </w:pPr>
            <w:r>
              <w:rPr>
                <w:rFonts w:ascii="Calibri" w:hAnsi="Calibri"/>
                <w:b w:val="0"/>
                <w:i w:val="0"/>
                <w:color w:val="222222"/>
                <w:sz w:val="18"/>
              </w:rPr>
              <w:t>11</w:t>
            </w:r>
          </w:p>
        </w:tc>
        <w:tc>
          <w:tcPr>
            <w:tcW w:w="1250" w:type="dxa"/>
            <w:tcMar>
              <w:top w:w="80" w:type="dxa"/>
              <w:left w:w="120" w:type="dxa"/>
              <w:bottom w:w="80" w:type="dxa"/>
              <w:right w:w="120" w:type="dxa"/>
            </w:tcMar>
            <w:vAlign w:val="center"/>
          </w:tcPr>
          <w:p w14:paraId="10F94CAF">
            <w:pPr>
              <w:spacing w:before="0" w:after="0" w:line="252" w:lineRule="auto"/>
              <w:jc w:val="left"/>
            </w:pPr>
            <w:r>
              <w:rPr>
                <w:rFonts w:ascii="Calibri" w:hAnsi="Calibri"/>
                <w:b w:val="0"/>
                <w:i w:val="0"/>
                <w:color w:val="222222"/>
                <w:sz w:val="18"/>
              </w:rPr>
              <w:t>2.5</w:t>
            </w:r>
          </w:p>
        </w:tc>
      </w:tr>
      <w:tr w14:paraId="52DD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62A02957">
            <w:pPr>
              <w:spacing w:before="0" w:after="0" w:line="252" w:lineRule="auto"/>
              <w:jc w:val="center"/>
            </w:pPr>
            <w:r>
              <w:rPr>
                <w:rFonts w:ascii="Calibri" w:hAnsi="Calibri"/>
                <w:b w:val="0"/>
                <w:i w:val="0"/>
                <w:color w:val="222222"/>
                <w:sz w:val="18"/>
              </w:rPr>
              <w:t>17</w:t>
            </w:r>
          </w:p>
        </w:tc>
        <w:tc>
          <w:tcPr>
            <w:tcW w:w="6210" w:type="dxa"/>
            <w:tcMar>
              <w:top w:w="80" w:type="dxa"/>
              <w:left w:w="120" w:type="dxa"/>
              <w:bottom w:w="80" w:type="dxa"/>
              <w:right w:w="120" w:type="dxa"/>
            </w:tcMar>
            <w:vAlign w:val="center"/>
          </w:tcPr>
          <w:p w14:paraId="271EF1F8">
            <w:pPr>
              <w:spacing w:before="0" w:after="0" w:line="252" w:lineRule="auto"/>
              <w:jc w:val="left"/>
            </w:pPr>
            <w:r>
              <w:rPr>
                <w:rFonts w:ascii="Calibri" w:hAnsi="Calibri"/>
                <w:b w:val="0"/>
                <w:i w:val="0"/>
                <w:color w:val="222222"/>
                <w:sz w:val="18"/>
              </w:rPr>
              <w:t>Puxing Community Health Service Center</w:t>
            </w:r>
          </w:p>
        </w:tc>
        <w:tc>
          <w:tcPr>
            <w:tcW w:w="1050" w:type="dxa"/>
            <w:tcMar>
              <w:top w:w="80" w:type="dxa"/>
              <w:left w:w="120" w:type="dxa"/>
              <w:bottom w:w="80" w:type="dxa"/>
              <w:right w:w="120" w:type="dxa"/>
            </w:tcMar>
            <w:vAlign w:val="center"/>
          </w:tcPr>
          <w:p w14:paraId="33B2B71C">
            <w:pPr>
              <w:spacing w:before="0" w:after="0" w:line="252" w:lineRule="auto"/>
              <w:jc w:val="left"/>
            </w:pPr>
            <w:r>
              <w:rPr>
                <w:rFonts w:ascii="Calibri" w:hAnsi="Calibri"/>
                <w:b w:val="0"/>
                <w:i w:val="0"/>
                <w:color w:val="222222"/>
                <w:sz w:val="18"/>
              </w:rPr>
              <w:t>9</w:t>
            </w:r>
          </w:p>
        </w:tc>
        <w:tc>
          <w:tcPr>
            <w:tcW w:w="1250" w:type="dxa"/>
            <w:tcMar>
              <w:top w:w="80" w:type="dxa"/>
              <w:left w:w="120" w:type="dxa"/>
              <w:bottom w:w="80" w:type="dxa"/>
              <w:right w:w="120" w:type="dxa"/>
            </w:tcMar>
            <w:vAlign w:val="center"/>
          </w:tcPr>
          <w:p w14:paraId="7CD25752">
            <w:pPr>
              <w:spacing w:before="0" w:after="0" w:line="252" w:lineRule="auto"/>
              <w:jc w:val="left"/>
            </w:pPr>
            <w:r>
              <w:rPr>
                <w:rFonts w:ascii="Calibri" w:hAnsi="Calibri"/>
                <w:b w:val="0"/>
                <w:i w:val="0"/>
                <w:color w:val="222222"/>
                <w:sz w:val="18"/>
              </w:rPr>
              <w:t>2.0</w:t>
            </w:r>
          </w:p>
        </w:tc>
      </w:tr>
      <w:tr w14:paraId="34D3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3B316316">
            <w:pPr>
              <w:spacing w:before="0" w:after="0" w:line="252" w:lineRule="auto"/>
              <w:jc w:val="center"/>
            </w:pPr>
            <w:r>
              <w:rPr>
                <w:rFonts w:ascii="Calibri" w:hAnsi="Calibri"/>
                <w:b w:val="0"/>
                <w:i w:val="0"/>
                <w:color w:val="222222"/>
                <w:sz w:val="18"/>
              </w:rPr>
              <w:t>18</w:t>
            </w:r>
          </w:p>
        </w:tc>
        <w:tc>
          <w:tcPr>
            <w:tcW w:w="6210" w:type="dxa"/>
            <w:tcMar>
              <w:top w:w="80" w:type="dxa"/>
              <w:left w:w="120" w:type="dxa"/>
              <w:bottom w:w="80" w:type="dxa"/>
              <w:right w:w="120" w:type="dxa"/>
            </w:tcMar>
            <w:vAlign w:val="center"/>
          </w:tcPr>
          <w:p w14:paraId="673E12E8">
            <w:pPr>
              <w:spacing w:before="0" w:after="0" w:line="252" w:lineRule="auto"/>
              <w:jc w:val="left"/>
            </w:pPr>
            <w:r>
              <w:rPr>
                <w:rFonts w:ascii="Calibri" w:hAnsi="Calibri"/>
                <w:b w:val="0"/>
                <w:i w:val="0"/>
                <w:color w:val="222222"/>
                <w:sz w:val="18"/>
              </w:rPr>
              <w:t>Dongming Community Health Service Center</w:t>
            </w:r>
          </w:p>
        </w:tc>
        <w:tc>
          <w:tcPr>
            <w:tcW w:w="1050" w:type="dxa"/>
            <w:tcMar>
              <w:top w:w="80" w:type="dxa"/>
              <w:left w:w="120" w:type="dxa"/>
              <w:bottom w:w="80" w:type="dxa"/>
              <w:right w:w="120" w:type="dxa"/>
            </w:tcMar>
            <w:vAlign w:val="center"/>
          </w:tcPr>
          <w:p w14:paraId="1D47D49F">
            <w:pPr>
              <w:spacing w:before="0" w:after="0" w:line="252" w:lineRule="auto"/>
              <w:jc w:val="left"/>
            </w:pPr>
            <w:r>
              <w:rPr>
                <w:rFonts w:ascii="Calibri" w:hAnsi="Calibri"/>
                <w:b w:val="0"/>
                <w:i w:val="0"/>
                <w:color w:val="222222"/>
                <w:sz w:val="18"/>
              </w:rPr>
              <w:t>7</w:t>
            </w:r>
          </w:p>
        </w:tc>
        <w:tc>
          <w:tcPr>
            <w:tcW w:w="1250" w:type="dxa"/>
            <w:tcMar>
              <w:top w:w="80" w:type="dxa"/>
              <w:left w:w="120" w:type="dxa"/>
              <w:bottom w:w="80" w:type="dxa"/>
              <w:right w:w="120" w:type="dxa"/>
            </w:tcMar>
            <w:vAlign w:val="center"/>
          </w:tcPr>
          <w:p w14:paraId="4DC4D2A1">
            <w:pPr>
              <w:spacing w:before="0" w:after="0" w:line="252" w:lineRule="auto"/>
              <w:jc w:val="left"/>
            </w:pPr>
            <w:r>
              <w:rPr>
                <w:rFonts w:ascii="Calibri" w:hAnsi="Calibri"/>
                <w:b w:val="0"/>
                <w:i w:val="0"/>
                <w:color w:val="222222"/>
                <w:sz w:val="18"/>
              </w:rPr>
              <w:t>1.6</w:t>
            </w:r>
          </w:p>
        </w:tc>
      </w:tr>
    </w:tbl>
    <w:p w14:paraId="06888D74">
      <w:pPr>
        <w:pStyle w:val="4"/>
        <w:pageBreakBefore/>
      </w:pPr>
      <w:r>
        <w:t>Table S3. Institutional sample distribution (continued)</w:t>
      </w:r>
    </w:p>
    <w:tbl>
      <w:tblPr>
        <w:tblStyle w:val="33"/>
        <w:tblW w:w="936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6210"/>
        <w:gridCol w:w="1050"/>
        <w:gridCol w:w="1250"/>
      </w:tblGrid>
      <w:tr w14:paraId="4573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50" w:type="dxa"/>
            <w:shd w:val="clear" w:color="auto" w:fill="E8EEF5"/>
            <w:tcMar>
              <w:top w:w="80" w:type="dxa"/>
              <w:left w:w="120" w:type="dxa"/>
              <w:bottom w:w="80" w:type="dxa"/>
              <w:right w:w="120" w:type="dxa"/>
            </w:tcMar>
            <w:vAlign w:val="center"/>
          </w:tcPr>
          <w:p w14:paraId="5EE39DF4">
            <w:pPr>
              <w:spacing w:before="0" w:after="0" w:line="252" w:lineRule="auto"/>
              <w:jc w:val="center"/>
            </w:pPr>
            <w:r>
              <w:rPr>
                <w:rFonts w:ascii="Calibri" w:hAnsi="Calibri"/>
                <w:b/>
                <w:i w:val="0"/>
                <w:color w:val="222222"/>
                <w:sz w:val="18"/>
              </w:rPr>
              <w:t>Rank</w:t>
            </w:r>
          </w:p>
        </w:tc>
        <w:tc>
          <w:tcPr>
            <w:tcW w:w="6210" w:type="dxa"/>
            <w:shd w:val="clear" w:color="auto" w:fill="E8EEF5"/>
            <w:tcMar>
              <w:top w:w="80" w:type="dxa"/>
              <w:left w:w="120" w:type="dxa"/>
              <w:bottom w:w="80" w:type="dxa"/>
              <w:right w:w="120" w:type="dxa"/>
            </w:tcMar>
            <w:vAlign w:val="center"/>
          </w:tcPr>
          <w:p w14:paraId="3A764BC9">
            <w:pPr>
              <w:spacing w:before="0" w:after="0" w:line="252" w:lineRule="auto"/>
              <w:jc w:val="center"/>
            </w:pPr>
            <w:r>
              <w:rPr>
                <w:rFonts w:ascii="Calibri" w:hAnsi="Calibri"/>
                <w:b/>
                <w:i w:val="0"/>
                <w:color w:val="222222"/>
                <w:sz w:val="18"/>
              </w:rPr>
              <w:t>Institution</w:t>
            </w:r>
          </w:p>
        </w:tc>
        <w:tc>
          <w:tcPr>
            <w:tcW w:w="1050" w:type="dxa"/>
            <w:shd w:val="clear" w:color="auto" w:fill="E8EEF5"/>
            <w:tcMar>
              <w:top w:w="80" w:type="dxa"/>
              <w:left w:w="120" w:type="dxa"/>
              <w:bottom w:w="80" w:type="dxa"/>
              <w:right w:w="120" w:type="dxa"/>
            </w:tcMar>
            <w:vAlign w:val="center"/>
          </w:tcPr>
          <w:p w14:paraId="36DD66F2">
            <w:pPr>
              <w:spacing w:before="0" w:after="0" w:line="252" w:lineRule="auto"/>
              <w:jc w:val="center"/>
            </w:pPr>
            <w:r>
              <w:rPr>
                <w:rFonts w:ascii="Calibri" w:hAnsi="Calibri"/>
                <w:b/>
                <w:i w:val="0"/>
                <w:color w:val="222222"/>
                <w:sz w:val="18"/>
              </w:rPr>
              <w:t>n</w:t>
            </w:r>
          </w:p>
        </w:tc>
        <w:tc>
          <w:tcPr>
            <w:tcW w:w="1250" w:type="dxa"/>
            <w:shd w:val="clear" w:color="auto" w:fill="E8EEF5"/>
            <w:tcMar>
              <w:top w:w="80" w:type="dxa"/>
              <w:left w:w="120" w:type="dxa"/>
              <w:bottom w:w="80" w:type="dxa"/>
              <w:right w:w="120" w:type="dxa"/>
            </w:tcMar>
            <w:vAlign w:val="center"/>
          </w:tcPr>
          <w:p w14:paraId="37D7B49C">
            <w:pPr>
              <w:spacing w:before="0" w:after="0" w:line="252" w:lineRule="auto"/>
              <w:jc w:val="center"/>
            </w:pPr>
            <w:r>
              <w:rPr>
                <w:rFonts w:ascii="Calibri" w:hAnsi="Calibri"/>
                <w:b/>
                <w:i w:val="0"/>
                <w:color w:val="222222"/>
                <w:sz w:val="18"/>
              </w:rPr>
              <w:t>%</w:t>
            </w:r>
          </w:p>
        </w:tc>
      </w:tr>
      <w:tr w14:paraId="473C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1F0885E6">
            <w:pPr>
              <w:spacing w:before="0" w:after="0" w:line="252" w:lineRule="auto"/>
              <w:jc w:val="center"/>
            </w:pPr>
            <w:r>
              <w:rPr>
                <w:rFonts w:ascii="Calibri" w:hAnsi="Calibri"/>
                <w:b w:val="0"/>
                <w:i w:val="0"/>
                <w:color w:val="222222"/>
                <w:sz w:val="18"/>
              </w:rPr>
              <w:t>19</w:t>
            </w:r>
          </w:p>
        </w:tc>
        <w:tc>
          <w:tcPr>
            <w:tcW w:w="6210" w:type="dxa"/>
            <w:tcMar>
              <w:top w:w="80" w:type="dxa"/>
              <w:left w:w="120" w:type="dxa"/>
              <w:bottom w:w="80" w:type="dxa"/>
              <w:right w:w="120" w:type="dxa"/>
            </w:tcMar>
            <w:vAlign w:val="center"/>
          </w:tcPr>
          <w:p w14:paraId="6219FA29">
            <w:pPr>
              <w:spacing w:before="0" w:after="0" w:line="252" w:lineRule="auto"/>
              <w:jc w:val="left"/>
            </w:pPr>
            <w:r>
              <w:rPr>
                <w:rFonts w:ascii="Calibri" w:hAnsi="Calibri"/>
                <w:b w:val="0"/>
                <w:i w:val="0"/>
                <w:color w:val="222222"/>
                <w:sz w:val="18"/>
              </w:rPr>
              <w:t>Caolu Community Health Service Center</w:t>
            </w:r>
          </w:p>
        </w:tc>
        <w:tc>
          <w:tcPr>
            <w:tcW w:w="1050" w:type="dxa"/>
            <w:tcMar>
              <w:top w:w="80" w:type="dxa"/>
              <w:left w:w="120" w:type="dxa"/>
              <w:bottom w:w="80" w:type="dxa"/>
              <w:right w:w="120" w:type="dxa"/>
            </w:tcMar>
            <w:vAlign w:val="center"/>
          </w:tcPr>
          <w:p w14:paraId="4D0BDF6D">
            <w:pPr>
              <w:spacing w:before="0" w:after="0" w:line="252" w:lineRule="auto"/>
              <w:jc w:val="left"/>
            </w:pPr>
            <w:r>
              <w:rPr>
                <w:rFonts w:ascii="Calibri" w:hAnsi="Calibri"/>
                <w:b w:val="0"/>
                <w:i w:val="0"/>
                <w:color w:val="222222"/>
                <w:sz w:val="18"/>
              </w:rPr>
              <w:t>6</w:t>
            </w:r>
          </w:p>
        </w:tc>
        <w:tc>
          <w:tcPr>
            <w:tcW w:w="1250" w:type="dxa"/>
            <w:tcMar>
              <w:top w:w="80" w:type="dxa"/>
              <w:left w:w="120" w:type="dxa"/>
              <w:bottom w:w="80" w:type="dxa"/>
              <w:right w:w="120" w:type="dxa"/>
            </w:tcMar>
            <w:vAlign w:val="center"/>
          </w:tcPr>
          <w:p w14:paraId="23BF737D">
            <w:pPr>
              <w:spacing w:before="0" w:after="0" w:line="252" w:lineRule="auto"/>
              <w:jc w:val="left"/>
            </w:pPr>
            <w:r>
              <w:rPr>
                <w:rFonts w:ascii="Calibri" w:hAnsi="Calibri"/>
                <w:b w:val="0"/>
                <w:i w:val="0"/>
                <w:color w:val="222222"/>
                <w:sz w:val="18"/>
              </w:rPr>
              <w:t>1.4</w:t>
            </w:r>
          </w:p>
        </w:tc>
      </w:tr>
      <w:tr w14:paraId="5C6AE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67EE884F">
            <w:pPr>
              <w:spacing w:before="0" w:after="0" w:line="252" w:lineRule="auto"/>
              <w:jc w:val="center"/>
            </w:pPr>
            <w:r>
              <w:rPr>
                <w:rFonts w:ascii="Calibri" w:hAnsi="Calibri"/>
                <w:b w:val="0"/>
                <w:i w:val="0"/>
                <w:color w:val="222222"/>
                <w:sz w:val="18"/>
              </w:rPr>
              <w:t>20</w:t>
            </w:r>
          </w:p>
        </w:tc>
        <w:tc>
          <w:tcPr>
            <w:tcW w:w="6210" w:type="dxa"/>
            <w:tcMar>
              <w:top w:w="80" w:type="dxa"/>
              <w:left w:w="120" w:type="dxa"/>
              <w:bottom w:w="80" w:type="dxa"/>
              <w:right w:w="120" w:type="dxa"/>
            </w:tcMar>
            <w:vAlign w:val="center"/>
          </w:tcPr>
          <w:p w14:paraId="72F2FD48">
            <w:pPr>
              <w:spacing w:before="0" w:after="0" w:line="252" w:lineRule="auto"/>
              <w:jc w:val="left"/>
            </w:pPr>
            <w:r>
              <w:rPr>
                <w:rFonts w:ascii="Calibri" w:hAnsi="Calibri"/>
                <w:b w:val="0"/>
                <w:i w:val="0"/>
                <w:color w:val="222222"/>
                <w:sz w:val="18"/>
              </w:rPr>
              <w:t>Weifang Community Health Service Center</w:t>
            </w:r>
          </w:p>
        </w:tc>
        <w:tc>
          <w:tcPr>
            <w:tcW w:w="1050" w:type="dxa"/>
            <w:tcMar>
              <w:top w:w="80" w:type="dxa"/>
              <w:left w:w="120" w:type="dxa"/>
              <w:bottom w:w="80" w:type="dxa"/>
              <w:right w:w="120" w:type="dxa"/>
            </w:tcMar>
            <w:vAlign w:val="center"/>
          </w:tcPr>
          <w:p w14:paraId="3DC6B273">
            <w:pPr>
              <w:spacing w:before="0" w:after="0" w:line="252" w:lineRule="auto"/>
              <w:jc w:val="left"/>
            </w:pPr>
            <w:r>
              <w:rPr>
                <w:rFonts w:ascii="Calibri" w:hAnsi="Calibri"/>
                <w:b w:val="0"/>
                <w:i w:val="0"/>
                <w:color w:val="222222"/>
                <w:sz w:val="18"/>
              </w:rPr>
              <w:t>6</w:t>
            </w:r>
          </w:p>
        </w:tc>
        <w:tc>
          <w:tcPr>
            <w:tcW w:w="1250" w:type="dxa"/>
            <w:tcMar>
              <w:top w:w="80" w:type="dxa"/>
              <w:left w:w="120" w:type="dxa"/>
              <w:bottom w:w="80" w:type="dxa"/>
              <w:right w:w="120" w:type="dxa"/>
            </w:tcMar>
            <w:vAlign w:val="center"/>
          </w:tcPr>
          <w:p w14:paraId="5B474B72">
            <w:pPr>
              <w:spacing w:before="0" w:after="0" w:line="252" w:lineRule="auto"/>
              <w:jc w:val="left"/>
            </w:pPr>
            <w:r>
              <w:rPr>
                <w:rFonts w:ascii="Calibri" w:hAnsi="Calibri"/>
                <w:b w:val="0"/>
                <w:i w:val="0"/>
                <w:color w:val="222222"/>
                <w:sz w:val="18"/>
              </w:rPr>
              <w:t>1.4</w:t>
            </w:r>
          </w:p>
        </w:tc>
      </w:tr>
      <w:tr w14:paraId="22DE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6DA45493">
            <w:pPr>
              <w:spacing w:before="0" w:after="0" w:line="252" w:lineRule="auto"/>
              <w:jc w:val="center"/>
            </w:pPr>
            <w:r>
              <w:rPr>
                <w:rFonts w:ascii="Calibri" w:hAnsi="Calibri"/>
                <w:b w:val="0"/>
                <w:i w:val="0"/>
                <w:color w:val="222222"/>
                <w:sz w:val="18"/>
              </w:rPr>
              <w:t>21</w:t>
            </w:r>
          </w:p>
        </w:tc>
        <w:tc>
          <w:tcPr>
            <w:tcW w:w="6210" w:type="dxa"/>
            <w:tcMar>
              <w:top w:w="80" w:type="dxa"/>
              <w:left w:w="120" w:type="dxa"/>
              <w:bottom w:w="80" w:type="dxa"/>
              <w:right w:w="120" w:type="dxa"/>
            </w:tcMar>
            <w:vAlign w:val="center"/>
          </w:tcPr>
          <w:p w14:paraId="4F50B651">
            <w:pPr>
              <w:spacing w:before="0" w:after="0" w:line="252" w:lineRule="auto"/>
              <w:jc w:val="left"/>
            </w:pPr>
            <w:r>
              <w:rPr>
                <w:rFonts w:ascii="Calibri" w:hAnsi="Calibri"/>
                <w:b w:val="0"/>
                <w:i w:val="0"/>
                <w:color w:val="222222"/>
                <w:sz w:val="18"/>
              </w:rPr>
              <w:t>Tangzhen Community Health Service Center</w:t>
            </w:r>
          </w:p>
        </w:tc>
        <w:tc>
          <w:tcPr>
            <w:tcW w:w="1050" w:type="dxa"/>
            <w:tcMar>
              <w:top w:w="80" w:type="dxa"/>
              <w:left w:w="120" w:type="dxa"/>
              <w:bottom w:w="80" w:type="dxa"/>
              <w:right w:w="120" w:type="dxa"/>
            </w:tcMar>
            <w:vAlign w:val="center"/>
          </w:tcPr>
          <w:p w14:paraId="4492F501">
            <w:pPr>
              <w:spacing w:before="0" w:after="0" w:line="252" w:lineRule="auto"/>
              <w:jc w:val="left"/>
            </w:pPr>
            <w:r>
              <w:rPr>
                <w:rFonts w:ascii="Calibri" w:hAnsi="Calibri"/>
                <w:b w:val="0"/>
                <w:i w:val="0"/>
                <w:color w:val="222222"/>
                <w:sz w:val="18"/>
              </w:rPr>
              <w:t>4</w:t>
            </w:r>
          </w:p>
        </w:tc>
        <w:tc>
          <w:tcPr>
            <w:tcW w:w="1250" w:type="dxa"/>
            <w:tcMar>
              <w:top w:w="80" w:type="dxa"/>
              <w:left w:w="120" w:type="dxa"/>
              <w:bottom w:w="80" w:type="dxa"/>
              <w:right w:w="120" w:type="dxa"/>
            </w:tcMar>
            <w:vAlign w:val="center"/>
          </w:tcPr>
          <w:p w14:paraId="37DF6C49">
            <w:pPr>
              <w:spacing w:before="0" w:after="0" w:line="252" w:lineRule="auto"/>
              <w:jc w:val="left"/>
            </w:pPr>
            <w:r>
              <w:rPr>
                <w:rFonts w:ascii="Calibri" w:hAnsi="Calibri"/>
                <w:b w:val="0"/>
                <w:i w:val="0"/>
                <w:color w:val="222222"/>
                <w:sz w:val="18"/>
              </w:rPr>
              <w:t>0.9</w:t>
            </w:r>
          </w:p>
        </w:tc>
      </w:tr>
      <w:tr w14:paraId="4997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F9C612D">
            <w:pPr>
              <w:spacing w:before="0" w:after="0" w:line="252" w:lineRule="auto"/>
              <w:jc w:val="center"/>
            </w:pPr>
            <w:r>
              <w:rPr>
                <w:rFonts w:ascii="Calibri" w:hAnsi="Calibri"/>
                <w:b w:val="0"/>
                <w:i w:val="0"/>
                <w:color w:val="222222"/>
                <w:sz w:val="18"/>
              </w:rPr>
              <w:t>22</w:t>
            </w:r>
          </w:p>
        </w:tc>
        <w:tc>
          <w:tcPr>
            <w:tcW w:w="6210" w:type="dxa"/>
            <w:tcMar>
              <w:top w:w="80" w:type="dxa"/>
              <w:left w:w="120" w:type="dxa"/>
              <w:bottom w:w="80" w:type="dxa"/>
              <w:right w:w="120" w:type="dxa"/>
            </w:tcMar>
            <w:vAlign w:val="center"/>
          </w:tcPr>
          <w:p w14:paraId="2119A001">
            <w:pPr>
              <w:spacing w:before="0" w:after="0" w:line="252" w:lineRule="auto"/>
              <w:jc w:val="left"/>
            </w:pPr>
            <w:r>
              <w:rPr>
                <w:rFonts w:ascii="Calibri" w:hAnsi="Calibri"/>
                <w:b w:val="0"/>
                <w:i w:val="0"/>
                <w:color w:val="222222"/>
                <w:sz w:val="18"/>
              </w:rPr>
              <w:t>Heqing Community Health Service Center</w:t>
            </w:r>
          </w:p>
        </w:tc>
        <w:tc>
          <w:tcPr>
            <w:tcW w:w="1050" w:type="dxa"/>
            <w:tcMar>
              <w:top w:w="80" w:type="dxa"/>
              <w:left w:w="120" w:type="dxa"/>
              <w:bottom w:w="80" w:type="dxa"/>
              <w:right w:w="120" w:type="dxa"/>
            </w:tcMar>
            <w:vAlign w:val="center"/>
          </w:tcPr>
          <w:p w14:paraId="751532E7">
            <w:pPr>
              <w:spacing w:before="0" w:after="0" w:line="252" w:lineRule="auto"/>
              <w:jc w:val="left"/>
            </w:pPr>
            <w:r>
              <w:rPr>
                <w:rFonts w:ascii="Calibri" w:hAnsi="Calibri"/>
                <w:b w:val="0"/>
                <w:i w:val="0"/>
                <w:color w:val="222222"/>
                <w:sz w:val="18"/>
              </w:rPr>
              <w:t>3</w:t>
            </w:r>
          </w:p>
        </w:tc>
        <w:tc>
          <w:tcPr>
            <w:tcW w:w="1250" w:type="dxa"/>
            <w:tcMar>
              <w:top w:w="80" w:type="dxa"/>
              <w:left w:w="120" w:type="dxa"/>
              <w:bottom w:w="80" w:type="dxa"/>
              <w:right w:w="120" w:type="dxa"/>
            </w:tcMar>
            <w:vAlign w:val="center"/>
          </w:tcPr>
          <w:p w14:paraId="3F63789A">
            <w:pPr>
              <w:spacing w:before="0" w:after="0" w:line="252" w:lineRule="auto"/>
              <w:jc w:val="left"/>
            </w:pPr>
            <w:r>
              <w:rPr>
                <w:rFonts w:ascii="Calibri" w:hAnsi="Calibri"/>
                <w:b w:val="0"/>
                <w:i w:val="0"/>
                <w:color w:val="222222"/>
                <w:sz w:val="18"/>
              </w:rPr>
              <w:t>0.7</w:t>
            </w:r>
          </w:p>
        </w:tc>
      </w:tr>
      <w:tr w14:paraId="25BC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7A51B936">
            <w:pPr>
              <w:spacing w:before="0" w:after="0" w:line="252" w:lineRule="auto"/>
              <w:jc w:val="center"/>
            </w:pPr>
            <w:r>
              <w:rPr>
                <w:rFonts w:ascii="Calibri" w:hAnsi="Calibri"/>
                <w:b w:val="0"/>
                <w:i w:val="0"/>
                <w:color w:val="222222"/>
                <w:sz w:val="18"/>
              </w:rPr>
              <w:t>23</w:t>
            </w:r>
          </w:p>
        </w:tc>
        <w:tc>
          <w:tcPr>
            <w:tcW w:w="6210" w:type="dxa"/>
            <w:tcMar>
              <w:top w:w="80" w:type="dxa"/>
              <w:left w:w="120" w:type="dxa"/>
              <w:bottom w:w="80" w:type="dxa"/>
              <w:right w:w="120" w:type="dxa"/>
            </w:tcMar>
            <w:vAlign w:val="center"/>
          </w:tcPr>
          <w:p w14:paraId="777E42BA">
            <w:pPr>
              <w:spacing w:before="0" w:after="0" w:line="252" w:lineRule="auto"/>
              <w:jc w:val="left"/>
            </w:pPr>
            <w:r>
              <w:rPr>
                <w:rFonts w:ascii="Calibri" w:hAnsi="Calibri"/>
                <w:b w:val="0"/>
                <w:i w:val="0"/>
                <w:color w:val="222222"/>
                <w:sz w:val="18"/>
              </w:rPr>
              <w:t>Hudong Community Health Service Center</w:t>
            </w:r>
          </w:p>
        </w:tc>
        <w:tc>
          <w:tcPr>
            <w:tcW w:w="1050" w:type="dxa"/>
            <w:tcMar>
              <w:top w:w="80" w:type="dxa"/>
              <w:left w:w="120" w:type="dxa"/>
              <w:bottom w:w="80" w:type="dxa"/>
              <w:right w:w="120" w:type="dxa"/>
            </w:tcMar>
            <w:vAlign w:val="center"/>
          </w:tcPr>
          <w:p w14:paraId="20062256">
            <w:pPr>
              <w:spacing w:before="0" w:after="0" w:line="252" w:lineRule="auto"/>
              <w:jc w:val="left"/>
            </w:pPr>
            <w:r>
              <w:rPr>
                <w:rFonts w:ascii="Calibri" w:hAnsi="Calibri"/>
                <w:b w:val="0"/>
                <w:i w:val="0"/>
                <w:color w:val="222222"/>
                <w:sz w:val="18"/>
              </w:rPr>
              <w:t>3</w:t>
            </w:r>
          </w:p>
        </w:tc>
        <w:tc>
          <w:tcPr>
            <w:tcW w:w="1250" w:type="dxa"/>
            <w:tcMar>
              <w:top w:w="80" w:type="dxa"/>
              <w:left w:w="120" w:type="dxa"/>
              <w:bottom w:w="80" w:type="dxa"/>
              <w:right w:w="120" w:type="dxa"/>
            </w:tcMar>
            <w:vAlign w:val="center"/>
          </w:tcPr>
          <w:p w14:paraId="745285CA">
            <w:pPr>
              <w:spacing w:before="0" w:after="0" w:line="252" w:lineRule="auto"/>
              <w:jc w:val="left"/>
            </w:pPr>
            <w:r>
              <w:rPr>
                <w:rFonts w:ascii="Calibri" w:hAnsi="Calibri"/>
                <w:b w:val="0"/>
                <w:i w:val="0"/>
                <w:color w:val="222222"/>
                <w:sz w:val="18"/>
              </w:rPr>
              <w:t>0.7</w:t>
            </w:r>
          </w:p>
        </w:tc>
      </w:tr>
      <w:tr w14:paraId="2EFC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BA7AD82">
            <w:pPr>
              <w:spacing w:before="0" w:after="0" w:line="252" w:lineRule="auto"/>
              <w:jc w:val="center"/>
            </w:pPr>
            <w:r>
              <w:rPr>
                <w:rFonts w:ascii="Calibri" w:hAnsi="Calibri"/>
                <w:b w:val="0"/>
                <w:i w:val="0"/>
                <w:color w:val="222222"/>
                <w:sz w:val="18"/>
              </w:rPr>
              <w:t>24</w:t>
            </w:r>
          </w:p>
        </w:tc>
        <w:tc>
          <w:tcPr>
            <w:tcW w:w="6210" w:type="dxa"/>
            <w:tcMar>
              <w:top w:w="80" w:type="dxa"/>
              <w:left w:w="120" w:type="dxa"/>
              <w:bottom w:w="80" w:type="dxa"/>
              <w:right w:w="120" w:type="dxa"/>
            </w:tcMar>
            <w:vAlign w:val="center"/>
          </w:tcPr>
          <w:p w14:paraId="7AB7F2C3">
            <w:pPr>
              <w:spacing w:before="0" w:after="0" w:line="252" w:lineRule="auto"/>
              <w:jc w:val="left"/>
            </w:pPr>
            <w:r>
              <w:rPr>
                <w:rFonts w:ascii="Calibri" w:hAnsi="Calibri"/>
                <w:b w:val="0"/>
                <w:i w:val="0"/>
                <w:color w:val="222222"/>
                <w:sz w:val="18"/>
              </w:rPr>
              <w:t>Sunqiao Community Health Service Center</w:t>
            </w:r>
          </w:p>
        </w:tc>
        <w:tc>
          <w:tcPr>
            <w:tcW w:w="1050" w:type="dxa"/>
            <w:tcMar>
              <w:top w:w="80" w:type="dxa"/>
              <w:left w:w="120" w:type="dxa"/>
              <w:bottom w:w="80" w:type="dxa"/>
              <w:right w:w="120" w:type="dxa"/>
            </w:tcMar>
            <w:vAlign w:val="center"/>
          </w:tcPr>
          <w:p w14:paraId="1B2F9D90">
            <w:pPr>
              <w:spacing w:before="0" w:after="0" w:line="252" w:lineRule="auto"/>
              <w:jc w:val="left"/>
            </w:pPr>
            <w:r>
              <w:rPr>
                <w:rFonts w:ascii="Calibri" w:hAnsi="Calibri"/>
                <w:b w:val="0"/>
                <w:i w:val="0"/>
                <w:color w:val="222222"/>
                <w:sz w:val="18"/>
              </w:rPr>
              <w:t>3</w:t>
            </w:r>
          </w:p>
        </w:tc>
        <w:tc>
          <w:tcPr>
            <w:tcW w:w="1250" w:type="dxa"/>
            <w:tcMar>
              <w:top w:w="80" w:type="dxa"/>
              <w:left w:w="120" w:type="dxa"/>
              <w:bottom w:w="80" w:type="dxa"/>
              <w:right w:w="120" w:type="dxa"/>
            </w:tcMar>
            <w:vAlign w:val="center"/>
          </w:tcPr>
          <w:p w14:paraId="2F4359FF">
            <w:pPr>
              <w:spacing w:before="0" w:after="0" w:line="252" w:lineRule="auto"/>
              <w:jc w:val="left"/>
            </w:pPr>
            <w:r>
              <w:rPr>
                <w:rFonts w:ascii="Calibri" w:hAnsi="Calibri"/>
                <w:b w:val="0"/>
                <w:i w:val="0"/>
                <w:color w:val="222222"/>
                <w:sz w:val="18"/>
              </w:rPr>
              <w:t>0.7</w:t>
            </w:r>
          </w:p>
        </w:tc>
      </w:tr>
      <w:tr w14:paraId="744D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1934420D">
            <w:pPr>
              <w:spacing w:before="0" w:after="0" w:line="252" w:lineRule="auto"/>
              <w:jc w:val="center"/>
            </w:pPr>
            <w:r>
              <w:rPr>
                <w:rFonts w:ascii="Calibri" w:hAnsi="Calibri"/>
                <w:b w:val="0"/>
                <w:i w:val="0"/>
                <w:color w:val="222222"/>
                <w:sz w:val="18"/>
              </w:rPr>
              <w:t>25</w:t>
            </w:r>
          </w:p>
        </w:tc>
        <w:tc>
          <w:tcPr>
            <w:tcW w:w="6210" w:type="dxa"/>
            <w:tcMar>
              <w:top w:w="80" w:type="dxa"/>
              <w:left w:w="120" w:type="dxa"/>
              <w:bottom w:w="80" w:type="dxa"/>
              <w:right w:w="120" w:type="dxa"/>
            </w:tcMar>
            <w:vAlign w:val="center"/>
          </w:tcPr>
          <w:p w14:paraId="4100AEFC">
            <w:pPr>
              <w:spacing w:before="0" w:after="0" w:line="252" w:lineRule="auto"/>
              <w:jc w:val="left"/>
            </w:pPr>
            <w:r>
              <w:rPr>
                <w:rFonts w:ascii="Calibri" w:hAnsi="Calibri"/>
                <w:b w:val="0"/>
                <w:i w:val="0"/>
                <w:color w:val="222222"/>
                <w:sz w:val="18"/>
              </w:rPr>
              <w:t>Beicai Community Health Service Center</w:t>
            </w:r>
          </w:p>
        </w:tc>
        <w:tc>
          <w:tcPr>
            <w:tcW w:w="1050" w:type="dxa"/>
            <w:tcMar>
              <w:top w:w="80" w:type="dxa"/>
              <w:left w:w="120" w:type="dxa"/>
              <w:bottom w:w="80" w:type="dxa"/>
              <w:right w:w="120" w:type="dxa"/>
            </w:tcMar>
            <w:vAlign w:val="center"/>
          </w:tcPr>
          <w:p w14:paraId="30DDFFF3">
            <w:pPr>
              <w:spacing w:before="0" w:after="0" w:line="252" w:lineRule="auto"/>
              <w:jc w:val="left"/>
            </w:pPr>
            <w:r>
              <w:rPr>
                <w:rFonts w:ascii="Calibri" w:hAnsi="Calibri"/>
                <w:b w:val="0"/>
                <w:i w:val="0"/>
                <w:color w:val="222222"/>
                <w:sz w:val="18"/>
              </w:rPr>
              <w:t>2</w:t>
            </w:r>
          </w:p>
        </w:tc>
        <w:tc>
          <w:tcPr>
            <w:tcW w:w="1250" w:type="dxa"/>
            <w:tcMar>
              <w:top w:w="80" w:type="dxa"/>
              <w:left w:w="120" w:type="dxa"/>
              <w:bottom w:w="80" w:type="dxa"/>
              <w:right w:w="120" w:type="dxa"/>
            </w:tcMar>
            <w:vAlign w:val="center"/>
          </w:tcPr>
          <w:p w14:paraId="512755B5">
            <w:pPr>
              <w:spacing w:before="0" w:after="0" w:line="252" w:lineRule="auto"/>
              <w:jc w:val="left"/>
            </w:pPr>
            <w:r>
              <w:rPr>
                <w:rFonts w:ascii="Calibri" w:hAnsi="Calibri"/>
                <w:b w:val="0"/>
                <w:i w:val="0"/>
                <w:color w:val="222222"/>
                <w:sz w:val="18"/>
              </w:rPr>
              <w:t>0.5</w:t>
            </w:r>
          </w:p>
        </w:tc>
      </w:tr>
      <w:tr w14:paraId="5789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0CD59A0">
            <w:pPr>
              <w:spacing w:before="0" w:after="0" w:line="252" w:lineRule="auto"/>
              <w:jc w:val="center"/>
            </w:pPr>
            <w:r>
              <w:rPr>
                <w:rFonts w:ascii="Calibri" w:hAnsi="Calibri"/>
                <w:b w:val="0"/>
                <w:i w:val="0"/>
                <w:color w:val="222222"/>
                <w:sz w:val="18"/>
              </w:rPr>
              <w:t>26</w:t>
            </w:r>
          </w:p>
        </w:tc>
        <w:tc>
          <w:tcPr>
            <w:tcW w:w="6210" w:type="dxa"/>
            <w:tcMar>
              <w:top w:w="80" w:type="dxa"/>
              <w:left w:w="120" w:type="dxa"/>
              <w:bottom w:w="80" w:type="dxa"/>
              <w:right w:w="120" w:type="dxa"/>
            </w:tcMar>
            <w:vAlign w:val="center"/>
          </w:tcPr>
          <w:p w14:paraId="0464773B">
            <w:pPr>
              <w:spacing w:before="0" w:after="0" w:line="252" w:lineRule="auto"/>
              <w:jc w:val="left"/>
            </w:pPr>
            <w:r>
              <w:rPr>
                <w:rFonts w:ascii="Calibri" w:hAnsi="Calibri"/>
                <w:b w:val="0"/>
                <w:i w:val="0"/>
                <w:color w:val="222222"/>
                <w:sz w:val="18"/>
              </w:rPr>
              <w:t>Gaohang Community Health Service Center</w:t>
            </w:r>
          </w:p>
        </w:tc>
        <w:tc>
          <w:tcPr>
            <w:tcW w:w="1050" w:type="dxa"/>
            <w:tcMar>
              <w:top w:w="80" w:type="dxa"/>
              <w:left w:w="120" w:type="dxa"/>
              <w:bottom w:w="80" w:type="dxa"/>
              <w:right w:w="120" w:type="dxa"/>
            </w:tcMar>
            <w:vAlign w:val="center"/>
          </w:tcPr>
          <w:p w14:paraId="3662A22A">
            <w:pPr>
              <w:spacing w:before="0" w:after="0" w:line="252" w:lineRule="auto"/>
              <w:jc w:val="left"/>
            </w:pPr>
            <w:r>
              <w:rPr>
                <w:rFonts w:ascii="Calibri" w:hAnsi="Calibri"/>
                <w:b w:val="0"/>
                <w:i w:val="0"/>
                <w:color w:val="222222"/>
                <w:sz w:val="18"/>
              </w:rPr>
              <w:t>2</w:t>
            </w:r>
          </w:p>
        </w:tc>
        <w:tc>
          <w:tcPr>
            <w:tcW w:w="1250" w:type="dxa"/>
            <w:tcMar>
              <w:top w:w="80" w:type="dxa"/>
              <w:left w:w="120" w:type="dxa"/>
              <w:bottom w:w="80" w:type="dxa"/>
              <w:right w:w="120" w:type="dxa"/>
            </w:tcMar>
            <w:vAlign w:val="center"/>
          </w:tcPr>
          <w:p w14:paraId="2C7D8B62">
            <w:pPr>
              <w:spacing w:before="0" w:after="0" w:line="252" w:lineRule="auto"/>
              <w:jc w:val="left"/>
            </w:pPr>
            <w:r>
              <w:rPr>
                <w:rFonts w:ascii="Calibri" w:hAnsi="Calibri"/>
                <w:b w:val="0"/>
                <w:i w:val="0"/>
                <w:color w:val="222222"/>
                <w:sz w:val="18"/>
              </w:rPr>
              <w:t>0.5</w:t>
            </w:r>
          </w:p>
        </w:tc>
      </w:tr>
      <w:tr w14:paraId="6954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7F53127F">
            <w:pPr>
              <w:spacing w:before="0" w:after="0" w:line="252" w:lineRule="auto"/>
              <w:jc w:val="center"/>
            </w:pPr>
            <w:r>
              <w:rPr>
                <w:rFonts w:ascii="Calibri" w:hAnsi="Calibri"/>
                <w:b w:val="0"/>
                <w:i w:val="0"/>
                <w:color w:val="222222"/>
                <w:sz w:val="18"/>
              </w:rPr>
              <w:t>27</w:t>
            </w:r>
          </w:p>
        </w:tc>
        <w:tc>
          <w:tcPr>
            <w:tcW w:w="6210" w:type="dxa"/>
            <w:tcMar>
              <w:top w:w="80" w:type="dxa"/>
              <w:left w:w="120" w:type="dxa"/>
              <w:bottom w:w="80" w:type="dxa"/>
              <w:right w:w="120" w:type="dxa"/>
            </w:tcMar>
            <w:vAlign w:val="center"/>
          </w:tcPr>
          <w:p w14:paraId="3B48E553">
            <w:pPr>
              <w:spacing w:before="0" w:after="0" w:line="252" w:lineRule="auto"/>
              <w:jc w:val="left"/>
            </w:pPr>
            <w:r>
              <w:rPr>
                <w:rFonts w:ascii="Calibri" w:hAnsi="Calibri"/>
                <w:b w:val="0"/>
                <w:i w:val="0"/>
                <w:color w:val="222222"/>
                <w:sz w:val="18"/>
              </w:rPr>
              <w:t>Wanggang Community Health Service Center</w:t>
            </w:r>
          </w:p>
        </w:tc>
        <w:tc>
          <w:tcPr>
            <w:tcW w:w="1050" w:type="dxa"/>
            <w:tcMar>
              <w:top w:w="80" w:type="dxa"/>
              <w:left w:w="120" w:type="dxa"/>
              <w:bottom w:w="80" w:type="dxa"/>
              <w:right w:w="120" w:type="dxa"/>
            </w:tcMar>
            <w:vAlign w:val="center"/>
          </w:tcPr>
          <w:p w14:paraId="64111201">
            <w:pPr>
              <w:spacing w:before="0" w:after="0" w:line="252" w:lineRule="auto"/>
              <w:jc w:val="left"/>
            </w:pPr>
            <w:r>
              <w:rPr>
                <w:rFonts w:ascii="Calibri" w:hAnsi="Calibri"/>
                <w:b w:val="0"/>
                <w:i w:val="0"/>
                <w:color w:val="222222"/>
                <w:sz w:val="18"/>
              </w:rPr>
              <w:t>2</w:t>
            </w:r>
          </w:p>
        </w:tc>
        <w:tc>
          <w:tcPr>
            <w:tcW w:w="1250" w:type="dxa"/>
            <w:tcMar>
              <w:top w:w="80" w:type="dxa"/>
              <w:left w:w="120" w:type="dxa"/>
              <w:bottom w:w="80" w:type="dxa"/>
              <w:right w:w="120" w:type="dxa"/>
            </w:tcMar>
            <w:vAlign w:val="center"/>
          </w:tcPr>
          <w:p w14:paraId="18F83B2A">
            <w:pPr>
              <w:spacing w:before="0" w:after="0" w:line="252" w:lineRule="auto"/>
              <w:jc w:val="left"/>
            </w:pPr>
            <w:r>
              <w:rPr>
                <w:rFonts w:ascii="Calibri" w:hAnsi="Calibri"/>
                <w:b w:val="0"/>
                <w:i w:val="0"/>
                <w:color w:val="222222"/>
                <w:sz w:val="18"/>
              </w:rPr>
              <w:t>0.5</w:t>
            </w:r>
          </w:p>
        </w:tc>
      </w:tr>
      <w:tr w14:paraId="2CEC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16A35374">
            <w:pPr>
              <w:spacing w:before="0" w:after="0" w:line="252" w:lineRule="auto"/>
              <w:jc w:val="center"/>
            </w:pPr>
            <w:r>
              <w:rPr>
                <w:rFonts w:ascii="Calibri" w:hAnsi="Calibri"/>
                <w:b w:val="0"/>
                <w:i w:val="0"/>
                <w:color w:val="222222"/>
                <w:sz w:val="18"/>
              </w:rPr>
              <w:t>28</w:t>
            </w:r>
          </w:p>
        </w:tc>
        <w:tc>
          <w:tcPr>
            <w:tcW w:w="6210" w:type="dxa"/>
            <w:tcMar>
              <w:top w:w="80" w:type="dxa"/>
              <w:left w:w="120" w:type="dxa"/>
              <w:bottom w:w="80" w:type="dxa"/>
              <w:right w:w="120" w:type="dxa"/>
            </w:tcMar>
            <w:vAlign w:val="center"/>
          </w:tcPr>
          <w:p w14:paraId="6B6E6C1F">
            <w:pPr>
              <w:spacing w:before="0" w:after="0" w:line="252" w:lineRule="auto"/>
              <w:jc w:val="left"/>
            </w:pPr>
            <w:r>
              <w:rPr>
                <w:rFonts w:ascii="Calibri" w:hAnsi="Calibri"/>
                <w:b w:val="0"/>
                <w:i w:val="0"/>
                <w:color w:val="222222"/>
                <w:sz w:val="18"/>
              </w:rPr>
              <w:t>Gaodong Community Health Service Center</w:t>
            </w:r>
          </w:p>
        </w:tc>
        <w:tc>
          <w:tcPr>
            <w:tcW w:w="1050" w:type="dxa"/>
            <w:tcMar>
              <w:top w:w="80" w:type="dxa"/>
              <w:left w:w="120" w:type="dxa"/>
              <w:bottom w:w="80" w:type="dxa"/>
              <w:right w:w="120" w:type="dxa"/>
            </w:tcMar>
            <w:vAlign w:val="center"/>
          </w:tcPr>
          <w:p w14:paraId="6276F51B">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0B3C0D55">
            <w:pPr>
              <w:spacing w:before="0" w:after="0" w:line="252" w:lineRule="auto"/>
              <w:jc w:val="left"/>
            </w:pPr>
            <w:r>
              <w:rPr>
                <w:rFonts w:ascii="Calibri" w:hAnsi="Calibri"/>
                <w:b w:val="0"/>
                <w:i w:val="0"/>
                <w:color w:val="222222"/>
                <w:sz w:val="18"/>
              </w:rPr>
              <w:t>0.2</w:t>
            </w:r>
          </w:p>
        </w:tc>
      </w:tr>
      <w:tr w14:paraId="26B4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3E5AE939">
            <w:pPr>
              <w:spacing w:before="0" w:after="0" w:line="252" w:lineRule="auto"/>
              <w:jc w:val="center"/>
            </w:pPr>
            <w:r>
              <w:rPr>
                <w:rFonts w:ascii="Calibri" w:hAnsi="Calibri"/>
                <w:b w:val="0"/>
                <w:i w:val="0"/>
                <w:color w:val="222222"/>
                <w:sz w:val="18"/>
              </w:rPr>
              <w:t>29</w:t>
            </w:r>
          </w:p>
        </w:tc>
        <w:tc>
          <w:tcPr>
            <w:tcW w:w="6210" w:type="dxa"/>
            <w:tcMar>
              <w:top w:w="80" w:type="dxa"/>
              <w:left w:w="120" w:type="dxa"/>
              <w:bottom w:w="80" w:type="dxa"/>
              <w:right w:w="120" w:type="dxa"/>
            </w:tcMar>
            <w:vAlign w:val="center"/>
          </w:tcPr>
          <w:p w14:paraId="04C74E7C">
            <w:pPr>
              <w:spacing w:before="0" w:after="0" w:line="252" w:lineRule="auto"/>
              <w:jc w:val="left"/>
            </w:pPr>
            <w:r>
              <w:rPr>
                <w:rFonts w:ascii="Calibri" w:hAnsi="Calibri"/>
                <w:b w:val="0"/>
                <w:i w:val="0"/>
                <w:color w:val="222222"/>
                <w:sz w:val="18"/>
              </w:rPr>
              <w:t>Airport Community Health Service Center</w:t>
            </w:r>
          </w:p>
        </w:tc>
        <w:tc>
          <w:tcPr>
            <w:tcW w:w="1050" w:type="dxa"/>
            <w:tcMar>
              <w:top w:w="80" w:type="dxa"/>
              <w:left w:w="120" w:type="dxa"/>
              <w:bottom w:w="80" w:type="dxa"/>
              <w:right w:w="120" w:type="dxa"/>
            </w:tcMar>
            <w:vAlign w:val="center"/>
          </w:tcPr>
          <w:p w14:paraId="02F3DD18">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7AF5F253">
            <w:pPr>
              <w:spacing w:before="0" w:after="0" w:line="252" w:lineRule="auto"/>
              <w:jc w:val="left"/>
            </w:pPr>
            <w:r>
              <w:rPr>
                <w:rFonts w:ascii="Calibri" w:hAnsi="Calibri"/>
                <w:b w:val="0"/>
                <w:i w:val="0"/>
                <w:color w:val="222222"/>
                <w:sz w:val="18"/>
              </w:rPr>
              <w:t>0.2</w:t>
            </w:r>
          </w:p>
        </w:tc>
      </w:tr>
      <w:tr w14:paraId="080F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3026B81C">
            <w:pPr>
              <w:spacing w:before="0" w:after="0" w:line="252" w:lineRule="auto"/>
              <w:jc w:val="center"/>
            </w:pPr>
            <w:r>
              <w:rPr>
                <w:rFonts w:ascii="Calibri" w:hAnsi="Calibri"/>
                <w:b w:val="0"/>
                <w:i w:val="0"/>
                <w:color w:val="222222"/>
                <w:sz w:val="18"/>
              </w:rPr>
              <w:t>30</w:t>
            </w:r>
          </w:p>
        </w:tc>
        <w:tc>
          <w:tcPr>
            <w:tcW w:w="6210" w:type="dxa"/>
            <w:tcMar>
              <w:top w:w="80" w:type="dxa"/>
              <w:left w:w="120" w:type="dxa"/>
              <w:bottom w:w="80" w:type="dxa"/>
              <w:right w:w="120" w:type="dxa"/>
            </w:tcMar>
            <w:vAlign w:val="center"/>
          </w:tcPr>
          <w:p w14:paraId="74A4749F">
            <w:pPr>
              <w:spacing w:before="0" w:after="0" w:line="252" w:lineRule="auto"/>
              <w:jc w:val="left"/>
            </w:pPr>
            <w:r>
              <w:rPr>
                <w:rFonts w:ascii="Calibri" w:hAnsi="Calibri"/>
                <w:b w:val="0"/>
                <w:i w:val="0"/>
                <w:color w:val="222222"/>
                <w:sz w:val="18"/>
              </w:rPr>
              <w:t>Jinqiao Community Health Service Center</w:t>
            </w:r>
          </w:p>
        </w:tc>
        <w:tc>
          <w:tcPr>
            <w:tcW w:w="1050" w:type="dxa"/>
            <w:tcMar>
              <w:top w:w="80" w:type="dxa"/>
              <w:left w:w="120" w:type="dxa"/>
              <w:bottom w:w="80" w:type="dxa"/>
              <w:right w:w="120" w:type="dxa"/>
            </w:tcMar>
            <w:vAlign w:val="center"/>
          </w:tcPr>
          <w:p w14:paraId="6D3F0F6D">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79834A0A">
            <w:pPr>
              <w:spacing w:before="0" w:after="0" w:line="252" w:lineRule="auto"/>
              <w:jc w:val="left"/>
            </w:pPr>
            <w:r>
              <w:rPr>
                <w:rFonts w:ascii="Calibri" w:hAnsi="Calibri"/>
                <w:b w:val="0"/>
                <w:i w:val="0"/>
                <w:color w:val="222222"/>
                <w:sz w:val="18"/>
              </w:rPr>
              <w:t>0.2</w:t>
            </w:r>
          </w:p>
        </w:tc>
      </w:tr>
      <w:tr w14:paraId="30C4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70CACA6B">
            <w:pPr>
              <w:spacing w:before="0" w:after="0" w:line="252" w:lineRule="auto"/>
              <w:jc w:val="center"/>
            </w:pPr>
            <w:r>
              <w:rPr>
                <w:rFonts w:ascii="Calibri" w:hAnsi="Calibri"/>
                <w:b w:val="0"/>
                <w:i w:val="0"/>
                <w:color w:val="222222"/>
                <w:sz w:val="18"/>
              </w:rPr>
              <w:t>31</w:t>
            </w:r>
          </w:p>
        </w:tc>
        <w:tc>
          <w:tcPr>
            <w:tcW w:w="6210" w:type="dxa"/>
            <w:tcMar>
              <w:top w:w="80" w:type="dxa"/>
              <w:left w:w="120" w:type="dxa"/>
              <w:bottom w:w="80" w:type="dxa"/>
              <w:right w:w="120" w:type="dxa"/>
            </w:tcMar>
            <w:vAlign w:val="center"/>
          </w:tcPr>
          <w:p w14:paraId="0CF1BEF1">
            <w:pPr>
              <w:spacing w:before="0" w:after="0" w:line="252" w:lineRule="auto"/>
              <w:jc w:val="left"/>
            </w:pPr>
            <w:r>
              <w:rPr>
                <w:rFonts w:ascii="Calibri" w:hAnsi="Calibri"/>
                <w:b w:val="0"/>
                <w:i w:val="0"/>
                <w:color w:val="222222"/>
                <w:sz w:val="18"/>
              </w:rPr>
              <w:t>Jinyang Community Health Service Center</w:t>
            </w:r>
          </w:p>
        </w:tc>
        <w:tc>
          <w:tcPr>
            <w:tcW w:w="1050" w:type="dxa"/>
            <w:tcMar>
              <w:top w:w="80" w:type="dxa"/>
              <w:left w:w="120" w:type="dxa"/>
              <w:bottom w:w="80" w:type="dxa"/>
              <w:right w:w="120" w:type="dxa"/>
            </w:tcMar>
            <w:vAlign w:val="center"/>
          </w:tcPr>
          <w:p w14:paraId="05AAC809">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28A26776">
            <w:pPr>
              <w:spacing w:before="0" w:after="0" w:line="252" w:lineRule="auto"/>
              <w:jc w:val="left"/>
            </w:pPr>
            <w:r>
              <w:rPr>
                <w:rFonts w:ascii="Calibri" w:hAnsi="Calibri"/>
                <w:b w:val="0"/>
                <w:i w:val="0"/>
                <w:color w:val="222222"/>
                <w:sz w:val="18"/>
              </w:rPr>
              <w:t>0.2</w:t>
            </w:r>
          </w:p>
        </w:tc>
      </w:tr>
      <w:tr w14:paraId="52B3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1C4C4063">
            <w:pPr>
              <w:spacing w:before="0" w:after="0" w:line="252" w:lineRule="auto"/>
              <w:jc w:val="center"/>
            </w:pPr>
            <w:r>
              <w:rPr>
                <w:rFonts w:ascii="Calibri" w:hAnsi="Calibri"/>
                <w:b w:val="0"/>
                <w:i w:val="0"/>
                <w:color w:val="222222"/>
                <w:sz w:val="18"/>
              </w:rPr>
              <w:t>32</w:t>
            </w:r>
          </w:p>
        </w:tc>
        <w:tc>
          <w:tcPr>
            <w:tcW w:w="6210" w:type="dxa"/>
            <w:tcMar>
              <w:top w:w="80" w:type="dxa"/>
              <w:left w:w="120" w:type="dxa"/>
              <w:bottom w:w="80" w:type="dxa"/>
              <w:right w:w="120" w:type="dxa"/>
            </w:tcMar>
            <w:vAlign w:val="center"/>
          </w:tcPr>
          <w:p w14:paraId="5E6387EC">
            <w:pPr>
              <w:spacing w:before="0" w:after="0" w:line="252" w:lineRule="auto"/>
              <w:jc w:val="left"/>
            </w:pPr>
            <w:r>
              <w:rPr>
                <w:rFonts w:ascii="Calibri" w:hAnsi="Calibri"/>
                <w:b w:val="0"/>
                <w:i w:val="0"/>
                <w:color w:val="222222"/>
                <w:sz w:val="18"/>
              </w:rPr>
              <w:t>Kangzhen Community Health Service Center</w:t>
            </w:r>
          </w:p>
        </w:tc>
        <w:tc>
          <w:tcPr>
            <w:tcW w:w="1050" w:type="dxa"/>
            <w:tcMar>
              <w:top w:w="80" w:type="dxa"/>
              <w:left w:w="120" w:type="dxa"/>
              <w:bottom w:w="80" w:type="dxa"/>
              <w:right w:w="120" w:type="dxa"/>
            </w:tcMar>
            <w:vAlign w:val="center"/>
          </w:tcPr>
          <w:p w14:paraId="1EE5D2F4">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16945A7D">
            <w:pPr>
              <w:spacing w:before="0" w:after="0" w:line="252" w:lineRule="auto"/>
              <w:jc w:val="left"/>
            </w:pPr>
            <w:r>
              <w:rPr>
                <w:rFonts w:ascii="Calibri" w:hAnsi="Calibri"/>
                <w:b w:val="0"/>
                <w:i w:val="0"/>
                <w:color w:val="222222"/>
                <w:sz w:val="18"/>
              </w:rPr>
              <w:t>0.2</w:t>
            </w:r>
          </w:p>
        </w:tc>
      </w:tr>
      <w:tr w14:paraId="4F36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463EF25">
            <w:pPr>
              <w:spacing w:before="0" w:after="0" w:line="252" w:lineRule="auto"/>
              <w:jc w:val="center"/>
            </w:pPr>
            <w:r>
              <w:rPr>
                <w:rFonts w:ascii="Calibri" w:hAnsi="Calibri"/>
                <w:b w:val="0"/>
                <w:i w:val="0"/>
                <w:color w:val="222222"/>
                <w:sz w:val="18"/>
              </w:rPr>
              <w:t>33</w:t>
            </w:r>
          </w:p>
        </w:tc>
        <w:tc>
          <w:tcPr>
            <w:tcW w:w="6210" w:type="dxa"/>
            <w:tcMar>
              <w:top w:w="80" w:type="dxa"/>
              <w:left w:w="120" w:type="dxa"/>
              <w:bottom w:w="80" w:type="dxa"/>
              <w:right w:w="120" w:type="dxa"/>
            </w:tcMar>
            <w:vAlign w:val="center"/>
          </w:tcPr>
          <w:p w14:paraId="548529AF">
            <w:pPr>
              <w:spacing w:before="0" w:after="0" w:line="252" w:lineRule="auto"/>
              <w:jc w:val="left"/>
            </w:pPr>
            <w:r>
              <w:rPr>
                <w:rFonts w:ascii="Calibri" w:hAnsi="Calibri"/>
                <w:b w:val="0"/>
                <w:i w:val="0"/>
                <w:color w:val="222222"/>
                <w:sz w:val="18"/>
              </w:rPr>
              <w:t>Liuzao Community Health Service Center</w:t>
            </w:r>
          </w:p>
        </w:tc>
        <w:tc>
          <w:tcPr>
            <w:tcW w:w="1050" w:type="dxa"/>
            <w:tcMar>
              <w:top w:w="80" w:type="dxa"/>
              <w:left w:w="120" w:type="dxa"/>
              <w:bottom w:w="80" w:type="dxa"/>
              <w:right w:w="120" w:type="dxa"/>
            </w:tcMar>
            <w:vAlign w:val="center"/>
          </w:tcPr>
          <w:p w14:paraId="4DC8717F">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1103550C">
            <w:pPr>
              <w:spacing w:before="0" w:after="0" w:line="252" w:lineRule="auto"/>
              <w:jc w:val="left"/>
            </w:pPr>
            <w:r>
              <w:rPr>
                <w:rFonts w:ascii="Calibri" w:hAnsi="Calibri"/>
                <w:b w:val="0"/>
                <w:i w:val="0"/>
                <w:color w:val="222222"/>
                <w:sz w:val="18"/>
              </w:rPr>
              <w:t>0.2</w:t>
            </w:r>
          </w:p>
        </w:tc>
      </w:tr>
      <w:tr w14:paraId="4EFF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14070F05">
            <w:pPr>
              <w:spacing w:before="0" w:after="0" w:line="252" w:lineRule="auto"/>
              <w:jc w:val="center"/>
            </w:pPr>
            <w:r>
              <w:rPr>
                <w:rFonts w:ascii="Calibri" w:hAnsi="Calibri"/>
                <w:b w:val="0"/>
                <w:i w:val="0"/>
                <w:color w:val="222222"/>
                <w:sz w:val="18"/>
              </w:rPr>
              <w:t>34</w:t>
            </w:r>
          </w:p>
        </w:tc>
        <w:tc>
          <w:tcPr>
            <w:tcW w:w="6210" w:type="dxa"/>
            <w:tcMar>
              <w:top w:w="80" w:type="dxa"/>
              <w:left w:w="120" w:type="dxa"/>
              <w:bottom w:w="80" w:type="dxa"/>
              <w:right w:w="120" w:type="dxa"/>
            </w:tcMar>
            <w:vAlign w:val="center"/>
          </w:tcPr>
          <w:p w14:paraId="5D319E7F">
            <w:pPr>
              <w:spacing w:before="0" w:after="0" w:line="252" w:lineRule="auto"/>
              <w:jc w:val="left"/>
            </w:pPr>
            <w:r>
              <w:rPr>
                <w:rFonts w:ascii="Calibri" w:hAnsi="Calibri"/>
                <w:b w:val="0"/>
                <w:i w:val="0"/>
                <w:color w:val="222222"/>
                <w:sz w:val="18"/>
              </w:rPr>
              <w:t>Nanhui New Town Community Health Service Center (alternate source label)</w:t>
            </w:r>
          </w:p>
        </w:tc>
        <w:tc>
          <w:tcPr>
            <w:tcW w:w="1050" w:type="dxa"/>
            <w:tcMar>
              <w:top w:w="80" w:type="dxa"/>
              <w:left w:w="120" w:type="dxa"/>
              <w:bottom w:w="80" w:type="dxa"/>
              <w:right w:w="120" w:type="dxa"/>
            </w:tcMar>
            <w:vAlign w:val="center"/>
          </w:tcPr>
          <w:p w14:paraId="4CBC8222">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65B9E8D4">
            <w:pPr>
              <w:spacing w:before="0" w:after="0" w:line="252" w:lineRule="auto"/>
              <w:jc w:val="left"/>
            </w:pPr>
            <w:r>
              <w:rPr>
                <w:rFonts w:ascii="Calibri" w:hAnsi="Calibri"/>
                <w:b w:val="0"/>
                <w:i w:val="0"/>
                <w:color w:val="222222"/>
                <w:sz w:val="18"/>
              </w:rPr>
              <w:t>0.2</w:t>
            </w:r>
          </w:p>
        </w:tc>
      </w:tr>
      <w:tr w14:paraId="403D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45101BE5">
            <w:pPr>
              <w:spacing w:before="0" w:after="0" w:line="252" w:lineRule="auto"/>
              <w:jc w:val="center"/>
            </w:pPr>
            <w:r>
              <w:rPr>
                <w:rFonts w:ascii="Calibri" w:hAnsi="Calibri"/>
                <w:b w:val="0"/>
                <w:i w:val="0"/>
                <w:color w:val="222222"/>
                <w:sz w:val="18"/>
              </w:rPr>
              <w:t>35</w:t>
            </w:r>
          </w:p>
        </w:tc>
        <w:tc>
          <w:tcPr>
            <w:tcW w:w="6210" w:type="dxa"/>
            <w:tcMar>
              <w:top w:w="80" w:type="dxa"/>
              <w:left w:w="120" w:type="dxa"/>
              <w:bottom w:w="80" w:type="dxa"/>
              <w:right w:w="120" w:type="dxa"/>
            </w:tcMar>
            <w:vAlign w:val="center"/>
          </w:tcPr>
          <w:p w14:paraId="0BB4511D">
            <w:pPr>
              <w:spacing w:before="0" w:after="0" w:line="252" w:lineRule="auto"/>
              <w:jc w:val="left"/>
            </w:pPr>
            <w:r>
              <w:rPr>
                <w:rFonts w:ascii="Calibri" w:hAnsi="Calibri"/>
                <w:b w:val="0"/>
                <w:i w:val="0"/>
                <w:color w:val="222222"/>
                <w:sz w:val="18"/>
              </w:rPr>
              <w:t>Shanggang Community Health Service Center</w:t>
            </w:r>
          </w:p>
        </w:tc>
        <w:tc>
          <w:tcPr>
            <w:tcW w:w="1050" w:type="dxa"/>
            <w:tcMar>
              <w:top w:w="80" w:type="dxa"/>
              <w:left w:w="120" w:type="dxa"/>
              <w:bottom w:w="80" w:type="dxa"/>
              <w:right w:w="120" w:type="dxa"/>
            </w:tcMar>
            <w:vAlign w:val="center"/>
          </w:tcPr>
          <w:p w14:paraId="28B0F240">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63EC6458">
            <w:pPr>
              <w:spacing w:before="0" w:after="0" w:line="252" w:lineRule="auto"/>
              <w:jc w:val="left"/>
            </w:pPr>
            <w:r>
              <w:rPr>
                <w:rFonts w:ascii="Calibri" w:hAnsi="Calibri"/>
                <w:b w:val="0"/>
                <w:i w:val="0"/>
                <w:color w:val="222222"/>
                <w:sz w:val="18"/>
              </w:rPr>
              <w:t>0.2</w:t>
            </w:r>
          </w:p>
        </w:tc>
      </w:tr>
      <w:tr w14:paraId="42C5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Mar>
              <w:top w:w="80" w:type="dxa"/>
              <w:left w:w="120" w:type="dxa"/>
              <w:bottom w:w="80" w:type="dxa"/>
              <w:right w:w="120" w:type="dxa"/>
            </w:tcMar>
            <w:vAlign w:val="center"/>
          </w:tcPr>
          <w:p w14:paraId="71685AE8">
            <w:pPr>
              <w:spacing w:before="0" w:after="0" w:line="252" w:lineRule="auto"/>
              <w:jc w:val="center"/>
            </w:pPr>
            <w:r>
              <w:rPr>
                <w:rFonts w:ascii="Calibri" w:hAnsi="Calibri"/>
                <w:b w:val="0"/>
                <w:i w:val="0"/>
                <w:color w:val="222222"/>
                <w:sz w:val="18"/>
              </w:rPr>
              <w:t>36</w:t>
            </w:r>
          </w:p>
        </w:tc>
        <w:tc>
          <w:tcPr>
            <w:tcW w:w="6210" w:type="dxa"/>
            <w:tcMar>
              <w:top w:w="80" w:type="dxa"/>
              <w:left w:w="120" w:type="dxa"/>
              <w:bottom w:w="80" w:type="dxa"/>
              <w:right w:w="120" w:type="dxa"/>
            </w:tcMar>
            <w:vAlign w:val="center"/>
          </w:tcPr>
          <w:p w14:paraId="0D92EC43">
            <w:pPr>
              <w:spacing w:before="0" w:after="0" w:line="252" w:lineRule="auto"/>
              <w:jc w:val="left"/>
            </w:pPr>
            <w:r>
              <w:rPr>
                <w:rFonts w:ascii="Calibri" w:hAnsi="Calibri"/>
                <w:b w:val="0"/>
                <w:i w:val="0"/>
                <w:color w:val="222222"/>
                <w:sz w:val="18"/>
              </w:rPr>
              <w:t>Yangjing Community Health Service Center</w:t>
            </w:r>
          </w:p>
        </w:tc>
        <w:tc>
          <w:tcPr>
            <w:tcW w:w="1050" w:type="dxa"/>
            <w:tcMar>
              <w:top w:w="80" w:type="dxa"/>
              <w:left w:w="120" w:type="dxa"/>
              <w:bottom w:w="80" w:type="dxa"/>
              <w:right w:w="120" w:type="dxa"/>
            </w:tcMar>
            <w:vAlign w:val="center"/>
          </w:tcPr>
          <w:p w14:paraId="7243E55C">
            <w:pPr>
              <w:spacing w:before="0" w:after="0" w:line="252" w:lineRule="auto"/>
              <w:jc w:val="left"/>
            </w:pPr>
            <w:r>
              <w:rPr>
                <w:rFonts w:ascii="Calibri" w:hAnsi="Calibri"/>
                <w:b w:val="0"/>
                <w:i w:val="0"/>
                <w:color w:val="222222"/>
                <w:sz w:val="18"/>
              </w:rPr>
              <w:t>1</w:t>
            </w:r>
          </w:p>
        </w:tc>
        <w:tc>
          <w:tcPr>
            <w:tcW w:w="1250" w:type="dxa"/>
            <w:tcMar>
              <w:top w:w="80" w:type="dxa"/>
              <w:left w:w="120" w:type="dxa"/>
              <w:bottom w:w="80" w:type="dxa"/>
              <w:right w:w="120" w:type="dxa"/>
            </w:tcMar>
            <w:vAlign w:val="center"/>
          </w:tcPr>
          <w:p w14:paraId="65A930F3">
            <w:pPr>
              <w:spacing w:before="0" w:after="0" w:line="252" w:lineRule="auto"/>
              <w:jc w:val="left"/>
            </w:pPr>
            <w:r>
              <w:rPr>
                <w:rFonts w:ascii="Calibri" w:hAnsi="Calibri"/>
                <w:b w:val="0"/>
                <w:i w:val="0"/>
                <w:color w:val="222222"/>
                <w:sz w:val="18"/>
              </w:rPr>
              <w:t>0.2</w:t>
            </w:r>
          </w:p>
        </w:tc>
      </w:tr>
    </w:tbl>
    <w:p w14:paraId="3049C71E">
      <w:pPr>
        <w:spacing w:before="80" w:after="80"/>
      </w:pPr>
      <w:r>
        <w:rPr>
          <w:rFonts w:ascii="Calibri" w:hAnsi="Calibri"/>
          <w:b w:val="0"/>
          <w:i/>
          <w:color w:val="666666"/>
          <w:sz w:val="18"/>
        </w:rPr>
        <w:t>Institution labels follow the locked analytic coding. Unequal contributions reflect voluntary participation; institution-specific performance rankings were not conducted.</w:t>
      </w:r>
    </w:p>
    <w:p w14:paraId="1A4DD0C5">
      <w:pPr>
        <w:pStyle w:val="3"/>
        <w:pageBreakBefore/>
      </w:pPr>
      <w:r>
        <w:t>Table S4. Sensitivity analyses</w:t>
      </w:r>
    </w:p>
    <w:p w14:paraId="66A865EE">
      <w:pPr>
        <w:pStyle w:val="4"/>
      </w:pPr>
      <w:r>
        <w:t>Panel A. Inclusion and response-time sensitivity</w:t>
      </w:r>
    </w:p>
    <w:tbl>
      <w:tblPr>
        <w:tblStyle w:val="33"/>
        <w:tblW w:w="936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0"/>
        <w:gridCol w:w="650"/>
        <w:gridCol w:w="1850"/>
        <w:gridCol w:w="1650"/>
        <w:gridCol w:w="1650"/>
        <w:gridCol w:w="1710"/>
      </w:tblGrid>
      <w:tr w14:paraId="7BFC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50" w:type="dxa"/>
            <w:shd w:val="clear" w:color="auto" w:fill="E8EEF5"/>
            <w:tcMar>
              <w:top w:w="80" w:type="dxa"/>
              <w:left w:w="120" w:type="dxa"/>
              <w:bottom w:w="80" w:type="dxa"/>
              <w:right w:w="120" w:type="dxa"/>
            </w:tcMar>
            <w:vAlign w:val="center"/>
          </w:tcPr>
          <w:p w14:paraId="68D8B8D6">
            <w:pPr>
              <w:spacing w:before="0" w:after="0" w:line="252" w:lineRule="auto"/>
              <w:jc w:val="center"/>
            </w:pPr>
            <w:r>
              <w:rPr>
                <w:rFonts w:ascii="Calibri" w:hAnsi="Calibri"/>
                <w:b/>
                <w:i w:val="0"/>
                <w:color w:val="222222"/>
                <w:sz w:val="17"/>
              </w:rPr>
              <w:t>Analysis set</w:t>
            </w:r>
          </w:p>
        </w:tc>
        <w:tc>
          <w:tcPr>
            <w:tcW w:w="650" w:type="dxa"/>
            <w:shd w:val="clear" w:color="auto" w:fill="E8EEF5"/>
            <w:tcMar>
              <w:top w:w="80" w:type="dxa"/>
              <w:left w:w="120" w:type="dxa"/>
              <w:bottom w:w="80" w:type="dxa"/>
              <w:right w:w="120" w:type="dxa"/>
            </w:tcMar>
            <w:vAlign w:val="center"/>
          </w:tcPr>
          <w:p w14:paraId="4017DE01">
            <w:pPr>
              <w:spacing w:before="0" w:after="0" w:line="252" w:lineRule="auto"/>
              <w:jc w:val="center"/>
            </w:pPr>
            <w:r>
              <w:rPr>
                <w:rFonts w:ascii="Calibri" w:hAnsi="Calibri"/>
                <w:b/>
                <w:i w:val="0"/>
                <w:color w:val="222222"/>
                <w:sz w:val="17"/>
              </w:rPr>
              <w:t>n</w:t>
            </w:r>
          </w:p>
        </w:tc>
        <w:tc>
          <w:tcPr>
            <w:tcW w:w="1850" w:type="dxa"/>
            <w:shd w:val="clear" w:color="auto" w:fill="E8EEF5"/>
            <w:tcMar>
              <w:top w:w="80" w:type="dxa"/>
              <w:left w:w="120" w:type="dxa"/>
              <w:bottom w:w="80" w:type="dxa"/>
              <w:right w:w="120" w:type="dxa"/>
            </w:tcMar>
            <w:vAlign w:val="center"/>
          </w:tcPr>
          <w:p w14:paraId="2764605B">
            <w:pPr>
              <w:spacing w:before="0" w:after="0" w:line="252" w:lineRule="auto"/>
              <w:jc w:val="center"/>
            </w:pPr>
            <w:r>
              <w:rPr>
                <w:rFonts w:ascii="Calibri" w:hAnsi="Calibri"/>
                <w:b/>
                <w:i w:val="0"/>
                <w:color w:val="222222"/>
                <w:sz w:val="17"/>
              </w:rPr>
              <w:t>Knowledge mean (SD)</w:t>
            </w:r>
          </w:p>
        </w:tc>
        <w:tc>
          <w:tcPr>
            <w:tcW w:w="1650" w:type="dxa"/>
            <w:shd w:val="clear" w:color="auto" w:fill="E8EEF5"/>
            <w:tcMar>
              <w:top w:w="80" w:type="dxa"/>
              <w:left w:w="120" w:type="dxa"/>
              <w:bottom w:w="80" w:type="dxa"/>
              <w:right w:w="120" w:type="dxa"/>
            </w:tcMar>
            <w:vAlign w:val="center"/>
          </w:tcPr>
          <w:p w14:paraId="673BD091">
            <w:pPr>
              <w:spacing w:before="0" w:after="0" w:line="252" w:lineRule="auto"/>
              <w:jc w:val="center"/>
            </w:pPr>
            <w:r>
              <w:rPr>
                <w:rFonts w:ascii="Calibri" w:hAnsi="Calibri"/>
                <w:b/>
                <w:i w:val="0"/>
                <w:color w:val="222222"/>
                <w:sz w:val="17"/>
              </w:rPr>
              <w:t>SGLT2i n (%)</w:t>
            </w:r>
          </w:p>
        </w:tc>
        <w:tc>
          <w:tcPr>
            <w:tcW w:w="1650" w:type="dxa"/>
            <w:shd w:val="clear" w:color="auto" w:fill="E8EEF5"/>
            <w:tcMar>
              <w:top w:w="80" w:type="dxa"/>
              <w:left w:w="120" w:type="dxa"/>
              <w:bottom w:w="80" w:type="dxa"/>
              <w:right w:w="120" w:type="dxa"/>
            </w:tcMar>
            <w:vAlign w:val="center"/>
          </w:tcPr>
          <w:p w14:paraId="7E8007D2">
            <w:pPr>
              <w:spacing w:before="0" w:after="0" w:line="252" w:lineRule="auto"/>
              <w:jc w:val="center"/>
            </w:pPr>
            <w:r>
              <w:rPr>
                <w:rFonts w:ascii="Calibri" w:hAnsi="Calibri"/>
                <w:b/>
                <w:i w:val="0"/>
                <w:color w:val="222222"/>
                <w:sz w:val="17"/>
              </w:rPr>
              <w:t>GLP-1RA n (%)</w:t>
            </w:r>
          </w:p>
        </w:tc>
        <w:tc>
          <w:tcPr>
            <w:tcW w:w="1710" w:type="dxa"/>
            <w:shd w:val="clear" w:color="auto" w:fill="E8EEF5"/>
            <w:tcMar>
              <w:top w:w="80" w:type="dxa"/>
              <w:left w:w="120" w:type="dxa"/>
              <w:bottom w:w="80" w:type="dxa"/>
              <w:right w:w="120" w:type="dxa"/>
            </w:tcMar>
            <w:vAlign w:val="center"/>
          </w:tcPr>
          <w:p w14:paraId="74400013">
            <w:pPr>
              <w:spacing w:before="0" w:after="0" w:line="252" w:lineRule="auto"/>
              <w:jc w:val="center"/>
            </w:pPr>
            <w:r>
              <w:rPr>
                <w:rFonts w:ascii="Calibri" w:hAnsi="Calibri"/>
                <w:b/>
                <w:i w:val="0"/>
                <w:color w:val="222222"/>
                <w:sz w:val="17"/>
              </w:rPr>
              <w:t>No surveyed agent n (%)</w:t>
            </w:r>
          </w:p>
        </w:tc>
      </w:tr>
      <w:tr w14:paraId="6147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tcMar>
              <w:top w:w="80" w:type="dxa"/>
              <w:left w:w="120" w:type="dxa"/>
              <w:bottom w:w="80" w:type="dxa"/>
              <w:right w:w="120" w:type="dxa"/>
            </w:tcMar>
            <w:vAlign w:val="center"/>
          </w:tcPr>
          <w:p w14:paraId="4D277443">
            <w:pPr>
              <w:spacing w:before="0" w:after="0" w:line="252" w:lineRule="auto"/>
              <w:jc w:val="left"/>
            </w:pPr>
            <w:r>
              <w:rPr>
                <w:rFonts w:ascii="Calibri" w:hAnsi="Calibri"/>
                <w:b w:val="0"/>
                <w:i w:val="0"/>
                <w:color w:val="222222"/>
                <w:sz w:val="17"/>
              </w:rPr>
              <w:t>Submitted sample</w:t>
            </w:r>
          </w:p>
        </w:tc>
        <w:tc>
          <w:tcPr>
            <w:tcW w:w="650" w:type="dxa"/>
            <w:tcMar>
              <w:top w:w="80" w:type="dxa"/>
              <w:left w:w="120" w:type="dxa"/>
              <w:bottom w:w="80" w:type="dxa"/>
              <w:right w:w="120" w:type="dxa"/>
            </w:tcMar>
            <w:vAlign w:val="center"/>
          </w:tcPr>
          <w:p w14:paraId="17F64B50">
            <w:pPr>
              <w:spacing w:before="0" w:after="0" w:line="252" w:lineRule="auto"/>
              <w:jc w:val="left"/>
            </w:pPr>
            <w:r>
              <w:rPr>
                <w:rFonts w:ascii="Calibri" w:hAnsi="Calibri"/>
                <w:b w:val="0"/>
                <w:i w:val="0"/>
                <w:color w:val="222222"/>
                <w:sz w:val="17"/>
              </w:rPr>
              <w:t>458</w:t>
            </w:r>
          </w:p>
        </w:tc>
        <w:tc>
          <w:tcPr>
            <w:tcW w:w="1850" w:type="dxa"/>
            <w:tcMar>
              <w:top w:w="80" w:type="dxa"/>
              <w:left w:w="120" w:type="dxa"/>
              <w:bottom w:w="80" w:type="dxa"/>
              <w:right w:w="120" w:type="dxa"/>
            </w:tcMar>
            <w:vAlign w:val="center"/>
          </w:tcPr>
          <w:p w14:paraId="0458ABE8">
            <w:pPr>
              <w:spacing w:before="0" w:after="0" w:line="252" w:lineRule="auto"/>
              <w:jc w:val="left"/>
            </w:pPr>
            <w:r>
              <w:rPr>
                <w:rFonts w:ascii="Calibri" w:hAnsi="Calibri"/>
                <w:b w:val="0"/>
                <w:i w:val="0"/>
                <w:color w:val="222222"/>
                <w:sz w:val="17"/>
              </w:rPr>
              <w:t>11.39 (3.40)</w:t>
            </w:r>
          </w:p>
        </w:tc>
        <w:tc>
          <w:tcPr>
            <w:tcW w:w="1650" w:type="dxa"/>
            <w:tcMar>
              <w:top w:w="80" w:type="dxa"/>
              <w:left w:w="120" w:type="dxa"/>
              <w:bottom w:w="80" w:type="dxa"/>
              <w:right w:w="120" w:type="dxa"/>
            </w:tcMar>
            <w:vAlign w:val="center"/>
          </w:tcPr>
          <w:p w14:paraId="575739D1">
            <w:pPr>
              <w:spacing w:before="0" w:after="0" w:line="252" w:lineRule="auto"/>
              <w:jc w:val="left"/>
            </w:pPr>
            <w:r>
              <w:rPr>
                <w:rFonts w:ascii="Calibri" w:hAnsi="Calibri"/>
                <w:b w:val="0"/>
                <w:i w:val="0"/>
                <w:color w:val="222222"/>
                <w:sz w:val="17"/>
              </w:rPr>
              <w:t>315 (68.8)</w:t>
            </w:r>
          </w:p>
        </w:tc>
        <w:tc>
          <w:tcPr>
            <w:tcW w:w="1650" w:type="dxa"/>
            <w:tcMar>
              <w:top w:w="80" w:type="dxa"/>
              <w:left w:w="120" w:type="dxa"/>
              <w:bottom w:w="80" w:type="dxa"/>
              <w:right w:w="120" w:type="dxa"/>
            </w:tcMar>
            <w:vAlign w:val="center"/>
          </w:tcPr>
          <w:p w14:paraId="26D875E8">
            <w:pPr>
              <w:spacing w:before="0" w:after="0" w:line="252" w:lineRule="auto"/>
              <w:jc w:val="left"/>
            </w:pPr>
            <w:r>
              <w:rPr>
                <w:rFonts w:ascii="Calibri" w:hAnsi="Calibri"/>
                <w:b w:val="0"/>
                <w:i w:val="0"/>
                <w:color w:val="222222"/>
                <w:sz w:val="17"/>
              </w:rPr>
              <w:t>183 (40.0)</w:t>
            </w:r>
          </w:p>
        </w:tc>
        <w:tc>
          <w:tcPr>
            <w:tcW w:w="1710" w:type="dxa"/>
            <w:tcMar>
              <w:top w:w="80" w:type="dxa"/>
              <w:left w:w="120" w:type="dxa"/>
              <w:bottom w:w="80" w:type="dxa"/>
              <w:right w:w="120" w:type="dxa"/>
            </w:tcMar>
            <w:vAlign w:val="center"/>
          </w:tcPr>
          <w:p w14:paraId="2862857B">
            <w:pPr>
              <w:spacing w:before="0" w:after="0" w:line="252" w:lineRule="auto"/>
              <w:jc w:val="left"/>
            </w:pPr>
            <w:r>
              <w:rPr>
                <w:rFonts w:ascii="Calibri" w:hAnsi="Calibri"/>
                <w:b w:val="0"/>
                <w:i w:val="0"/>
                <w:color w:val="222222"/>
                <w:sz w:val="17"/>
              </w:rPr>
              <w:t>80 (17.5)</w:t>
            </w:r>
          </w:p>
        </w:tc>
      </w:tr>
      <w:tr w14:paraId="22A6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0" w:type="dxa"/>
            <w:tcMar>
              <w:top w:w="80" w:type="dxa"/>
              <w:left w:w="120" w:type="dxa"/>
              <w:bottom w:w="80" w:type="dxa"/>
              <w:right w:w="120" w:type="dxa"/>
            </w:tcMar>
            <w:vAlign w:val="center"/>
          </w:tcPr>
          <w:p w14:paraId="2C5131C5">
            <w:pPr>
              <w:spacing w:before="0" w:after="0" w:line="252" w:lineRule="auto"/>
              <w:jc w:val="left"/>
            </w:pPr>
            <w:r>
              <w:rPr>
                <w:rFonts w:ascii="Calibri" w:hAnsi="Calibri"/>
                <w:b w:val="0"/>
                <w:i w:val="0"/>
                <w:color w:val="222222"/>
                <w:sz w:val="17"/>
              </w:rPr>
              <w:t>Primary locked sample</w:t>
            </w:r>
          </w:p>
        </w:tc>
        <w:tc>
          <w:tcPr>
            <w:tcW w:w="650" w:type="dxa"/>
            <w:tcMar>
              <w:top w:w="80" w:type="dxa"/>
              <w:left w:w="120" w:type="dxa"/>
              <w:bottom w:w="80" w:type="dxa"/>
              <w:right w:w="120" w:type="dxa"/>
            </w:tcMar>
            <w:vAlign w:val="center"/>
          </w:tcPr>
          <w:p w14:paraId="0183C03F">
            <w:pPr>
              <w:spacing w:before="0" w:after="0" w:line="252" w:lineRule="auto"/>
              <w:jc w:val="left"/>
            </w:pPr>
            <w:r>
              <w:rPr>
                <w:rFonts w:ascii="Calibri" w:hAnsi="Calibri"/>
                <w:b w:val="0"/>
                <w:i w:val="0"/>
                <w:color w:val="222222"/>
                <w:sz w:val="17"/>
              </w:rPr>
              <w:t>444</w:t>
            </w:r>
          </w:p>
        </w:tc>
        <w:tc>
          <w:tcPr>
            <w:tcW w:w="1850" w:type="dxa"/>
            <w:tcMar>
              <w:top w:w="80" w:type="dxa"/>
              <w:left w:w="120" w:type="dxa"/>
              <w:bottom w:w="80" w:type="dxa"/>
              <w:right w:w="120" w:type="dxa"/>
            </w:tcMar>
            <w:vAlign w:val="center"/>
          </w:tcPr>
          <w:p w14:paraId="6A6D93E4">
            <w:pPr>
              <w:spacing w:before="0" w:after="0" w:line="252" w:lineRule="auto"/>
              <w:jc w:val="left"/>
            </w:pPr>
            <w:r>
              <w:rPr>
                <w:rFonts w:ascii="Calibri" w:hAnsi="Calibri"/>
                <w:b w:val="0"/>
                <w:i w:val="0"/>
                <w:color w:val="222222"/>
                <w:sz w:val="17"/>
              </w:rPr>
              <w:t>11.40 (3.41)</w:t>
            </w:r>
          </w:p>
        </w:tc>
        <w:tc>
          <w:tcPr>
            <w:tcW w:w="1650" w:type="dxa"/>
            <w:tcMar>
              <w:top w:w="80" w:type="dxa"/>
              <w:left w:w="120" w:type="dxa"/>
              <w:bottom w:w="80" w:type="dxa"/>
              <w:right w:w="120" w:type="dxa"/>
            </w:tcMar>
            <w:vAlign w:val="center"/>
          </w:tcPr>
          <w:p w14:paraId="5B8056F6">
            <w:pPr>
              <w:spacing w:before="0" w:after="0" w:line="252" w:lineRule="auto"/>
              <w:jc w:val="left"/>
            </w:pPr>
            <w:r>
              <w:rPr>
                <w:rFonts w:ascii="Calibri" w:hAnsi="Calibri"/>
                <w:b w:val="0"/>
                <w:i w:val="0"/>
                <w:color w:val="222222"/>
                <w:sz w:val="17"/>
              </w:rPr>
              <w:t>306 (68.9)</w:t>
            </w:r>
          </w:p>
        </w:tc>
        <w:tc>
          <w:tcPr>
            <w:tcW w:w="1650" w:type="dxa"/>
            <w:tcMar>
              <w:top w:w="80" w:type="dxa"/>
              <w:left w:w="120" w:type="dxa"/>
              <w:bottom w:w="80" w:type="dxa"/>
              <w:right w:w="120" w:type="dxa"/>
            </w:tcMar>
            <w:vAlign w:val="center"/>
          </w:tcPr>
          <w:p w14:paraId="1F45137D">
            <w:pPr>
              <w:spacing w:before="0" w:after="0" w:line="252" w:lineRule="auto"/>
              <w:jc w:val="left"/>
            </w:pPr>
            <w:r>
              <w:rPr>
                <w:rFonts w:ascii="Calibri" w:hAnsi="Calibri"/>
                <w:b w:val="0"/>
                <w:i w:val="0"/>
                <w:color w:val="222222"/>
                <w:sz w:val="17"/>
              </w:rPr>
              <w:t>172 (38.7)</w:t>
            </w:r>
          </w:p>
        </w:tc>
        <w:tc>
          <w:tcPr>
            <w:tcW w:w="1710" w:type="dxa"/>
            <w:tcMar>
              <w:top w:w="80" w:type="dxa"/>
              <w:left w:w="120" w:type="dxa"/>
              <w:bottom w:w="80" w:type="dxa"/>
              <w:right w:w="120" w:type="dxa"/>
            </w:tcMar>
            <w:vAlign w:val="center"/>
          </w:tcPr>
          <w:p w14:paraId="51E6CCEC">
            <w:pPr>
              <w:spacing w:before="0" w:after="0" w:line="252" w:lineRule="auto"/>
              <w:jc w:val="left"/>
            </w:pPr>
            <w:r>
              <w:rPr>
                <w:rFonts w:ascii="Calibri" w:hAnsi="Calibri"/>
                <w:b w:val="0"/>
                <w:i w:val="0"/>
                <w:color w:val="222222"/>
                <w:sz w:val="17"/>
              </w:rPr>
              <w:t>80 (18.0)</w:t>
            </w:r>
          </w:p>
        </w:tc>
      </w:tr>
    </w:tbl>
    <w:p w14:paraId="170C1519">
      <w:r>
        <w:rPr>
          <w:rFonts w:ascii="Calibri" w:hAnsi="Calibri"/>
          <w:b w:val="0"/>
          <w:i/>
          <w:color w:val="666666"/>
          <w:sz w:val="18"/>
        </w:rPr>
        <w:t>The exclusion of four &lt;3-minute and ten &gt;1-hour submissions produced minimal changes in the mean knowledge score and class-level prescribing proportions.</w:t>
      </w:r>
    </w:p>
    <w:p w14:paraId="00A684B8">
      <w:pPr>
        <w:pStyle w:val="4"/>
      </w:pPr>
      <w:r>
        <w:t>Panel B. Multiple-response scoring sensitivity in the locked sample</w:t>
      </w:r>
    </w:p>
    <w:tbl>
      <w:tblPr>
        <w:tblStyle w:val="33"/>
        <w:tblW w:w="936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2450"/>
        <w:gridCol w:w="2250"/>
        <w:gridCol w:w="2250"/>
        <w:gridCol w:w="1110"/>
      </w:tblGrid>
      <w:tr w14:paraId="03C5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00" w:type="dxa"/>
            <w:shd w:val="clear" w:color="auto" w:fill="E8EEF5"/>
            <w:tcMar>
              <w:top w:w="80" w:type="dxa"/>
              <w:left w:w="120" w:type="dxa"/>
              <w:bottom w:w="80" w:type="dxa"/>
              <w:right w:w="120" w:type="dxa"/>
            </w:tcMar>
            <w:vAlign w:val="center"/>
          </w:tcPr>
          <w:p w14:paraId="57B2B241">
            <w:pPr>
              <w:spacing w:before="0" w:after="0" w:line="252" w:lineRule="auto"/>
              <w:jc w:val="center"/>
            </w:pPr>
            <w:r>
              <w:rPr>
                <w:rFonts w:ascii="Calibri" w:hAnsi="Calibri"/>
                <w:b/>
                <w:i w:val="0"/>
                <w:color w:val="222222"/>
                <w:sz w:val="17"/>
              </w:rPr>
              <w:t>Measure/item</w:t>
            </w:r>
          </w:p>
        </w:tc>
        <w:tc>
          <w:tcPr>
            <w:tcW w:w="2450" w:type="dxa"/>
            <w:shd w:val="clear" w:color="auto" w:fill="E8EEF5"/>
            <w:tcMar>
              <w:top w:w="80" w:type="dxa"/>
              <w:left w:w="120" w:type="dxa"/>
              <w:bottom w:w="80" w:type="dxa"/>
              <w:right w:w="120" w:type="dxa"/>
            </w:tcMar>
            <w:vAlign w:val="center"/>
          </w:tcPr>
          <w:p w14:paraId="0FC119F2">
            <w:pPr>
              <w:spacing w:before="0" w:after="0" w:line="252" w:lineRule="auto"/>
              <w:jc w:val="center"/>
            </w:pPr>
            <w:r>
              <w:rPr>
                <w:rFonts w:ascii="Calibri" w:hAnsi="Calibri"/>
                <w:b/>
                <w:i w:val="0"/>
                <w:color w:val="222222"/>
                <w:sz w:val="17"/>
              </w:rPr>
              <w:t>Content</w:t>
            </w:r>
          </w:p>
        </w:tc>
        <w:tc>
          <w:tcPr>
            <w:tcW w:w="2250" w:type="dxa"/>
            <w:shd w:val="clear" w:color="auto" w:fill="E8EEF5"/>
            <w:tcMar>
              <w:top w:w="80" w:type="dxa"/>
              <w:left w:w="120" w:type="dxa"/>
              <w:bottom w:w="80" w:type="dxa"/>
              <w:right w:w="120" w:type="dxa"/>
            </w:tcMar>
            <w:vAlign w:val="center"/>
          </w:tcPr>
          <w:p w14:paraId="7859425F">
            <w:pPr>
              <w:spacing w:before="0" w:after="0" w:line="252" w:lineRule="auto"/>
              <w:jc w:val="center"/>
            </w:pPr>
            <w:r>
              <w:rPr>
                <w:rFonts w:ascii="Calibri" w:hAnsi="Calibri"/>
                <w:b/>
                <w:i w:val="0"/>
                <w:color w:val="222222"/>
                <w:sz w:val="17"/>
              </w:rPr>
              <w:t>Strict scoring n (%) or mean (SD)</w:t>
            </w:r>
          </w:p>
        </w:tc>
        <w:tc>
          <w:tcPr>
            <w:tcW w:w="2250" w:type="dxa"/>
            <w:shd w:val="clear" w:color="auto" w:fill="E8EEF5"/>
            <w:tcMar>
              <w:top w:w="80" w:type="dxa"/>
              <w:left w:w="120" w:type="dxa"/>
              <w:bottom w:w="80" w:type="dxa"/>
              <w:right w:w="120" w:type="dxa"/>
            </w:tcMar>
            <w:vAlign w:val="center"/>
          </w:tcPr>
          <w:p w14:paraId="7ED9867F">
            <w:pPr>
              <w:spacing w:before="0" w:after="0" w:line="252" w:lineRule="auto"/>
              <w:jc w:val="center"/>
            </w:pPr>
            <w:r>
              <w:rPr>
                <w:rFonts w:ascii="Calibri" w:hAnsi="Calibri"/>
                <w:b/>
                <w:i w:val="0"/>
                <w:color w:val="222222"/>
                <w:sz w:val="17"/>
              </w:rPr>
              <w:t>Lenient scoring n (%) or mean (SD)</w:t>
            </w:r>
          </w:p>
        </w:tc>
        <w:tc>
          <w:tcPr>
            <w:tcW w:w="1110" w:type="dxa"/>
            <w:shd w:val="clear" w:color="auto" w:fill="E8EEF5"/>
            <w:tcMar>
              <w:top w:w="80" w:type="dxa"/>
              <w:left w:w="120" w:type="dxa"/>
              <w:bottom w:w="80" w:type="dxa"/>
              <w:right w:w="120" w:type="dxa"/>
            </w:tcMar>
            <w:vAlign w:val="center"/>
          </w:tcPr>
          <w:p w14:paraId="1957A5EB">
            <w:pPr>
              <w:spacing w:before="0" w:after="0" w:line="252" w:lineRule="auto"/>
              <w:jc w:val="center"/>
            </w:pPr>
            <w:r>
              <w:rPr>
                <w:rFonts w:ascii="Calibri" w:hAnsi="Calibri"/>
                <w:b/>
                <w:i w:val="0"/>
                <w:color w:val="222222"/>
                <w:sz w:val="17"/>
              </w:rPr>
              <w:t>Difference</w:t>
            </w:r>
          </w:p>
        </w:tc>
      </w:tr>
      <w:tr w14:paraId="31BA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1E23014D">
            <w:pPr>
              <w:spacing w:before="0" w:after="0" w:line="252" w:lineRule="auto"/>
              <w:jc w:val="left"/>
            </w:pPr>
            <w:r>
              <w:rPr>
                <w:rFonts w:ascii="Calibri" w:hAnsi="Calibri"/>
                <w:b w:val="0"/>
                <w:i w:val="0"/>
                <w:color w:val="222222"/>
                <w:sz w:val="17"/>
              </w:rPr>
              <w:t>Overall total score</w:t>
            </w:r>
          </w:p>
        </w:tc>
        <w:tc>
          <w:tcPr>
            <w:tcW w:w="2450" w:type="dxa"/>
            <w:tcMar>
              <w:top w:w="80" w:type="dxa"/>
              <w:left w:w="120" w:type="dxa"/>
              <w:bottom w:w="80" w:type="dxa"/>
              <w:right w:w="120" w:type="dxa"/>
            </w:tcMar>
            <w:vAlign w:val="center"/>
          </w:tcPr>
          <w:p w14:paraId="448EEE87">
            <w:pPr>
              <w:spacing w:before="0" w:after="0" w:line="252" w:lineRule="auto"/>
              <w:jc w:val="left"/>
            </w:pPr>
            <w:r>
              <w:rPr>
                <w:rFonts w:ascii="Calibri" w:hAnsi="Calibri"/>
                <w:b w:val="0"/>
                <w:i w:val="0"/>
                <w:color w:val="222222"/>
                <w:sz w:val="17"/>
              </w:rPr>
              <w:t>All 20 items</w:t>
            </w:r>
          </w:p>
        </w:tc>
        <w:tc>
          <w:tcPr>
            <w:tcW w:w="2250" w:type="dxa"/>
            <w:tcMar>
              <w:top w:w="80" w:type="dxa"/>
              <w:left w:w="120" w:type="dxa"/>
              <w:bottom w:w="80" w:type="dxa"/>
              <w:right w:w="120" w:type="dxa"/>
            </w:tcMar>
            <w:vAlign w:val="center"/>
          </w:tcPr>
          <w:p w14:paraId="7F917151">
            <w:pPr>
              <w:spacing w:before="0" w:after="0" w:line="252" w:lineRule="auto"/>
              <w:jc w:val="left"/>
            </w:pPr>
            <w:r>
              <w:rPr>
                <w:rFonts w:ascii="Calibri" w:hAnsi="Calibri"/>
                <w:b w:val="0"/>
                <w:i w:val="0"/>
                <w:color w:val="222222"/>
                <w:sz w:val="17"/>
              </w:rPr>
              <w:t>11.40 (3.41)</w:t>
            </w:r>
          </w:p>
        </w:tc>
        <w:tc>
          <w:tcPr>
            <w:tcW w:w="2250" w:type="dxa"/>
            <w:tcMar>
              <w:top w:w="80" w:type="dxa"/>
              <w:left w:w="120" w:type="dxa"/>
              <w:bottom w:w="80" w:type="dxa"/>
              <w:right w:w="120" w:type="dxa"/>
            </w:tcMar>
            <w:vAlign w:val="center"/>
          </w:tcPr>
          <w:p w14:paraId="5510335F">
            <w:pPr>
              <w:spacing w:before="0" w:after="0" w:line="252" w:lineRule="auto"/>
              <w:jc w:val="left"/>
            </w:pPr>
            <w:r>
              <w:rPr>
                <w:rFonts w:ascii="Calibri" w:hAnsi="Calibri"/>
                <w:b w:val="0"/>
                <w:i w:val="0"/>
                <w:color w:val="222222"/>
                <w:sz w:val="17"/>
              </w:rPr>
              <w:t>13.15 (3.06)</w:t>
            </w:r>
          </w:p>
        </w:tc>
        <w:tc>
          <w:tcPr>
            <w:tcW w:w="1110" w:type="dxa"/>
            <w:tcMar>
              <w:top w:w="80" w:type="dxa"/>
              <w:left w:w="120" w:type="dxa"/>
              <w:bottom w:w="80" w:type="dxa"/>
              <w:right w:w="120" w:type="dxa"/>
            </w:tcMar>
            <w:vAlign w:val="center"/>
          </w:tcPr>
          <w:p w14:paraId="377CD4CD">
            <w:pPr>
              <w:spacing w:before="0" w:after="0" w:line="252" w:lineRule="auto"/>
              <w:jc w:val="left"/>
            </w:pPr>
            <w:r>
              <w:rPr>
                <w:rFonts w:ascii="Calibri" w:hAnsi="Calibri"/>
                <w:b w:val="0"/>
                <w:i w:val="0"/>
                <w:color w:val="222222"/>
                <w:sz w:val="17"/>
              </w:rPr>
              <w:t>+1.75 points</w:t>
            </w:r>
          </w:p>
        </w:tc>
      </w:tr>
      <w:tr w14:paraId="3CC8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0DA5E296">
            <w:pPr>
              <w:spacing w:before="0" w:after="0" w:line="252" w:lineRule="auto"/>
              <w:jc w:val="left"/>
            </w:pPr>
            <w:r>
              <w:rPr>
                <w:rFonts w:ascii="Calibri" w:hAnsi="Calibri"/>
                <w:b w:val="0"/>
                <w:i w:val="0"/>
                <w:color w:val="222222"/>
                <w:sz w:val="17"/>
              </w:rPr>
              <w:t>Item 1</w:t>
            </w:r>
          </w:p>
        </w:tc>
        <w:tc>
          <w:tcPr>
            <w:tcW w:w="2450" w:type="dxa"/>
            <w:tcMar>
              <w:top w:w="80" w:type="dxa"/>
              <w:left w:w="120" w:type="dxa"/>
              <w:bottom w:w="80" w:type="dxa"/>
              <w:right w:w="120" w:type="dxa"/>
            </w:tcMar>
            <w:vAlign w:val="center"/>
          </w:tcPr>
          <w:p w14:paraId="6731F721">
            <w:pPr>
              <w:spacing w:before="0" w:after="0" w:line="252" w:lineRule="auto"/>
              <w:jc w:val="left"/>
            </w:pPr>
            <w:r>
              <w:rPr>
                <w:rFonts w:ascii="Calibri" w:hAnsi="Calibri"/>
                <w:b w:val="0"/>
                <w:i w:val="0"/>
                <w:color w:val="222222"/>
                <w:sz w:val="17"/>
              </w:rPr>
              <w:t>Novel medication classification</w:t>
            </w:r>
          </w:p>
        </w:tc>
        <w:tc>
          <w:tcPr>
            <w:tcW w:w="2250" w:type="dxa"/>
            <w:tcMar>
              <w:top w:w="80" w:type="dxa"/>
              <w:left w:w="120" w:type="dxa"/>
              <w:bottom w:w="80" w:type="dxa"/>
              <w:right w:w="120" w:type="dxa"/>
            </w:tcMar>
            <w:vAlign w:val="center"/>
          </w:tcPr>
          <w:p w14:paraId="6BA981A9">
            <w:pPr>
              <w:spacing w:before="0" w:after="0" w:line="252" w:lineRule="auto"/>
              <w:jc w:val="left"/>
            </w:pPr>
            <w:r>
              <w:rPr>
                <w:rFonts w:ascii="Calibri" w:hAnsi="Calibri"/>
                <w:b w:val="0"/>
                <w:i w:val="0"/>
                <w:color w:val="222222"/>
                <w:sz w:val="17"/>
              </w:rPr>
              <w:t>263 (59.2)</w:t>
            </w:r>
          </w:p>
        </w:tc>
        <w:tc>
          <w:tcPr>
            <w:tcW w:w="2250" w:type="dxa"/>
            <w:tcMar>
              <w:top w:w="80" w:type="dxa"/>
              <w:left w:w="120" w:type="dxa"/>
              <w:bottom w:w="80" w:type="dxa"/>
              <w:right w:w="120" w:type="dxa"/>
            </w:tcMar>
            <w:vAlign w:val="center"/>
          </w:tcPr>
          <w:p w14:paraId="6DB923EC">
            <w:pPr>
              <w:spacing w:before="0" w:after="0" w:line="252" w:lineRule="auto"/>
              <w:jc w:val="left"/>
            </w:pPr>
            <w:r>
              <w:rPr>
                <w:rFonts w:ascii="Calibri" w:hAnsi="Calibri"/>
                <w:b w:val="0"/>
                <w:i w:val="0"/>
                <w:color w:val="222222"/>
                <w:sz w:val="17"/>
              </w:rPr>
              <w:t>270 (60.8)</w:t>
            </w:r>
          </w:p>
        </w:tc>
        <w:tc>
          <w:tcPr>
            <w:tcW w:w="1110" w:type="dxa"/>
            <w:tcMar>
              <w:top w:w="80" w:type="dxa"/>
              <w:left w:w="120" w:type="dxa"/>
              <w:bottom w:w="80" w:type="dxa"/>
              <w:right w:w="120" w:type="dxa"/>
            </w:tcMar>
            <w:vAlign w:val="center"/>
          </w:tcPr>
          <w:p w14:paraId="6608A5A0">
            <w:pPr>
              <w:spacing w:before="0" w:after="0" w:line="252" w:lineRule="auto"/>
              <w:jc w:val="left"/>
            </w:pPr>
            <w:r>
              <w:rPr>
                <w:rFonts w:ascii="Calibri" w:hAnsi="Calibri"/>
                <w:b w:val="0"/>
                <w:i w:val="0"/>
                <w:color w:val="222222"/>
                <w:sz w:val="17"/>
              </w:rPr>
              <w:t>+1.6 pp</w:t>
            </w:r>
          </w:p>
        </w:tc>
      </w:tr>
      <w:tr w14:paraId="5C6A7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71C05AB5">
            <w:pPr>
              <w:spacing w:before="0" w:after="0" w:line="252" w:lineRule="auto"/>
              <w:jc w:val="left"/>
            </w:pPr>
            <w:r>
              <w:rPr>
                <w:rFonts w:ascii="Calibri" w:hAnsi="Calibri"/>
                <w:b w:val="0"/>
                <w:i w:val="0"/>
                <w:color w:val="222222"/>
                <w:sz w:val="17"/>
              </w:rPr>
              <w:t>Item 8</w:t>
            </w:r>
          </w:p>
        </w:tc>
        <w:tc>
          <w:tcPr>
            <w:tcW w:w="2450" w:type="dxa"/>
            <w:tcMar>
              <w:top w:w="80" w:type="dxa"/>
              <w:left w:w="120" w:type="dxa"/>
              <w:bottom w:w="80" w:type="dxa"/>
              <w:right w:w="120" w:type="dxa"/>
            </w:tcMar>
            <w:vAlign w:val="center"/>
          </w:tcPr>
          <w:p w14:paraId="6D04143E">
            <w:pPr>
              <w:spacing w:before="0" w:after="0" w:line="252" w:lineRule="auto"/>
              <w:jc w:val="left"/>
            </w:pPr>
            <w:r>
              <w:rPr>
                <w:rFonts w:ascii="Calibri" w:hAnsi="Calibri"/>
                <w:b w:val="0"/>
                <w:i w:val="0"/>
                <w:color w:val="222222"/>
                <w:sz w:val="17"/>
              </w:rPr>
              <w:t>Recommended agents in ASCVD</w:t>
            </w:r>
          </w:p>
        </w:tc>
        <w:tc>
          <w:tcPr>
            <w:tcW w:w="2250" w:type="dxa"/>
            <w:tcMar>
              <w:top w:w="80" w:type="dxa"/>
              <w:left w:w="120" w:type="dxa"/>
              <w:bottom w:w="80" w:type="dxa"/>
              <w:right w:w="120" w:type="dxa"/>
            </w:tcMar>
            <w:vAlign w:val="center"/>
          </w:tcPr>
          <w:p w14:paraId="1845C152">
            <w:pPr>
              <w:spacing w:before="0" w:after="0" w:line="252" w:lineRule="auto"/>
              <w:jc w:val="left"/>
            </w:pPr>
            <w:r>
              <w:rPr>
                <w:rFonts w:ascii="Calibri" w:hAnsi="Calibri"/>
                <w:b w:val="0"/>
                <w:i w:val="0"/>
                <w:color w:val="222222"/>
                <w:sz w:val="17"/>
              </w:rPr>
              <w:t>167 (37.6)</w:t>
            </w:r>
          </w:p>
        </w:tc>
        <w:tc>
          <w:tcPr>
            <w:tcW w:w="2250" w:type="dxa"/>
            <w:tcMar>
              <w:top w:w="80" w:type="dxa"/>
              <w:left w:w="120" w:type="dxa"/>
              <w:bottom w:w="80" w:type="dxa"/>
              <w:right w:w="120" w:type="dxa"/>
            </w:tcMar>
            <w:vAlign w:val="center"/>
          </w:tcPr>
          <w:p w14:paraId="3AA0EFC7">
            <w:pPr>
              <w:spacing w:before="0" w:after="0" w:line="252" w:lineRule="auto"/>
              <w:jc w:val="left"/>
            </w:pPr>
            <w:r>
              <w:rPr>
                <w:rFonts w:ascii="Calibri" w:hAnsi="Calibri"/>
                <w:b w:val="0"/>
                <w:i w:val="0"/>
                <w:color w:val="222222"/>
                <w:sz w:val="17"/>
              </w:rPr>
              <w:t>267 (60.1)</w:t>
            </w:r>
          </w:p>
        </w:tc>
        <w:tc>
          <w:tcPr>
            <w:tcW w:w="1110" w:type="dxa"/>
            <w:tcMar>
              <w:top w:w="80" w:type="dxa"/>
              <w:left w:w="120" w:type="dxa"/>
              <w:bottom w:w="80" w:type="dxa"/>
              <w:right w:w="120" w:type="dxa"/>
            </w:tcMar>
            <w:vAlign w:val="center"/>
          </w:tcPr>
          <w:p w14:paraId="11B004F7">
            <w:pPr>
              <w:spacing w:before="0" w:after="0" w:line="252" w:lineRule="auto"/>
              <w:jc w:val="left"/>
            </w:pPr>
            <w:r>
              <w:rPr>
                <w:rFonts w:ascii="Calibri" w:hAnsi="Calibri"/>
                <w:b w:val="0"/>
                <w:i w:val="0"/>
                <w:color w:val="222222"/>
                <w:sz w:val="17"/>
              </w:rPr>
              <w:t>+22.5 pp</w:t>
            </w:r>
          </w:p>
        </w:tc>
      </w:tr>
      <w:tr w14:paraId="1EDC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41BD9150">
            <w:pPr>
              <w:spacing w:before="0" w:after="0" w:line="252" w:lineRule="auto"/>
              <w:jc w:val="left"/>
            </w:pPr>
            <w:r>
              <w:rPr>
                <w:rFonts w:ascii="Calibri" w:hAnsi="Calibri"/>
                <w:b w:val="0"/>
                <w:i w:val="0"/>
                <w:color w:val="222222"/>
                <w:sz w:val="17"/>
              </w:rPr>
              <w:t>Item 9</w:t>
            </w:r>
          </w:p>
        </w:tc>
        <w:tc>
          <w:tcPr>
            <w:tcW w:w="2450" w:type="dxa"/>
            <w:tcMar>
              <w:top w:w="80" w:type="dxa"/>
              <w:left w:w="120" w:type="dxa"/>
              <w:bottom w:w="80" w:type="dxa"/>
              <w:right w:w="120" w:type="dxa"/>
            </w:tcMar>
            <w:vAlign w:val="center"/>
          </w:tcPr>
          <w:p w14:paraId="367A967C">
            <w:pPr>
              <w:spacing w:before="0" w:after="0" w:line="252" w:lineRule="auto"/>
              <w:jc w:val="left"/>
            </w:pPr>
            <w:r>
              <w:rPr>
                <w:rFonts w:ascii="Calibri" w:hAnsi="Calibri"/>
                <w:b w:val="0"/>
                <w:i w:val="0"/>
                <w:color w:val="222222"/>
                <w:sz w:val="17"/>
              </w:rPr>
              <w:t>Insulin icodec in special populations</w:t>
            </w:r>
          </w:p>
        </w:tc>
        <w:tc>
          <w:tcPr>
            <w:tcW w:w="2250" w:type="dxa"/>
            <w:tcMar>
              <w:top w:w="80" w:type="dxa"/>
              <w:left w:w="120" w:type="dxa"/>
              <w:bottom w:w="80" w:type="dxa"/>
              <w:right w:w="120" w:type="dxa"/>
            </w:tcMar>
            <w:vAlign w:val="center"/>
          </w:tcPr>
          <w:p w14:paraId="232B7CA6">
            <w:pPr>
              <w:spacing w:before="0" w:after="0" w:line="252" w:lineRule="auto"/>
              <w:jc w:val="left"/>
            </w:pPr>
            <w:r>
              <w:rPr>
                <w:rFonts w:ascii="Calibri" w:hAnsi="Calibri"/>
                <w:b w:val="0"/>
                <w:i w:val="0"/>
                <w:color w:val="222222"/>
                <w:sz w:val="17"/>
              </w:rPr>
              <w:t>16 (3.6)</w:t>
            </w:r>
          </w:p>
        </w:tc>
        <w:tc>
          <w:tcPr>
            <w:tcW w:w="2250" w:type="dxa"/>
            <w:tcMar>
              <w:top w:w="80" w:type="dxa"/>
              <w:left w:w="120" w:type="dxa"/>
              <w:bottom w:w="80" w:type="dxa"/>
              <w:right w:w="120" w:type="dxa"/>
            </w:tcMar>
            <w:vAlign w:val="center"/>
          </w:tcPr>
          <w:p w14:paraId="1837C6BC">
            <w:pPr>
              <w:spacing w:before="0" w:after="0" w:line="252" w:lineRule="auto"/>
              <w:jc w:val="left"/>
            </w:pPr>
            <w:r>
              <w:rPr>
                <w:rFonts w:ascii="Calibri" w:hAnsi="Calibri"/>
                <w:b w:val="0"/>
                <w:i w:val="0"/>
                <w:color w:val="222222"/>
                <w:sz w:val="17"/>
              </w:rPr>
              <w:t>174 (39.2)</w:t>
            </w:r>
          </w:p>
        </w:tc>
        <w:tc>
          <w:tcPr>
            <w:tcW w:w="1110" w:type="dxa"/>
            <w:tcMar>
              <w:top w:w="80" w:type="dxa"/>
              <w:left w:w="120" w:type="dxa"/>
              <w:bottom w:w="80" w:type="dxa"/>
              <w:right w:w="120" w:type="dxa"/>
            </w:tcMar>
            <w:vAlign w:val="center"/>
          </w:tcPr>
          <w:p w14:paraId="46A552D9">
            <w:pPr>
              <w:spacing w:before="0" w:after="0" w:line="252" w:lineRule="auto"/>
              <w:jc w:val="left"/>
            </w:pPr>
            <w:r>
              <w:rPr>
                <w:rFonts w:ascii="Calibri" w:hAnsi="Calibri"/>
                <w:b w:val="0"/>
                <w:i w:val="0"/>
                <w:color w:val="222222"/>
                <w:sz w:val="17"/>
              </w:rPr>
              <w:t>+35.6 pp</w:t>
            </w:r>
          </w:p>
        </w:tc>
      </w:tr>
      <w:tr w14:paraId="6D84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1FCBA413">
            <w:pPr>
              <w:spacing w:before="0" w:after="0" w:line="252" w:lineRule="auto"/>
              <w:jc w:val="left"/>
            </w:pPr>
            <w:r>
              <w:rPr>
                <w:rFonts w:ascii="Calibri" w:hAnsi="Calibri"/>
                <w:b w:val="0"/>
                <w:i w:val="0"/>
                <w:color w:val="222222"/>
                <w:sz w:val="17"/>
              </w:rPr>
              <w:t>Item 10</w:t>
            </w:r>
          </w:p>
        </w:tc>
        <w:tc>
          <w:tcPr>
            <w:tcW w:w="2450" w:type="dxa"/>
            <w:tcMar>
              <w:top w:w="80" w:type="dxa"/>
              <w:left w:w="120" w:type="dxa"/>
              <w:bottom w:w="80" w:type="dxa"/>
              <w:right w:w="120" w:type="dxa"/>
            </w:tcMar>
            <w:vAlign w:val="center"/>
          </w:tcPr>
          <w:p w14:paraId="2ED6C34C">
            <w:pPr>
              <w:spacing w:before="0" w:after="0" w:line="252" w:lineRule="auto"/>
              <w:jc w:val="left"/>
            </w:pPr>
            <w:r>
              <w:rPr>
                <w:rFonts w:ascii="Calibri" w:hAnsi="Calibri"/>
                <w:b w:val="0"/>
                <w:i w:val="0"/>
                <w:color w:val="222222"/>
                <w:sz w:val="17"/>
              </w:rPr>
              <w:t>DPP-4 inhibitors in kidney impairment</w:t>
            </w:r>
          </w:p>
        </w:tc>
        <w:tc>
          <w:tcPr>
            <w:tcW w:w="2250" w:type="dxa"/>
            <w:tcMar>
              <w:top w:w="80" w:type="dxa"/>
              <w:left w:w="120" w:type="dxa"/>
              <w:bottom w:w="80" w:type="dxa"/>
              <w:right w:w="120" w:type="dxa"/>
            </w:tcMar>
            <w:vAlign w:val="center"/>
          </w:tcPr>
          <w:p w14:paraId="0B47C4AD">
            <w:pPr>
              <w:spacing w:before="0" w:after="0" w:line="252" w:lineRule="auto"/>
              <w:jc w:val="left"/>
            </w:pPr>
            <w:r>
              <w:rPr>
                <w:rFonts w:ascii="Calibri" w:hAnsi="Calibri"/>
                <w:b w:val="0"/>
                <w:i w:val="0"/>
                <w:color w:val="222222"/>
                <w:sz w:val="17"/>
              </w:rPr>
              <w:t>66 (14.9)</w:t>
            </w:r>
          </w:p>
        </w:tc>
        <w:tc>
          <w:tcPr>
            <w:tcW w:w="2250" w:type="dxa"/>
            <w:tcMar>
              <w:top w:w="80" w:type="dxa"/>
              <w:left w:w="120" w:type="dxa"/>
              <w:bottom w:w="80" w:type="dxa"/>
              <w:right w:w="120" w:type="dxa"/>
            </w:tcMar>
            <w:vAlign w:val="center"/>
          </w:tcPr>
          <w:p w14:paraId="6DA153EB">
            <w:pPr>
              <w:spacing w:before="0" w:after="0" w:line="252" w:lineRule="auto"/>
              <w:jc w:val="left"/>
            </w:pPr>
            <w:r>
              <w:rPr>
                <w:rFonts w:ascii="Calibri" w:hAnsi="Calibri"/>
                <w:b w:val="0"/>
                <w:i w:val="0"/>
                <w:color w:val="222222"/>
                <w:sz w:val="17"/>
              </w:rPr>
              <w:t>136 (30.6)</w:t>
            </w:r>
          </w:p>
        </w:tc>
        <w:tc>
          <w:tcPr>
            <w:tcW w:w="1110" w:type="dxa"/>
            <w:tcMar>
              <w:top w:w="80" w:type="dxa"/>
              <w:left w:w="120" w:type="dxa"/>
              <w:bottom w:w="80" w:type="dxa"/>
              <w:right w:w="120" w:type="dxa"/>
            </w:tcMar>
            <w:vAlign w:val="center"/>
          </w:tcPr>
          <w:p w14:paraId="55AA1314">
            <w:pPr>
              <w:spacing w:before="0" w:after="0" w:line="252" w:lineRule="auto"/>
              <w:jc w:val="left"/>
            </w:pPr>
            <w:r>
              <w:rPr>
                <w:rFonts w:ascii="Calibri" w:hAnsi="Calibri"/>
                <w:b w:val="0"/>
                <w:i w:val="0"/>
                <w:color w:val="222222"/>
                <w:sz w:val="17"/>
              </w:rPr>
              <w:t>+15.8 pp</w:t>
            </w:r>
          </w:p>
        </w:tc>
      </w:tr>
      <w:tr w14:paraId="47C7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0E425A77">
            <w:pPr>
              <w:spacing w:before="0" w:after="0" w:line="252" w:lineRule="auto"/>
              <w:jc w:val="left"/>
            </w:pPr>
            <w:r>
              <w:rPr>
                <w:rFonts w:ascii="Calibri" w:hAnsi="Calibri"/>
                <w:b w:val="0"/>
                <w:i w:val="0"/>
                <w:color w:val="222222"/>
                <w:sz w:val="17"/>
              </w:rPr>
              <w:t>Item 12</w:t>
            </w:r>
          </w:p>
        </w:tc>
        <w:tc>
          <w:tcPr>
            <w:tcW w:w="2450" w:type="dxa"/>
            <w:tcMar>
              <w:top w:w="80" w:type="dxa"/>
              <w:left w:w="120" w:type="dxa"/>
              <w:bottom w:w="80" w:type="dxa"/>
              <w:right w:w="120" w:type="dxa"/>
            </w:tcMar>
            <w:vAlign w:val="center"/>
          </w:tcPr>
          <w:p w14:paraId="52CBD1D5">
            <w:pPr>
              <w:spacing w:before="0" w:after="0" w:line="252" w:lineRule="auto"/>
              <w:jc w:val="left"/>
            </w:pPr>
            <w:r>
              <w:rPr>
                <w:rFonts w:ascii="Calibri" w:hAnsi="Calibri"/>
                <w:b w:val="0"/>
                <w:i w:val="0"/>
                <w:color w:val="222222"/>
                <w:sz w:val="17"/>
              </w:rPr>
              <w:t>DPP-4 inhibitor contraindications</w:t>
            </w:r>
          </w:p>
        </w:tc>
        <w:tc>
          <w:tcPr>
            <w:tcW w:w="2250" w:type="dxa"/>
            <w:tcMar>
              <w:top w:w="80" w:type="dxa"/>
              <w:left w:w="120" w:type="dxa"/>
              <w:bottom w:w="80" w:type="dxa"/>
              <w:right w:w="120" w:type="dxa"/>
            </w:tcMar>
            <w:vAlign w:val="center"/>
          </w:tcPr>
          <w:p w14:paraId="4FBFF083">
            <w:pPr>
              <w:spacing w:before="0" w:after="0" w:line="252" w:lineRule="auto"/>
              <w:jc w:val="left"/>
            </w:pPr>
            <w:r>
              <w:rPr>
                <w:rFonts w:ascii="Calibri" w:hAnsi="Calibri"/>
                <w:b w:val="0"/>
                <w:i w:val="0"/>
                <w:color w:val="222222"/>
                <w:sz w:val="17"/>
              </w:rPr>
              <w:t>244 (55.0)</w:t>
            </w:r>
          </w:p>
        </w:tc>
        <w:tc>
          <w:tcPr>
            <w:tcW w:w="2250" w:type="dxa"/>
            <w:tcMar>
              <w:top w:w="80" w:type="dxa"/>
              <w:left w:w="120" w:type="dxa"/>
              <w:bottom w:w="80" w:type="dxa"/>
              <w:right w:w="120" w:type="dxa"/>
            </w:tcMar>
            <w:vAlign w:val="center"/>
          </w:tcPr>
          <w:p w14:paraId="123B9A17">
            <w:pPr>
              <w:spacing w:before="0" w:after="0" w:line="252" w:lineRule="auto"/>
              <w:jc w:val="left"/>
            </w:pPr>
            <w:r>
              <w:rPr>
                <w:rFonts w:ascii="Calibri" w:hAnsi="Calibri"/>
                <w:b w:val="0"/>
                <w:i w:val="0"/>
                <w:color w:val="222222"/>
                <w:sz w:val="17"/>
              </w:rPr>
              <w:t>296 (66.7)</w:t>
            </w:r>
          </w:p>
        </w:tc>
        <w:tc>
          <w:tcPr>
            <w:tcW w:w="1110" w:type="dxa"/>
            <w:tcMar>
              <w:top w:w="80" w:type="dxa"/>
              <w:left w:w="120" w:type="dxa"/>
              <w:bottom w:w="80" w:type="dxa"/>
              <w:right w:w="120" w:type="dxa"/>
            </w:tcMar>
            <w:vAlign w:val="center"/>
          </w:tcPr>
          <w:p w14:paraId="4A4F70B6">
            <w:pPr>
              <w:spacing w:before="0" w:after="0" w:line="252" w:lineRule="auto"/>
              <w:jc w:val="left"/>
            </w:pPr>
            <w:r>
              <w:rPr>
                <w:rFonts w:ascii="Calibri" w:hAnsi="Calibri"/>
                <w:b w:val="0"/>
                <w:i w:val="0"/>
                <w:color w:val="222222"/>
                <w:sz w:val="17"/>
              </w:rPr>
              <w:t>+11.7 pp</w:t>
            </w:r>
          </w:p>
        </w:tc>
      </w:tr>
      <w:tr w14:paraId="4203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473E5311">
            <w:pPr>
              <w:spacing w:before="0" w:after="0" w:line="252" w:lineRule="auto"/>
              <w:jc w:val="left"/>
            </w:pPr>
            <w:r>
              <w:rPr>
                <w:rFonts w:ascii="Calibri" w:hAnsi="Calibri"/>
                <w:b w:val="0"/>
                <w:i w:val="0"/>
                <w:color w:val="222222"/>
                <w:sz w:val="17"/>
              </w:rPr>
              <w:t>Item 13</w:t>
            </w:r>
          </w:p>
        </w:tc>
        <w:tc>
          <w:tcPr>
            <w:tcW w:w="2450" w:type="dxa"/>
            <w:tcMar>
              <w:top w:w="80" w:type="dxa"/>
              <w:left w:w="120" w:type="dxa"/>
              <w:bottom w:w="80" w:type="dxa"/>
              <w:right w:w="120" w:type="dxa"/>
            </w:tcMar>
            <w:vAlign w:val="center"/>
          </w:tcPr>
          <w:p w14:paraId="44F42A44">
            <w:pPr>
              <w:spacing w:before="0" w:after="0" w:line="252" w:lineRule="auto"/>
              <w:jc w:val="left"/>
            </w:pPr>
            <w:r>
              <w:rPr>
                <w:rFonts w:ascii="Calibri" w:hAnsi="Calibri"/>
                <w:b w:val="0"/>
                <w:i w:val="0"/>
                <w:color w:val="222222"/>
                <w:sz w:val="17"/>
              </w:rPr>
              <w:t>GLP-1RA adverse effects</w:t>
            </w:r>
          </w:p>
        </w:tc>
        <w:tc>
          <w:tcPr>
            <w:tcW w:w="2250" w:type="dxa"/>
            <w:tcMar>
              <w:top w:w="80" w:type="dxa"/>
              <w:left w:w="120" w:type="dxa"/>
              <w:bottom w:w="80" w:type="dxa"/>
              <w:right w:w="120" w:type="dxa"/>
            </w:tcMar>
            <w:vAlign w:val="center"/>
          </w:tcPr>
          <w:p w14:paraId="418D3ED3">
            <w:pPr>
              <w:spacing w:before="0" w:after="0" w:line="252" w:lineRule="auto"/>
              <w:jc w:val="left"/>
            </w:pPr>
            <w:r>
              <w:rPr>
                <w:rFonts w:ascii="Calibri" w:hAnsi="Calibri"/>
                <w:b w:val="0"/>
                <w:i w:val="0"/>
                <w:color w:val="222222"/>
                <w:sz w:val="17"/>
              </w:rPr>
              <w:t>94 (21.2)</w:t>
            </w:r>
          </w:p>
        </w:tc>
        <w:tc>
          <w:tcPr>
            <w:tcW w:w="2250" w:type="dxa"/>
            <w:tcMar>
              <w:top w:w="80" w:type="dxa"/>
              <w:left w:w="120" w:type="dxa"/>
              <w:bottom w:w="80" w:type="dxa"/>
              <w:right w:w="120" w:type="dxa"/>
            </w:tcMar>
            <w:vAlign w:val="center"/>
          </w:tcPr>
          <w:p w14:paraId="7D82798B">
            <w:pPr>
              <w:spacing w:before="0" w:after="0" w:line="252" w:lineRule="auto"/>
              <w:jc w:val="left"/>
            </w:pPr>
            <w:r>
              <w:rPr>
                <w:rFonts w:ascii="Calibri" w:hAnsi="Calibri"/>
                <w:b w:val="0"/>
                <w:i w:val="0"/>
                <w:color w:val="222222"/>
                <w:sz w:val="17"/>
              </w:rPr>
              <w:t>276 (62.2)</w:t>
            </w:r>
          </w:p>
        </w:tc>
        <w:tc>
          <w:tcPr>
            <w:tcW w:w="1110" w:type="dxa"/>
            <w:tcMar>
              <w:top w:w="80" w:type="dxa"/>
              <w:left w:w="120" w:type="dxa"/>
              <w:bottom w:w="80" w:type="dxa"/>
              <w:right w:w="120" w:type="dxa"/>
            </w:tcMar>
            <w:vAlign w:val="center"/>
          </w:tcPr>
          <w:p w14:paraId="4B73F7B5">
            <w:pPr>
              <w:spacing w:before="0" w:after="0" w:line="252" w:lineRule="auto"/>
              <w:jc w:val="left"/>
            </w:pPr>
            <w:r>
              <w:rPr>
                <w:rFonts w:ascii="Calibri" w:hAnsi="Calibri"/>
                <w:b w:val="0"/>
                <w:i w:val="0"/>
                <w:color w:val="222222"/>
                <w:sz w:val="17"/>
              </w:rPr>
              <w:t>+41.0 pp</w:t>
            </w:r>
          </w:p>
        </w:tc>
      </w:tr>
      <w:tr w14:paraId="6933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3B078518">
            <w:pPr>
              <w:spacing w:before="0" w:after="0" w:line="252" w:lineRule="auto"/>
              <w:jc w:val="left"/>
            </w:pPr>
            <w:r>
              <w:rPr>
                <w:rFonts w:ascii="Calibri" w:hAnsi="Calibri"/>
                <w:b w:val="0"/>
                <w:i w:val="0"/>
                <w:color w:val="222222"/>
                <w:sz w:val="17"/>
              </w:rPr>
              <w:t>Item 14</w:t>
            </w:r>
          </w:p>
        </w:tc>
        <w:tc>
          <w:tcPr>
            <w:tcW w:w="2450" w:type="dxa"/>
            <w:tcMar>
              <w:top w:w="80" w:type="dxa"/>
              <w:left w:w="120" w:type="dxa"/>
              <w:bottom w:w="80" w:type="dxa"/>
              <w:right w:w="120" w:type="dxa"/>
            </w:tcMar>
            <w:vAlign w:val="center"/>
          </w:tcPr>
          <w:p w14:paraId="026A9DDB">
            <w:pPr>
              <w:spacing w:before="0" w:after="0" w:line="252" w:lineRule="auto"/>
              <w:jc w:val="left"/>
            </w:pPr>
            <w:r>
              <w:rPr>
                <w:rFonts w:ascii="Calibri" w:hAnsi="Calibri"/>
                <w:b w:val="0"/>
                <w:i w:val="0"/>
                <w:color w:val="222222"/>
                <w:sz w:val="17"/>
              </w:rPr>
              <w:t>GLP-1RAs in severe kidney impairment</w:t>
            </w:r>
          </w:p>
        </w:tc>
        <w:tc>
          <w:tcPr>
            <w:tcW w:w="2250" w:type="dxa"/>
            <w:tcMar>
              <w:top w:w="80" w:type="dxa"/>
              <w:left w:w="120" w:type="dxa"/>
              <w:bottom w:w="80" w:type="dxa"/>
              <w:right w:w="120" w:type="dxa"/>
            </w:tcMar>
            <w:vAlign w:val="center"/>
          </w:tcPr>
          <w:p w14:paraId="03A2955B">
            <w:pPr>
              <w:spacing w:before="0" w:after="0" w:line="252" w:lineRule="auto"/>
              <w:jc w:val="left"/>
            </w:pPr>
            <w:r>
              <w:rPr>
                <w:rFonts w:ascii="Calibri" w:hAnsi="Calibri"/>
                <w:b w:val="0"/>
                <w:i w:val="0"/>
                <w:color w:val="222222"/>
                <w:sz w:val="17"/>
              </w:rPr>
              <w:t>61 (13.7)</w:t>
            </w:r>
          </w:p>
        </w:tc>
        <w:tc>
          <w:tcPr>
            <w:tcW w:w="2250" w:type="dxa"/>
            <w:tcMar>
              <w:top w:w="80" w:type="dxa"/>
              <w:left w:w="120" w:type="dxa"/>
              <w:bottom w:w="80" w:type="dxa"/>
              <w:right w:w="120" w:type="dxa"/>
            </w:tcMar>
            <w:vAlign w:val="center"/>
          </w:tcPr>
          <w:p w14:paraId="676C1F5A">
            <w:pPr>
              <w:spacing w:before="0" w:after="0" w:line="252" w:lineRule="auto"/>
              <w:jc w:val="left"/>
            </w:pPr>
            <w:r>
              <w:rPr>
                <w:rFonts w:ascii="Calibri" w:hAnsi="Calibri"/>
                <w:b w:val="0"/>
                <w:i w:val="0"/>
                <w:color w:val="222222"/>
                <w:sz w:val="17"/>
              </w:rPr>
              <w:t>135 (30.4)</w:t>
            </w:r>
          </w:p>
        </w:tc>
        <w:tc>
          <w:tcPr>
            <w:tcW w:w="1110" w:type="dxa"/>
            <w:tcMar>
              <w:top w:w="80" w:type="dxa"/>
              <w:left w:w="120" w:type="dxa"/>
              <w:bottom w:w="80" w:type="dxa"/>
              <w:right w:w="120" w:type="dxa"/>
            </w:tcMar>
            <w:vAlign w:val="center"/>
          </w:tcPr>
          <w:p w14:paraId="3BE1058A">
            <w:pPr>
              <w:spacing w:before="0" w:after="0" w:line="252" w:lineRule="auto"/>
              <w:jc w:val="left"/>
            </w:pPr>
            <w:r>
              <w:rPr>
                <w:rFonts w:ascii="Calibri" w:hAnsi="Calibri"/>
                <w:b w:val="0"/>
                <w:i w:val="0"/>
                <w:color w:val="222222"/>
                <w:sz w:val="17"/>
              </w:rPr>
              <w:t>+16.7 pp</w:t>
            </w:r>
          </w:p>
        </w:tc>
      </w:tr>
      <w:tr w14:paraId="5859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1E1637C1">
            <w:pPr>
              <w:spacing w:before="0" w:after="0" w:line="252" w:lineRule="auto"/>
              <w:jc w:val="left"/>
            </w:pPr>
            <w:r>
              <w:rPr>
                <w:rFonts w:ascii="Calibri" w:hAnsi="Calibri"/>
                <w:b w:val="0"/>
                <w:i w:val="0"/>
                <w:color w:val="222222"/>
                <w:sz w:val="17"/>
              </w:rPr>
              <w:t>Item 16</w:t>
            </w:r>
          </w:p>
        </w:tc>
        <w:tc>
          <w:tcPr>
            <w:tcW w:w="2450" w:type="dxa"/>
            <w:tcMar>
              <w:top w:w="80" w:type="dxa"/>
              <w:left w:w="120" w:type="dxa"/>
              <w:bottom w:w="80" w:type="dxa"/>
              <w:right w:w="120" w:type="dxa"/>
            </w:tcMar>
            <w:vAlign w:val="center"/>
          </w:tcPr>
          <w:p w14:paraId="50B1DC88">
            <w:pPr>
              <w:spacing w:before="0" w:after="0" w:line="252" w:lineRule="auto"/>
              <w:jc w:val="left"/>
            </w:pPr>
            <w:r>
              <w:rPr>
                <w:rFonts w:ascii="Calibri" w:hAnsi="Calibri"/>
                <w:b w:val="0"/>
                <w:i w:val="0"/>
                <w:color w:val="222222"/>
                <w:sz w:val="17"/>
              </w:rPr>
              <w:t>SGLT2 inhibitor contraindications</w:t>
            </w:r>
          </w:p>
        </w:tc>
        <w:tc>
          <w:tcPr>
            <w:tcW w:w="2250" w:type="dxa"/>
            <w:tcMar>
              <w:top w:w="80" w:type="dxa"/>
              <w:left w:w="120" w:type="dxa"/>
              <w:bottom w:w="80" w:type="dxa"/>
              <w:right w:w="120" w:type="dxa"/>
            </w:tcMar>
            <w:vAlign w:val="center"/>
          </w:tcPr>
          <w:p w14:paraId="32E5449F">
            <w:pPr>
              <w:spacing w:before="0" w:after="0" w:line="252" w:lineRule="auto"/>
              <w:jc w:val="left"/>
            </w:pPr>
            <w:r>
              <w:rPr>
                <w:rFonts w:ascii="Calibri" w:hAnsi="Calibri"/>
                <w:b w:val="0"/>
                <w:i w:val="0"/>
                <w:color w:val="222222"/>
                <w:sz w:val="17"/>
              </w:rPr>
              <w:t>228 (51.4)</w:t>
            </w:r>
          </w:p>
        </w:tc>
        <w:tc>
          <w:tcPr>
            <w:tcW w:w="2250" w:type="dxa"/>
            <w:tcMar>
              <w:top w:w="80" w:type="dxa"/>
              <w:left w:w="120" w:type="dxa"/>
              <w:bottom w:w="80" w:type="dxa"/>
              <w:right w:w="120" w:type="dxa"/>
            </w:tcMar>
            <w:vAlign w:val="center"/>
          </w:tcPr>
          <w:p w14:paraId="60505D0F">
            <w:pPr>
              <w:spacing w:before="0" w:after="0" w:line="252" w:lineRule="auto"/>
              <w:jc w:val="left"/>
            </w:pPr>
            <w:r>
              <w:rPr>
                <w:rFonts w:ascii="Calibri" w:hAnsi="Calibri"/>
                <w:b w:val="0"/>
                <w:i w:val="0"/>
                <w:color w:val="222222"/>
                <w:sz w:val="17"/>
              </w:rPr>
              <w:t>228 (51.4)</w:t>
            </w:r>
          </w:p>
        </w:tc>
        <w:tc>
          <w:tcPr>
            <w:tcW w:w="1110" w:type="dxa"/>
            <w:tcMar>
              <w:top w:w="80" w:type="dxa"/>
              <w:left w:w="120" w:type="dxa"/>
              <w:bottom w:w="80" w:type="dxa"/>
              <w:right w:w="120" w:type="dxa"/>
            </w:tcMar>
            <w:vAlign w:val="center"/>
          </w:tcPr>
          <w:p w14:paraId="662775B3">
            <w:pPr>
              <w:spacing w:before="0" w:after="0" w:line="252" w:lineRule="auto"/>
              <w:jc w:val="left"/>
            </w:pPr>
            <w:r>
              <w:rPr>
                <w:rFonts w:ascii="Calibri" w:hAnsi="Calibri"/>
                <w:b w:val="0"/>
                <w:i w:val="0"/>
                <w:color w:val="222222"/>
                <w:sz w:val="17"/>
              </w:rPr>
              <w:t>0.0 pp</w:t>
            </w:r>
          </w:p>
        </w:tc>
      </w:tr>
      <w:tr w14:paraId="4176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0" w:type="dxa"/>
            <w:tcMar>
              <w:top w:w="80" w:type="dxa"/>
              <w:left w:w="120" w:type="dxa"/>
              <w:bottom w:w="80" w:type="dxa"/>
              <w:right w:w="120" w:type="dxa"/>
            </w:tcMar>
            <w:vAlign w:val="center"/>
          </w:tcPr>
          <w:p w14:paraId="4D145AD1">
            <w:pPr>
              <w:spacing w:before="0" w:after="0" w:line="252" w:lineRule="auto"/>
              <w:jc w:val="left"/>
            </w:pPr>
            <w:r>
              <w:rPr>
                <w:rFonts w:ascii="Calibri" w:hAnsi="Calibri"/>
                <w:b w:val="0"/>
                <w:i w:val="0"/>
                <w:color w:val="222222"/>
                <w:sz w:val="17"/>
              </w:rPr>
              <w:t>Item 20</w:t>
            </w:r>
          </w:p>
        </w:tc>
        <w:tc>
          <w:tcPr>
            <w:tcW w:w="2450" w:type="dxa"/>
            <w:tcMar>
              <w:top w:w="80" w:type="dxa"/>
              <w:left w:w="120" w:type="dxa"/>
              <w:bottom w:w="80" w:type="dxa"/>
              <w:right w:w="120" w:type="dxa"/>
            </w:tcMar>
            <w:vAlign w:val="center"/>
          </w:tcPr>
          <w:p w14:paraId="04FC019D">
            <w:pPr>
              <w:spacing w:before="0" w:after="0" w:line="252" w:lineRule="auto"/>
              <w:jc w:val="left"/>
            </w:pPr>
            <w:r>
              <w:rPr>
                <w:rFonts w:ascii="Calibri" w:hAnsi="Calibri"/>
                <w:b w:val="0"/>
                <w:i w:val="0"/>
                <w:color w:val="222222"/>
                <w:sz w:val="17"/>
              </w:rPr>
              <w:t>Clinical vignette</w:t>
            </w:r>
          </w:p>
        </w:tc>
        <w:tc>
          <w:tcPr>
            <w:tcW w:w="2250" w:type="dxa"/>
            <w:tcMar>
              <w:top w:w="80" w:type="dxa"/>
              <w:left w:w="120" w:type="dxa"/>
              <w:bottom w:w="80" w:type="dxa"/>
              <w:right w:w="120" w:type="dxa"/>
            </w:tcMar>
            <w:vAlign w:val="center"/>
          </w:tcPr>
          <w:p w14:paraId="30C83647">
            <w:pPr>
              <w:spacing w:before="0" w:after="0" w:line="252" w:lineRule="auto"/>
              <w:jc w:val="left"/>
            </w:pPr>
            <w:r>
              <w:rPr>
                <w:rFonts w:ascii="Calibri" w:hAnsi="Calibri"/>
                <w:b w:val="0"/>
                <w:i w:val="0"/>
                <w:color w:val="222222"/>
                <w:sz w:val="17"/>
              </w:rPr>
              <w:t>276 (62.2)</w:t>
            </w:r>
          </w:p>
        </w:tc>
        <w:tc>
          <w:tcPr>
            <w:tcW w:w="2250" w:type="dxa"/>
            <w:tcMar>
              <w:top w:w="80" w:type="dxa"/>
              <w:left w:w="120" w:type="dxa"/>
              <w:bottom w:w="80" w:type="dxa"/>
              <w:right w:w="120" w:type="dxa"/>
            </w:tcMar>
            <w:vAlign w:val="center"/>
          </w:tcPr>
          <w:p w14:paraId="2954AD24">
            <w:pPr>
              <w:spacing w:before="0" w:after="0" w:line="252" w:lineRule="auto"/>
              <w:jc w:val="left"/>
            </w:pPr>
            <w:r>
              <w:rPr>
                <w:rFonts w:ascii="Calibri" w:hAnsi="Calibri"/>
                <w:b w:val="0"/>
                <w:i w:val="0"/>
                <w:color w:val="222222"/>
                <w:sz w:val="17"/>
              </w:rPr>
              <w:t>408 (91.9)</w:t>
            </w:r>
          </w:p>
        </w:tc>
        <w:tc>
          <w:tcPr>
            <w:tcW w:w="1110" w:type="dxa"/>
            <w:tcMar>
              <w:top w:w="80" w:type="dxa"/>
              <w:left w:w="120" w:type="dxa"/>
              <w:bottom w:w="80" w:type="dxa"/>
              <w:right w:w="120" w:type="dxa"/>
            </w:tcMar>
            <w:vAlign w:val="center"/>
          </w:tcPr>
          <w:p w14:paraId="6C9E3C08">
            <w:pPr>
              <w:spacing w:before="0" w:after="0" w:line="252" w:lineRule="auto"/>
              <w:jc w:val="left"/>
            </w:pPr>
            <w:r>
              <w:rPr>
                <w:rFonts w:ascii="Calibri" w:hAnsi="Calibri"/>
                <w:b w:val="0"/>
                <w:i w:val="0"/>
                <w:color w:val="222222"/>
                <w:sz w:val="17"/>
              </w:rPr>
              <w:t>+29.7 pp</w:t>
            </w:r>
          </w:p>
        </w:tc>
      </w:tr>
    </w:tbl>
    <w:p w14:paraId="24C7C732">
      <w:r>
        <w:rPr>
          <w:rFonts w:ascii="Calibri" w:hAnsi="Calibri"/>
          <w:b w:val="0"/>
          <w:i/>
          <w:color w:val="666666"/>
          <w:sz w:val="18"/>
        </w:rPr>
        <w:t>Strict scoring required all correct options and no incorrect options. Lenient scoring required all correct options but did not penalize selection of additional incorrect options. Strict scoring was retained as the primary rule because it prevents credit from indiscriminate option selection and gives each item equal maximum weight.</w:t>
      </w:r>
    </w:p>
    <w:tbl>
      <w:tblPr>
        <w:tblStyle w:val="33"/>
        <w:tblW w:w="9360" w:type="dxa"/>
        <w:tblInd w:w="1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0"/>
      </w:tblGrid>
      <w:tr w14:paraId="7729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0" w:type="dxa"/>
            <w:shd w:val="clear" w:color="auto" w:fill="FFF4CE"/>
            <w:tcMar>
              <w:top w:w="80" w:type="dxa"/>
              <w:left w:w="120" w:type="dxa"/>
              <w:bottom w:w="80" w:type="dxa"/>
              <w:right w:w="120" w:type="dxa"/>
            </w:tcMar>
            <w:vAlign w:val="center"/>
          </w:tcPr>
          <w:p w14:paraId="06790B7D">
            <w:pPr>
              <w:spacing w:before="0" w:after="0" w:line="252" w:lineRule="auto"/>
              <w:jc w:val="left"/>
            </w:pPr>
            <w:r>
              <w:rPr>
                <w:rFonts w:ascii="Calibri" w:hAnsi="Calibri"/>
                <w:b w:val="0"/>
                <w:i w:val="0"/>
                <w:color w:val="222222"/>
                <w:sz w:val="18"/>
              </w:rPr>
              <w:t>Pre-submission checks: (1) verify Table S1 against the signed/date-stamped expert answer key; (2) replace the ethics placeholder with the committee's exact wording; (3) independently reproduce the GEE models in IBM SPSS Statistics 26.0; and (4) confirm that institutional labels are the final de-identified labels approved for publication.</w:t>
            </w:r>
          </w:p>
        </w:tc>
      </w:tr>
    </w:tbl>
    <w:p w14:paraId="2A9D7D96">
      <w:pPr>
        <w:spacing w:after="0"/>
      </w:pPr>
    </w:p>
    <w:sectPr>
      <w:footerReference r:id="rId5" w:type="default"/>
      <w:pgSz w:w="12240" w:h="15840"/>
      <w:pgMar w:top="1152" w:right="1440" w:bottom="108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E4452">
    <w:pPr>
      <w:pStyle w:val="24"/>
      <w:jc w:val="right"/>
    </w:pPr>
    <w:r>
      <w:rPr>
        <w:rFonts w:ascii="Calibri" w:hAnsi="Calibri"/>
        <w:b w:val="0"/>
        <w:i w:val="0"/>
        <w:color w:val="666666"/>
        <w:sz w:val="18"/>
      </w:rPr>
      <w:t xml:space="preserve">Page </w:t>
    </w:r>
    <w:r>
      <w:rPr>
        <w:rFonts w:ascii="Calibri" w:hAnsi="Calibri"/>
        <w:b w:val="0"/>
        <w:i w:val="0"/>
        <w:color w:val="666666"/>
        <w:sz w:val="18"/>
      </w:rPr>
      <w:fldChar w:fldCharType="begin"/>
    </w:r>
    <w:r>
      <w:rPr>
        <w:rFonts w:ascii="Calibri" w:hAnsi="Calibri"/>
        <w:b w:val="0"/>
        <w:i w:val="0"/>
        <w:color w:val="666666"/>
        <w:sz w:val="18"/>
      </w:rPr>
      <w:instrText xml:space="preserve"> PAGE </w:instrText>
    </w:r>
    <w:r>
      <w:rPr>
        <w:rFonts w:ascii="Calibri" w:hAnsi="Calibri"/>
        <w:b w:val="0"/>
        <w:i w:val="0"/>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ED346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120" w:line="300" w:lineRule="auto"/>
    </w:pPr>
    <w:rPr>
      <w:rFonts w:ascii="Calibri" w:hAnsi="Calibri" w:eastAsiaTheme="minorEastAsia" w:cstheme="minorBidi"/>
      <w:color w:val="222222"/>
      <w:sz w:val="22"/>
      <w:szCs w:val="22"/>
      <w:lang w:val="en-US" w:eastAsia="en-US" w:bidi="ar-SA"/>
    </w:rPr>
  </w:style>
  <w:style w:type="paragraph" w:styleId="3">
    <w:name w:val="heading 1"/>
    <w:basedOn w:val="1"/>
    <w:next w:val="1"/>
    <w:link w:val="138"/>
    <w:qFormat/>
    <w:uiPriority w:val="9"/>
    <w:pPr>
      <w:keepNext/>
      <w:keepLines/>
      <w:spacing w:before="360" w:after="200"/>
      <w:outlineLvl w:val="0"/>
    </w:pPr>
    <w:rPr>
      <w:rFonts w:asciiTheme="majorHAnsi" w:hAnsiTheme="majorHAnsi" w:eastAsiaTheme="majorEastAsia" w:cstheme="majorBidi"/>
      <w:b/>
      <w:bCs/>
      <w:color w:val="2E74B5"/>
      <w:sz w:val="32"/>
      <w:szCs w:val="28"/>
    </w:rPr>
  </w:style>
  <w:style w:type="paragraph" w:styleId="4">
    <w:name w:val="heading 2"/>
    <w:basedOn w:val="1"/>
    <w:next w:val="1"/>
    <w:link w:val="139"/>
    <w:unhideWhenUsed/>
    <w:qFormat/>
    <w:uiPriority w:val="9"/>
    <w:pPr>
      <w:keepNext/>
      <w:keepLines/>
      <w:spacing w:before="280" w:after="140"/>
      <w:outlineLvl w:val="1"/>
    </w:pPr>
    <w:rPr>
      <w:rFonts w:asciiTheme="majorHAnsi" w:hAnsiTheme="majorHAnsi" w:eastAsiaTheme="majorEastAsia" w:cstheme="majorBidi"/>
      <w:b/>
      <w:bCs/>
      <w:color w:val="2E74B5"/>
      <w:sz w:val="26"/>
      <w:szCs w:val="26"/>
    </w:rPr>
  </w:style>
  <w:style w:type="paragraph" w:styleId="5">
    <w:name w:val="heading 3"/>
    <w:basedOn w:val="1"/>
    <w:next w:val="1"/>
    <w:link w:val="140"/>
    <w:unhideWhenUsed/>
    <w:qFormat/>
    <w:uiPriority w:val="9"/>
    <w:pPr>
      <w:keepNext/>
      <w:keepLines/>
      <w:spacing w:before="200" w:after="100"/>
      <w:outlineLvl w:val="2"/>
    </w:pPr>
    <w:rPr>
      <w:rFonts w:asciiTheme="majorHAnsi" w:hAnsiTheme="majorHAnsi" w:eastAsiaTheme="majorEastAsia" w:cstheme="majorBidi"/>
      <w:b/>
      <w:bCs/>
      <w:color w:val="1F4D78"/>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177</Words>
  <Characters>1148</Characters>
  <Lines>0</Lines>
  <Paragraphs>0</Paragraphs>
  <TotalTime>1</TotalTime>
  <ScaleCrop>false</ScaleCrop>
  <LinksUpToDate>false</LinksUpToDate>
  <CharactersWithSpaces>1306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ruby</cp:lastModifiedBy>
  <dcterms:modified xsi:type="dcterms:W3CDTF">2026-09-01T06:42:10Z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eyJoZGlkIjoiMTI0NTFmZjYzNjM3NzY0ODM3YjEwYzBjN2NmMzEzNWYiLCJ1c2VySWQiOiI1NjAzMzA3MTMifQ==</vt:lpwstr>
  </property>
  <property fmtid="{D5CDD505-2E9C-101B-9397-08002B2CF9AE}" pid="3" name="KSOProductBuildVer">
    <vt:lpwstr>2052-12.1.0.28043</vt:lpwstr>
  </property>
  <property fmtid="{D5CDD505-2E9C-101B-9397-08002B2CF9AE}" pid="4" name="ICV">
    <vt:lpwstr>BA9822323B0A409EA5DE291119F6DC7F_12</vt:lpwstr>
  </property>
</Properties>
</file>