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C9A94" w14:textId="5354CF4B" w:rsidR="00B57E9E" w:rsidRPr="00B41E6F" w:rsidRDefault="00000000" w:rsidP="00B41E6F">
      <w:pPr>
        <w:rPr>
          <w:rFonts w:asciiTheme="majorHAnsi" w:hAnsiTheme="majorHAnsi" w:cstheme="majorHAnsi"/>
          <w:b/>
          <w:bCs/>
          <w:sz w:val="46"/>
          <w:szCs w:val="46"/>
          <w:lang w:val="es-ES"/>
        </w:rPr>
      </w:pPr>
      <w:proofErr w:type="spellStart"/>
      <w:r>
        <w:rPr>
          <w:rFonts w:asciiTheme="majorHAnsi" w:hAnsiTheme="majorHAnsi" w:cstheme="majorHAnsi"/>
          <w:b/>
          <w:bCs/>
          <w:sz w:val="46"/>
          <w:szCs w:val="46"/>
          <w:lang w:val="es-ES"/>
        </w:rPr>
        <w:t>Supplementary</w:t>
      </w:r>
      <w:proofErr w:type="spellEnd"/>
      <w:r>
        <w:rPr>
          <w:rFonts w:asciiTheme="majorHAnsi" w:hAnsiTheme="majorHAnsi" w:cstheme="majorHAnsi"/>
          <w:b/>
          <w:bCs/>
          <w:sz w:val="46"/>
          <w:szCs w:val="46"/>
          <w:lang w:val="es-ES"/>
        </w:rPr>
        <w:t xml:space="preserve"> material</w:t>
      </w:r>
    </w:p>
    <w:p w14:paraId="2381DFFC" w14:textId="77777777" w:rsidR="00B41E6F" w:rsidRPr="00B41E6F" w:rsidRDefault="00B41E6F" w:rsidP="00B41E6F">
      <w:pPr>
        <w:rPr>
          <w:rFonts w:asciiTheme="majorHAnsi" w:hAnsiTheme="majorHAnsi" w:cstheme="majorHAnsi"/>
          <w:lang w:val="es-ES"/>
        </w:rPr>
      </w:pPr>
    </w:p>
    <w:p w14:paraId="1FD2D0E5" w14:textId="77777777" w:rsidR="00B41E6F" w:rsidRPr="00B41E6F" w:rsidRDefault="00B41E6F" w:rsidP="00B41E6F">
      <w:pPr>
        <w:rPr>
          <w:rFonts w:asciiTheme="majorHAnsi" w:hAnsiTheme="majorHAnsi" w:cstheme="majorHAnsi"/>
          <w:lang w:val="es-ES"/>
        </w:rPr>
      </w:pPr>
    </w:p>
    <w:p w14:paraId="4760C4DA" w14:textId="3BD9CD32" w:rsidR="00B41E6F" w:rsidRPr="00B41E6F" w:rsidRDefault="00B41E6F" w:rsidP="00B41E6F">
      <w:pPr>
        <w:rPr>
          <w:rFonts w:asciiTheme="majorHAnsi" w:hAnsiTheme="majorHAnsi" w:cstheme="majorHAnsi"/>
          <w:b/>
          <w:bCs/>
        </w:rPr>
      </w:pPr>
      <w:r>
        <w:rPr>
          <w:rFonts w:asciiTheme="majorHAnsi" w:hAnsiTheme="majorHAnsi" w:cstheme="majorHAnsi"/>
          <w:b/>
          <w:bCs/>
        </w:rPr>
        <w:t>Supplementary Table S1. Comparison between the original HUMAS and the student-adapted HUMAS-E items</w:t>
      </w:r>
    </w:p>
    <w:p w14:paraId="49494ADA" w14:textId="77777777" w:rsidR="00B41E6F" w:rsidRPr="00B41E6F" w:rsidRDefault="00B41E6F" w:rsidP="00B41E6F">
      <w:pPr>
        <w:rPr>
          <w:rFonts w:asciiTheme="majorHAnsi" w:hAnsiTheme="majorHAnsi" w:cstheme="majorHAnsi"/>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4"/>
        <w:gridCol w:w="1585"/>
        <w:gridCol w:w="2484"/>
        <w:gridCol w:w="3117"/>
        <w:gridCol w:w="6239"/>
      </w:tblGrid>
      <w:tr w:rsidR="00B41E6F" w:rsidRPr="00B41E6F" w14:paraId="35DC34A9" w14:textId="77777777" w:rsidTr="00B41E6F">
        <w:trPr>
          <w:trHeight w:val="320"/>
        </w:trPr>
        <w:tc>
          <w:tcPr>
            <w:tcW w:w="604" w:type="dxa"/>
            <w:noWrap/>
            <w:vAlign w:val="bottom"/>
            <w:hideMark/>
          </w:tcPr>
          <w:p w14:paraId="4618FC36" w14:textId="77777777" w:rsidR="00B41E6F" w:rsidRPr="00B41E6F" w:rsidRDefault="00B41E6F" w:rsidP="00B41E6F">
            <w:pPr>
              <w:spacing w:line="240" w:lineRule="auto"/>
              <w:rPr>
                <w:rFonts w:asciiTheme="majorHAnsi" w:eastAsia="Times New Roman" w:hAnsiTheme="majorHAnsi" w:cstheme="majorHAnsi"/>
                <w:b/>
                <w:bCs/>
                <w:color w:val="000000"/>
                <w:sz w:val="21"/>
                <w:szCs w:val="21"/>
                <w:lang w:val="es-ES"/>
              </w:rPr>
            </w:pPr>
            <w:r>
              <w:rPr>
                <w:rFonts w:asciiTheme="majorHAnsi" w:eastAsia="Times New Roman" w:hAnsiTheme="majorHAnsi" w:cstheme="majorHAnsi"/>
                <w:b/>
                <w:bCs/>
                <w:color w:val="000000"/>
                <w:sz w:val="21"/>
                <w:szCs w:val="21"/>
                <w:lang w:val="es-ES"/>
              </w:rPr>
              <w:t>Item</w:t>
            </w:r>
          </w:p>
        </w:tc>
        <w:tc>
          <w:tcPr>
            <w:tcW w:w="1585" w:type="dxa"/>
            <w:noWrap/>
            <w:vAlign w:val="bottom"/>
            <w:hideMark/>
          </w:tcPr>
          <w:p w14:paraId="47908DCA" w14:textId="77777777" w:rsidR="00B41E6F" w:rsidRPr="00B41E6F" w:rsidRDefault="00B41E6F" w:rsidP="00B41E6F">
            <w:pPr>
              <w:spacing w:line="240" w:lineRule="auto"/>
              <w:rPr>
                <w:rFonts w:asciiTheme="majorHAnsi" w:eastAsia="Times New Roman" w:hAnsiTheme="majorHAnsi" w:cstheme="majorHAnsi"/>
                <w:b/>
                <w:bCs/>
                <w:color w:val="000000"/>
                <w:sz w:val="21"/>
                <w:szCs w:val="21"/>
                <w:lang w:val="es-ES"/>
              </w:rPr>
            </w:pPr>
            <w:r>
              <w:rPr>
                <w:rFonts w:asciiTheme="majorHAnsi" w:eastAsia="Times New Roman" w:hAnsiTheme="majorHAnsi" w:cstheme="majorHAnsi"/>
                <w:b/>
                <w:bCs/>
                <w:color w:val="000000"/>
                <w:sz w:val="21"/>
                <w:szCs w:val="21"/>
                <w:lang w:val="es-ES"/>
              </w:rPr>
              <w:t>Dimension</w:t>
            </w:r>
          </w:p>
        </w:tc>
        <w:tc>
          <w:tcPr>
            <w:tcW w:w="2484" w:type="dxa"/>
            <w:noWrap/>
            <w:vAlign w:val="bottom"/>
            <w:hideMark/>
          </w:tcPr>
          <w:p w14:paraId="0F9C66FC" w14:textId="77777777" w:rsidR="00B41E6F" w:rsidRPr="00B41E6F" w:rsidRDefault="00B41E6F" w:rsidP="00B41E6F">
            <w:pPr>
              <w:spacing w:line="240" w:lineRule="auto"/>
              <w:rPr>
                <w:rFonts w:asciiTheme="majorHAnsi" w:eastAsia="Times New Roman" w:hAnsiTheme="majorHAnsi" w:cstheme="majorHAnsi"/>
                <w:b/>
                <w:bCs/>
                <w:color w:val="000000"/>
                <w:sz w:val="21"/>
                <w:szCs w:val="21"/>
                <w:lang w:val="es-ES"/>
              </w:rPr>
            </w:pPr>
            <w:r>
              <w:rPr>
                <w:rFonts w:asciiTheme="majorHAnsi" w:eastAsia="Times New Roman" w:hAnsiTheme="majorHAnsi" w:cstheme="majorHAnsi"/>
                <w:b/>
                <w:bCs/>
                <w:color w:val="000000"/>
                <w:sz w:val="21"/>
                <w:szCs w:val="21"/>
                <w:lang w:val="es-ES"/>
              </w:rPr>
              <w:t>Original HUMAS wording</w:t>
            </w:r>
          </w:p>
        </w:tc>
        <w:tc>
          <w:tcPr>
            <w:tcW w:w="3117" w:type="dxa"/>
            <w:noWrap/>
            <w:vAlign w:val="bottom"/>
            <w:hideMark/>
          </w:tcPr>
          <w:p w14:paraId="7E279AE6" w14:textId="77777777" w:rsidR="00B41E6F" w:rsidRPr="00B41E6F" w:rsidRDefault="00B41E6F" w:rsidP="00B41E6F">
            <w:pPr>
              <w:spacing w:line="240" w:lineRule="auto"/>
              <w:rPr>
                <w:rFonts w:asciiTheme="majorHAnsi" w:eastAsia="Times New Roman" w:hAnsiTheme="majorHAnsi" w:cstheme="majorHAnsi"/>
                <w:b/>
                <w:bCs/>
                <w:color w:val="000000"/>
                <w:sz w:val="21"/>
                <w:szCs w:val="21"/>
                <w:lang w:val="es-ES"/>
              </w:rPr>
            </w:pPr>
            <w:r>
              <w:rPr>
                <w:rFonts w:asciiTheme="majorHAnsi" w:eastAsia="Times New Roman" w:hAnsiTheme="majorHAnsi" w:cstheme="majorHAnsi"/>
                <w:b/>
                <w:bCs/>
                <w:color w:val="000000"/>
                <w:sz w:val="21"/>
                <w:szCs w:val="21"/>
                <w:lang w:val="es-ES"/>
              </w:rPr>
              <w:t>HUMAS-E wording</w:t>
            </w:r>
          </w:p>
        </w:tc>
        <w:tc>
          <w:tcPr>
            <w:tcW w:w="6239" w:type="dxa"/>
            <w:noWrap/>
            <w:vAlign w:val="bottom"/>
            <w:hideMark/>
          </w:tcPr>
          <w:p w14:paraId="506E6316" w14:textId="77777777" w:rsidR="00B41E6F" w:rsidRPr="00B41E6F" w:rsidRDefault="00B41E6F" w:rsidP="00B41E6F">
            <w:pPr>
              <w:spacing w:line="240" w:lineRule="auto"/>
              <w:rPr>
                <w:rFonts w:asciiTheme="majorHAnsi" w:eastAsia="Times New Roman" w:hAnsiTheme="majorHAnsi" w:cstheme="majorHAnsi"/>
                <w:b/>
                <w:bCs/>
                <w:color w:val="000000"/>
                <w:sz w:val="21"/>
                <w:szCs w:val="21"/>
                <w:lang w:val="es-ES"/>
              </w:rPr>
            </w:pPr>
            <w:r>
              <w:rPr>
                <w:rFonts w:asciiTheme="majorHAnsi" w:eastAsia="Times New Roman" w:hAnsiTheme="majorHAnsi" w:cstheme="majorHAnsi"/>
                <w:b/>
                <w:bCs/>
                <w:color w:val="000000"/>
                <w:sz w:val="21"/>
                <w:szCs w:val="21"/>
                <w:lang w:val="es-ES"/>
              </w:rPr>
              <w:t>Adaptation and conceptual consideration</w:t>
            </w:r>
          </w:p>
        </w:tc>
      </w:tr>
      <w:tr w:rsidR="00B41E6F" w:rsidRPr="00B41E6F" w14:paraId="602E9A29" w14:textId="77777777" w:rsidTr="00B41E6F">
        <w:trPr>
          <w:trHeight w:val="320"/>
        </w:trPr>
        <w:tc>
          <w:tcPr>
            <w:tcW w:w="604" w:type="dxa"/>
            <w:noWrap/>
            <w:vAlign w:val="bottom"/>
            <w:hideMark/>
          </w:tcPr>
          <w:p w14:paraId="5BDCFFEC"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w:t>
            </w:r>
          </w:p>
        </w:tc>
        <w:tc>
          <w:tcPr>
            <w:tcW w:w="1585" w:type="dxa"/>
            <w:noWrap/>
            <w:vAlign w:val="bottom"/>
            <w:hideMark/>
          </w:tcPr>
          <w:p w14:paraId="4852FA5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Optimistic Disposition</w:t>
            </w:r>
          </w:p>
        </w:tc>
        <w:tc>
          <w:tcPr>
            <w:tcW w:w="2484" w:type="dxa"/>
            <w:noWrap/>
            <w:vAlign w:val="bottom"/>
            <w:hideMark/>
          </w:tcPr>
          <w:p w14:paraId="325AD43E"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Espero el futuro con entusiasmo.</w:t>
            </w:r>
          </w:p>
        </w:tc>
        <w:tc>
          <w:tcPr>
            <w:tcW w:w="3117" w:type="dxa"/>
            <w:noWrap/>
            <w:vAlign w:val="bottom"/>
            <w:hideMark/>
          </w:tcPr>
          <w:p w14:paraId="618D12EE"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Espero el futuro profesional con entusiasmo.</w:t>
            </w:r>
          </w:p>
        </w:tc>
        <w:tc>
          <w:tcPr>
            <w:tcW w:w="6239" w:type="dxa"/>
            <w:noWrap/>
            <w:vAlign w:val="bottom"/>
            <w:hideMark/>
          </w:tcPr>
          <w:p w14:paraId="7C1C2E7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reference to the future was contextualized as the student’s future professional career. The underlying optimistic disposition was preserved.</w:t>
            </w:r>
          </w:p>
        </w:tc>
      </w:tr>
      <w:tr w:rsidR="00B41E6F" w:rsidRPr="00B41E6F" w14:paraId="3DD227B7" w14:textId="77777777" w:rsidTr="00B41E6F">
        <w:trPr>
          <w:trHeight w:val="320"/>
        </w:trPr>
        <w:tc>
          <w:tcPr>
            <w:tcW w:w="604" w:type="dxa"/>
            <w:noWrap/>
            <w:vAlign w:val="bottom"/>
            <w:hideMark/>
          </w:tcPr>
          <w:p w14:paraId="76DD137F"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2</w:t>
            </w:r>
          </w:p>
        </w:tc>
        <w:tc>
          <w:tcPr>
            <w:tcW w:w="1585" w:type="dxa"/>
            <w:noWrap/>
            <w:vAlign w:val="bottom"/>
            <w:hideMark/>
          </w:tcPr>
          <w:p w14:paraId="1A41F1F7"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Optimistic Disposition</w:t>
            </w:r>
          </w:p>
        </w:tc>
        <w:tc>
          <w:tcPr>
            <w:tcW w:w="2484" w:type="dxa"/>
            <w:noWrap/>
            <w:vAlign w:val="bottom"/>
            <w:hideMark/>
          </w:tcPr>
          <w:p w14:paraId="6EEC49C0"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En general, estoy satisfecho conmigo mismo.</w:t>
            </w:r>
          </w:p>
        </w:tc>
        <w:tc>
          <w:tcPr>
            <w:tcW w:w="3117" w:type="dxa"/>
            <w:noWrap/>
            <w:vAlign w:val="bottom"/>
            <w:hideMark/>
          </w:tcPr>
          <w:p w14:paraId="79D62D5A"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En general, estoy satisfecho conmigo mismo.</w:t>
            </w:r>
          </w:p>
        </w:tc>
        <w:tc>
          <w:tcPr>
            <w:tcW w:w="6239" w:type="dxa"/>
            <w:noWrap/>
            <w:vAlign w:val="bottom"/>
            <w:hideMark/>
          </w:tcPr>
          <w:p w14:paraId="2896D766"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No substantive modification.</w:t>
            </w:r>
          </w:p>
        </w:tc>
      </w:tr>
      <w:tr w:rsidR="00B41E6F" w:rsidRPr="00B41E6F" w14:paraId="5B9FF5E3" w14:textId="77777777" w:rsidTr="00B41E6F">
        <w:trPr>
          <w:trHeight w:val="320"/>
        </w:trPr>
        <w:tc>
          <w:tcPr>
            <w:tcW w:w="604" w:type="dxa"/>
            <w:noWrap/>
            <w:vAlign w:val="bottom"/>
            <w:hideMark/>
          </w:tcPr>
          <w:p w14:paraId="424A7225"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3</w:t>
            </w:r>
          </w:p>
        </w:tc>
        <w:tc>
          <w:tcPr>
            <w:tcW w:w="1585" w:type="dxa"/>
            <w:noWrap/>
            <w:vAlign w:val="bottom"/>
            <w:hideMark/>
          </w:tcPr>
          <w:p w14:paraId="3D09C70A"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Optimistic Disposition</w:t>
            </w:r>
          </w:p>
        </w:tc>
        <w:tc>
          <w:tcPr>
            <w:tcW w:w="2484" w:type="dxa"/>
            <w:noWrap/>
            <w:vAlign w:val="bottom"/>
            <w:hideMark/>
          </w:tcPr>
          <w:p w14:paraId="3B259D0E"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Ante las dificultades, confío en que al final todo saldrá bien.</w:t>
            </w:r>
          </w:p>
        </w:tc>
        <w:tc>
          <w:tcPr>
            <w:tcW w:w="3117" w:type="dxa"/>
            <w:noWrap/>
            <w:vAlign w:val="bottom"/>
            <w:hideMark/>
          </w:tcPr>
          <w:p w14:paraId="2D06F46F"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Ante las dificultades, confío en que al final todo saldrá bien.</w:t>
            </w:r>
          </w:p>
        </w:tc>
        <w:tc>
          <w:tcPr>
            <w:tcW w:w="6239" w:type="dxa"/>
            <w:noWrap/>
            <w:vAlign w:val="bottom"/>
            <w:hideMark/>
          </w:tcPr>
          <w:p w14:paraId="7EDC11B3"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No substantive modification.</w:t>
            </w:r>
          </w:p>
        </w:tc>
      </w:tr>
      <w:tr w:rsidR="00B41E6F" w:rsidRPr="00B41E6F" w14:paraId="3080ABAD" w14:textId="77777777" w:rsidTr="00B41E6F">
        <w:trPr>
          <w:trHeight w:val="320"/>
        </w:trPr>
        <w:tc>
          <w:tcPr>
            <w:tcW w:w="604" w:type="dxa"/>
            <w:noWrap/>
            <w:vAlign w:val="bottom"/>
            <w:hideMark/>
          </w:tcPr>
          <w:p w14:paraId="22A8FB08"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4</w:t>
            </w:r>
          </w:p>
        </w:tc>
        <w:tc>
          <w:tcPr>
            <w:tcW w:w="1585" w:type="dxa"/>
            <w:noWrap/>
            <w:vAlign w:val="bottom"/>
            <w:hideMark/>
          </w:tcPr>
          <w:p w14:paraId="47B3152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Sociability</w:t>
            </w:r>
          </w:p>
        </w:tc>
        <w:tc>
          <w:tcPr>
            <w:tcW w:w="2484" w:type="dxa"/>
            <w:noWrap/>
            <w:vAlign w:val="bottom"/>
            <w:hideMark/>
          </w:tcPr>
          <w:p w14:paraId="3C3F82A9"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atiendo a mis pacientes, trato de ponerme en su lugar.</w:t>
            </w:r>
          </w:p>
        </w:tc>
        <w:tc>
          <w:tcPr>
            <w:tcW w:w="3117" w:type="dxa"/>
            <w:noWrap/>
            <w:vAlign w:val="bottom"/>
            <w:hideMark/>
          </w:tcPr>
          <w:p w14:paraId="6B84732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atiendo a pacientes, trato de ponerme en su lugar.</w:t>
            </w:r>
          </w:p>
        </w:tc>
        <w:tc>
          <w:tcPr>
            <w:tcW w:w="6239" w:type="dxa"/>
            <w:noWrap/>
            <w:vAlign w:val="bottom"/>
            <w:hideMark/>
          </w:tcPr>
          <w:p w14:paraId="534245E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possessive expression “my patients” was removed because students do not have autonomous responsibility for assigned patients. Item meaning was preserved.</w:t>
            </w:r>
          </w:p>
        </w:tc>
      </w:tr>
      <w:tr w:rsidR="00B41E6F" w:rsidRPr="00B41E6F" w14:paraId="080DCB2C" w14:textId="77777777" w:rsidTr="00B41E6F">
        <w:trPr>
          <w:trHeight w:val="320"/>
        </w:trPr>
        <w:tc>
          <w:tcPr>
            <w:tcW w:w="604" w:type="dxa"/>
            <w:noWrap/>
            <w:vAlign w:val="bottom"/>
            <w:hideMark/>
          </w:tcPr>
          <w:p w14:paraId="5346CFE2"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5</w:t>
            </w:r>
          </w:p>
        </w:tc>
        <w:tc>
          <w:tcPr>
            <w:tcW w:w="1585" w:type="dxa"/>
            <w:noWrap/>
            <w:vAlign w:val="bottom"/>
            <w:hideMark/>
          </w:tcPr>
          <w:p w14:paraId="5EA1E83E"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Sociability</w:t>
            </w:r>
          </w:p>
        </w:tc>
        <w:tc>
          <w:tcPr>
            <w:tcW w:w="2484" w:type="dxa"/>
            <w:noWrap/>
            <w:vAlign w:val="bottom"/>
            <w:hideMark/>
          </w:tcPr>
          <w:p w14:paraId="045775E2"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Ofrezco un trato cercano al paciente o a sus familiares, si lo necesitan.</w:t>
            </w:r>
          </w:p>
        </w:tc>
        <w:tc>
          <w:tcPr>
            <w:tcW w:w="3117" w:type="dxa"/>
            <w:noWrap/>
            <w:vAlign w:val="bottom"/>
            <w:hideMark/>
          </w:tcPr>
          <w:p w14:paraId="2A520D09"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Ofrezco un trato cercano a pacientes o familiares cuando la situación lo requiere.</w:t>
            </w:r>
          </w:p>
        </w:tc>
        <w:tc>
          <w:tcPr>
            <w:tcW w:w="6239" w:type="dxa"/>
            <w:noWrap/>
            <w:vAlign w:val="bottom"/>
            <w:hideMark/>
          </w:tcPr>
          <w:p w14:paraId="28CAD302"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wording was generalized and “if they need it” was replaced by a situational criterion. The relational content was retained, although the adapted wording gives the student greater responsibility for judging when closeness is required.</w:t>
            </w:r>
          </w:p>
        </w:tc>
      </w:tr>
      <w:tr w:rsidR="00B41E6F" w:rsidRPr="00B41E6F" w14:paraId="21EEE677" w14:textId="77777777" w:rsidTr="00B41E6F">
        <w:trPr>
          <w:trHeight w:val="320"/>
        </w:trPr>
        <w:tc>
          <w:tcPr>
            <w:tcW w:w="604" w:type="dxa"/>
            <w:noWrap/>
            <w:vAlign w:val="bottom"/>
            <w:hideMark/>
          </w:tcPr>
          <w:p w14:paraId="1438097D"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6</w:t>
            </w:r>
          </w:p>
        </w:tc>
        <w:tc>
          <w:tcPr>
            <w:tcW w:w="1585" w:type="dxa"/>
            <w:noWrap/>
            <w:vAlign w:val="bottom"/>
            <w:hideMark/>
          </w:tcPr>
          <w:p w14:paraId="44D0C43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Sociability</w:t>
            </w:r>
          </w:p>
        </w:tc>
        <w:tc>
          <w:tcPr>
            <w:tcW w:w="2484" w:type="dxa"/>
            <w:noWrap/>
            <w:vAlign w:val="bottom"/>
            <w:hideMark/>
          </w:tcPr>
          <w:p w14:paraId="180480F2"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Me preocupo por tranquilizar a pacientes y familiares, ya que considero que es una parte importante de mi labor de cuidado.</w:t>
            </w:r>
          </w:p>
        </w:tc>
        <w:tc>
          <w:tcPr>
            <w:tcW w:w="3117" w:type="dxa"/>
            <w:noWrap/>
            <w:vAlign w:val="bottom"/>
            <w:hideMark/>
          </w:tcPr>
          <w:p w14:paraId="7FD38D44"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Considero importante tranquilizar a pacientes y familiares como parte del cuidado.</w:t>
            </w:r>
          </w:p>
        </w:tc>
        <w:tc>
          <w:tcPr>
            <w:tcW w:w="6239" w:type="dxa"/>
            <w:noWrap/>
            <w:vAlign w:val="bottom"/>
            <w:hideMark/>
          </w:tcPr>
          <w:p w14:paraId="71DF633C" w14:textId="7D5BB745" w:rsidR="00B41E6F" w:rsidRPr="00B41E6F" w:rsidRDefault="006605DD"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reference to professional duty was removed and the item was reformulated as an appraisal of the importance of reassuring patients and families. This adaptation shifts the emphasis from reported behavior to perceived importance and should be considered when interpreting comparability with the original item.</w:t>
            </w:r>
          </w:p>
        </w:tc>
      </w:tr>
      <w:tr w:rsidR="00B41E6F" w:rsidRPr="00B41E6F" w14:paraId="6EE59A2F" w14:textId="77777777" w:rsidTr="00B41E6F">
        <w:trPr>
          <w:trHeight w:val="320"/>
        </w:trPr>
        <w:tc>
          <w:tcPr>
            <w:tcW w:w="604" w:type="dxa"/>
            <w:noWrap/>
            <w:vAlign w:val="bottom"/>
            <w:hideMark/>
          </w:tcPr>
          <w:p w14:paraId="650C2BD6"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7</w:t>
            </w:r>
          </w:p>
        </w:tc>
        <w:tc>
          <w:tcPr>
            <w:tcW w:w="1585" w:type="dxa"/>
            <w:noWrap/>
            <w:vAlign w:val="bottom"/>
            <w:hideMark/>
          </w:tcPr>
          <w:p w14:paraId="1EFA8AF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Emotional Understanding</w:t>
            </w:r>
          </w:p>
        </w:tc>
        <w:tc>
          <w:tcPr>
            <w:tcW w:w="2484" w:type="dxa"/>
            <w:noWrap/>
            <w:vAlign w:val="bottom"/>
            <w:hideMark/>
          </w:tcPr>
          <w:p w14:paraId="0CB1A72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me tratan mal, intento comprender los motivos y sigo tratando bien a esa persona.</w:t>
            </w:r>
          </w:p>
        </w:tc>
        <w:tc>
          <w:tcPr>
            <w:tcW w:w="3117" w:type="dxa"/>
            <w:noWrap/>
            <w:vAlign w:val="bottom"/>
            <w:hideMark/>
          </w:tcPr>
          <w:p w14:paraId="16666E5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alguien me trata mal, intento comprender los motivos y sigo tratando bien a esa persona.</w:t>
            </w:r>
          </w:p>
        </w:tc>
        <w:tc>
          <w:tcPr>
            <w:tcW w:w="6239" w:type="dxa"/>
            <w:noWrap/>
            <w:vAlign w:val="bottom"/>
            <w:hideMark/>
          </w:tcPr>
          <w:p w14:paraId="72A2E98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Minor grammatical clarification without substantive conceptual change.</w:t>
            </w:r>
          </w:p>
        </w:tc>
      </w:tr>
      <w:tr w:rsidR="00B41E6F" w:rsidRPr="00B41E6F" w14:paraId="7C5775A0" w14:textId="77777777" w:rsidTr="00B41E6F">
        <w:trPr>
          <w:trHeight w:val="320"/>
        </w:trPr>
        <w:tc>
          <w:tcPr>
            <w:tcW w:w="604" w:type="dxa"/>
            <w:noWrap/>
            <w:vAlign w:val="bottom"/>
            <w:hideMark/>
          </w:tcPr>
          <w:p w14:paraId="7958FB7A"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lastRenderedPageBreak/>
              <w:t>8</w:t>
            </w:r>
          </w:p>
        </w:tc>
        <w:tc>
          <w:tcPr>
            <w:tcW w:w="1585" w:type="dxa"/>
            <w:noWrap/>
            <w:vAlign w:val="bottom"/>
            <w:hideMark/>
          </w:tcPr>
          <w:p w14:paraId="65B461A4"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Emotional Understanding</w:t>
            </w:r>
          </w:p>
        </w:tc>
        <w:tc>
          <w:tcPr>
            <w:tcW w:w="2484" w:type="dxa"/>
            <w:noWrap/>
            <w:vAlign w:val="bottom"/>
            <w:hideMark/>
          </w:tcPr>
          <w:p w14:paraId="5412C730"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alguien me cae mal, me esfuerzo por comprenderle y darle una oportunidad para conocerlo.</w:t>
            </w:r>
          </w:p>
        </w:tc>
        <w:tc>
          <w:tcPr>
            <w:tcW w:w="3117" w:type="dxa"/>
            <w:noWrap/>
            <w:vAlign w:val="bottom"/>
            <w:hideMark/>
          </w:tcPr>
          <w:p w14:paraId="6F706AE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alguien me cae mal, me esfuerzo por comprenderle y darle una oportunidad.</w:t>
            </w:r>
          </w:p>
        </w:tc>
        <w:tc>
          <w:tcPr>
            <w:tcW w:w="6239" w:type="dxa"/>
            <w:noWrap/>
            <w:vAlign w:val="bottom"/>
            <w:hideMark/>
          </w:tcPr>
          <w:p w14:paraId="46C12FE6"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final reference to getting to know the person was shortened. The underlying willingness to understand the other person was retained.</w:t>
            </w:r>
          </w:p>
        </w:tc>
      </w:tr>
      <w:tr w:rsidR="00B41E6F" w:rsidRPr="00B41E6F" w14:paraId="0B0E6995" w14:textId="77777777" w:rsidTr="00B41E6F">
        <w:trPr>
          <w:trHeight w:val="320"/>
        </w:trPr>
        <w:tc>
          <w:tcPr>
            <w:tcW w:w="604" w:type="dxa"/>
            <w:noWrap/>
            <w:vAlign w:val="bottom"/>
            <w:hideMark/>
          </w:tcPr>
          <w:p w14:paraId="42486A9E"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9</w:t>
            </w:r>
          </w:p>
        </w:tc>
        <w:tc>
          <w:tcPr>
            <w:tcW w:w="1585" w:type="dxa"/>
            <w:noWrap/>
            <w:vAlign w:val="bottom"/>
            <w:hideMark/>
          </w:tcPr>
          <w:p w14:paraId="6F2F1406"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Emotional Understanding</w:t>
            </w:r>
          </w:p>
        </w:tc>
        <w:tc>
          <w:tcPr>
            <w:tcW w:w="2484" w:type="dxa"/>
            <w:noWrap/>
            <w:vAlign w:val="bottom"/>
            <w:hideMark/>
          </w:tcPr>
          <w:p w14:paraId="7C20283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alguien actúa en mi contra, tiendo a analizar la situación para justificar de forma racional su conducta.</w:t>
            </w:r>
          </w:p>
        </w:tc>
        <w:tc>
          <w:tcPr>
            <w:tcW w:w="3117" w:type="dxa"/>
            <w:noWrap/>
            <w:vAlign w:val="bottom"/>
            <w:hideMark/>
          </w:tcPr>
          <w:p w14:paraId="78B3670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alguien actúa en mi contra, intento analizar la situación para comprender su conducta.</w:t>
            </w:r>
          </w:p>
        </w:tc>
        <w:tc>
          <w:tcPr>
            <w:tcW w:w="6239" w:type="dxa"/>
            <w:noWrap/>
            <w:vAlign w:val="bottom"/>
            <w:hideMark/>
          </w:tcPr>
          <w:p w14:paraId="15842F1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“Rationally justify” was replaced by “understand,” reducing the implication that harmful behavior must be justified. The emotional-understanding content was retained with a less prescriptive formulation.</w:t>
            </w:r>
          </w:p>
        </w:tc>
      </w:tr>
      <w:tr w:rsidR="00B41E6F" w:rsidRPr="00B41E6F" w14:paraId="06F179D2" w14:textId="77777777" w:rsidTr="00B41E6F">
        <w:trPr>
          <w:trHeight w:val="320"/>
        </w:trPr>
        <w:tc>
          <w:tcPr>
            <w:tcW w:w="604" w:type="dxa"/>
            <w:noWrap/>
            <w:vAlign w:val="bottom"/>
            <w:hideMark/>
          </w:tcPr>
          <w:p w14:paraId="42F53AC4"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10</w:t>
            </w:r>
          </w:p>
        </w:tc>
        <w:tc>
          <w:tcPr>
            <w:tcW w:w="1585" w:type="dxa"/>
            <w:noWrap/>
            <w:vAlign w:val="bottom"/>
            <w:hideMark/>
          </w:tcPr>
          <w:p w14:paraId="54DC4F89"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Self-efficacy</w:t>
            </w:r>
          </w:p>
        </w:tc>
        <w:tc>
          <w:tcPr>
            <w:tcW w:w="2484" w:type="dxa"/>
            <w:noWrap/>
            <w:vAlign w:val="bottom"/>
            <w:hideMark/>
          </w:tcPr>
          <w:p w14:paraId="22E42EE9"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Soy capaz de diferenciar los cambios de humor de otros, y actuar en consecuencia.</w:t>
            </w:r>
          </w:p>
        </w:tc>
        <w:tc>
          <w:tcPr>
            <w:tcW w:w="3117" w:type="dxa"/>
            <w:noWrap/>
            <w:vAlign w:val="bottom"/>
            <w:hideMark/>
          </w:tcPr>
          <w:p w14:paraId="26E868F4"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Soy capaz de identificar cambios emocionales en otras personas y actuar en consecuencia.</w:t>
            </w:r>
          </w:p>
        </w:tc>
        <w:tc>
          <w:tcPr>
            <w:tcW w:w="6239" w:type="dxa"/>
            <w:noWrap/>
            <w:vAlign w:val="bottom"/>
            <w:hideMark/>
          </w:tcPr>
          <w:p w14:paraId="3D0F16FB"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“Changes in mood” was broadened to “emotional changes,” and “differentiate” was replaced by the more comprehensible “identify.” The conceptual scope may be slightly broader.</w:t>
            </w:r>
          </w:p>
        </w:tc>
      </w:tr>
      <w:tr w:rsidR="00B41E6F" w:rsidRPr="00B41E6F" w14:paraId="6516AFEB" w14:textId="77777777" w:rsidTr="00B41E6F">
        <w:trPr>
          <w:trHeight w:val="320"/>
        </w:trPr>
        <w:tc>
          <w:tcPr>
            <w:tcW w:w="604" w:type="dxa"/>
            <w:noWrap/>
            <w:vAlign w:val="bottom"/>
            <w:hideMark/>
          </w:tcPr>
          <w:p w14:paraId="78DB3092"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11</w:t>
            </w:r>
          </w:p>
        </w:tc>
        <w:tc>
          <w:tcPr>
            <w:tcW w:w="1585" w:type="dxa"/>
            <w:noWrap/>
            <w:vAlign w:val="bottom"/>
            <w:hideMark/>
          </w:tcPr>
          <w:p w14:paraId="0BE35597"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Self-efficacy</w:t>
            </w:r>
          </w:p>
        </w:tc>
        <w:tc>
          <w:tcPr>
            <w:tcW w:w="2484" w:type="dxa"/>
            <w:noWrap/>
            <w:vAlign w:val="bottom"/>
            <w:hideMark/>
          </w:tcPr>
          <w:p w14:paraId="2B5741C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Estoy satisfecho con lo que hago y como lo hago.</w:t>
            </w:r>
          </w:p>
        </w:tc>
        <w:tc>
          <w:tcPr>
            <w:tcW w:w="3117" w:type="dxa"/>
            <w:noWrap/>
            <w:vAlign w:val="bottom"/>
            <w:hideMark/>
          </w:tcPr>
          <w:p w14:paraId="4D82FA1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Estoy satisfecho con cómo realizo mis tareas académicas o asistenciales.</w:t>
            </w:r>
          </w:p>
        </w:tc>
        <w:tc>
          <w:tcPr>
            <w:tcW w:w="6239" w:type="dxa"/>
            <w:noWrap/>
            <w:vAlign w:val="bottom"/>
            <w:hideMark/>
          </w:tcPr>
          <w:p w14:paraId="34C0D777"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general statement was contextualized to students’ academic and healthcare-related activities. The adapted item is more specific but retains perceived satisfaction with performance.</w:t>
            </w:r>
          </w:p>
        </w:tc>
      </w:tr>
      <w:tr w:rsidR="00B41E6F" w:rsidRPr="00B41E6F" w14:paraId="174B851B" w14:textId="77777777" w:rsidTr="00B41E6F">
        <w:trPr>
          <w:trHeight w:val="320"/>
        </w:trPr>
        <w:tc>
          <w:tcPr>
            <w:tcW w:w="604" w:type="dxa"/>
            <w:noWrap/>
            <w:vAlign w:val="bottom"/>
            <w:hideMark/>
          </w:tcPr>
          <w:p w14:paraId="3267B359"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12</w:t>
            </w:r>
          </w:p>
        </w:tc>
        <w:tc>
          <w:tcPr>
            <w:tcW w:w="1585" w:type="dxa"/>
            <w:noWrap/>
            <w:vAlign w:val="bottom"/>
            <w:hideMark/>
          </w:tcPr>
          <w:p w14:paraId="4F58232A"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Self-efficacy</w:t>
            </w:r>
          </w:p>
        </w:tc>
        <w:tc>
          <w:tcPr>
            <w:tcW w:w="2484" w:type="dxa"/>
            <w:noWrap/>
            <w:vAlign w:val="bottom"/>
            <w:hideMark/>
          </w:tcPr>
          <w:p w14:paraId="0349E73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Soy capaz de diferenciar mis propios estados de ánimo, y actuar en consecuencia.</w:t>
            </w:r>
          </w:p>
        </w:tc>
        <w:tc>
          <w:tcPr>
            <w:tcW w:w="3117" w:type="dxa"/>
            <w:noWrap/>
            <w:vAlign w:val="bottom"/>
            <w:hideMark/>
          </w:tcPr>
          <w:p w14:paraId="4536E99D"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Soy capaz de identificar mis propios estados de ánimo y actuar en consecuencia.</w:t>
            </w:r>
          </w:p>
        </w:tc>
        <w:tc>
          <w:tcPr>
            <w:tcW w:w="6239" w:type="dxa"/>
            <w:noWrap/>
            <w:vAlign w:val="bottom"/>
            <w:hideMark/>
          </w:tcPr>
          <w:p w14:paraId="66AD0952"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“Differentiate” was replaced by “identify” to improve comprehensibility. No substantive conceptual change was intended.</w:t>
            </w:r>
          </w:p>
        </w:tc>
      </w:tr>
      <w:tr w:rsidR="00B41E6F" w:rsidRPr="00B41E6F" w14:paraId="11A54AAA" w14:textId="77777777" w:rsidTr="00B41E6F">
        <w:trPr>
          <w:trHeight w:val="320"/>
        </w:trPr>
        <w:tc>
          <w:tcPr>
            <w:tcW w:w="604" w:type="dxa"/>
            <w:noWrap/>
            <w:vAlign w:val="bottom"/>
            <w:hideMark/>
          </w:tcPr>
          <w:p w14:paraId="473E0904"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13</w:t>
            </w:r>
          </w:p>
        </w:tc>
        <w:tc>
          <w:tcPr>
            <w:tcW w:w="1585" w:type="dxa"/>
            <w:noWrap/>
            <w:vAlign w:val="bottom"/>
            <w:hideMark/>
          </w:tcPr>
          <w:p w14:paraId="31ECBEBD"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Self-efficacy</w:t>
            </w:r>
          </w:p>
        </w:tc>
        <w:tc>
          <w:tcPr>
            <w:tcW w:w="2484" w:type="dxa"/>
            <w:noWrap/>
            <w:vAlign w:val="bottom"/>
            <w:hideMark/>
          </w:tcPr>
          <w:p w14:paraId="625E1BCB"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Creo que estoy preparado para afrontar con éxito cualquier situación en mi trabajo.</w:t>
            </w:r>
          </w:p>
        </w:tc>
        <w:tc>
          <w:tcPr>
            <w:tcW w:w="3117" w:type="dxa"/>
            <w:noWrap/>
            <w:vAlign w:val="bottom"/>
            <w:hideMark/>
          </w:tcPr>
          <w:p w14:paraId="4F5D315B"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Me siento preparado para afrontar con éxito situaciones propias de la práctica enfermera acordes a mi nivel.</w:t>
            </w:r>
          </w:p>
        </w:tc>
        <w:tc>
          <w:tcPr>
            <w:tcW w:w="6239" w:type="dxa"/>
            <w:noWrap/>
            <w:vAlign w:val="bottom"/>
            <w:hideMark/>
          </w:tcPr>
          <w:p w14:paraId="453B5E8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Professional employment was replaced by nursing-practice situations appropriate to the student’s educational level. The absolute expression “any situation” was restricted to avoid demanding competence beyond the student role.</w:t>
            </w:r>
          </w:p>
        </w:tc>
      </w:tr>
      <w:tr w:rsidR="00B41E6F" w:rsidRPr="00B41E6F" w14:paraId="3E71F920" w14:textId="77777777" w:rsidTr="00B41E6F">
        <w:trPr>
          <w:trHeight w:val="320"/>
        </w:trPr>
        <w:tc>
          <w:tcPr>
            <w:tcW w:w="604" w:type="dxa"/>
            <w:noWrap/>
            <w:vAlign w:val="bottom"/>
            <w:hideMark/>
          </w:tcPr>
          <w:p w14:paraId="0D2E2065" w14:textId="77777777" w:rsidR="00B41E6F" w:rsidRPr="00B41E6F" w:rsidRDefault="00B41E6F" w:rsidP="00B41E6F">
            <w:pPr>
              <w:spacing w:line="240" w:lineRule="auto"/>
              <w:jc w:val="right"/>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14</w:t>
            </w:r>
          </w:p>
        </w:tc>
        <w:tc>
          <w:tcPr>
            <w:tcW w:w="1585" w:type="dxa"/>
            <w:noWrap/>
            <w:vAlign w:val="bottom"/>
            <w:hideMark/>
          </w:tcPr>
          <w:p w14:paraId="3D9D84DB"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Self-efficacy</w:t>
            </w:r>
          </w:p>
        </w:tc>
        <w:tc>
          <w:tcPr>
            <w:tcW w:w="2484" w:type="dxa"/>
            <w:noWrap/>
            <w:vAlign w:val="bottom"/>
            <w:hideMark/>
          </w:tcPr>
          <w:p w14:paraId="5EFE87F2"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Siento que tengo una gran capacidad para percibir cuando un paciente no está recibiendo una atención adecuada.</w:t>
            </w:r>
          </w:p>
        </w:tc>
        <w:tc>
          <w:tcPr>
            <w:tcW w:w="3117" w:type="dxa"/>
            <w:noWrap/>
            <w:vAlign w:val="bottom"/>
            <w:hideMark/>
          </w:tcPr>
          <w:p w14:paraId="65B22634"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Considero que puedo percibir cuando un paciente no recibe una atención adecuada.</w:t>
            </w:r>
          </w:p>
        </w:tc>
        <w:tc>
          <w:tcPr>
            <w:tcW w:w="6239" w:type="dxa"/>
            <w:noWrap/>
            <w:vAlign w:val="bottom"/>
            <w:hideMark/>
          </w:tcPr>
          <w:p w14:paraId="7E708A2E"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emphatic expression “great ability” was moderated because students have limited clinical experience. The core perception of inadequate care was retained.</w:t>
            </w:r>
          </w:p>
        </w:tc>
      </w:tr>
      <w:tr w:rsidR="00B41E6F" w:rsidRPr="00B41E6F" w14:paraId="4BA1FBA8" w14:textId="77777777" w:rsidTr="00B41E6F">
        <w:trPr>
          <w:trHeight w:val="320"/>
        </w:trPr>
        <w:tc>
          <w:tcPr>
            <w:tcW w:w="604" w:type="dxa"/>
            <w:noWrap/>
            <w:vAlign w:val="bottom"/>
            <w:hideMark/>
          </w:tcPr>
          <w:p w14:paraId="356F288D"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15*</w:t>
            </w:r>
          </w:p>
        </w:tc>
        <w:tc>
          <w:tcPr>
            <w:tcW w:w="1585" w:type="dxa"/>
            <w:noWrap/>
            <w:vAlign w:val="bottom"/>
            <w:hideMark/>
          </w:tcPr>
          <w:p w14:paraId="0473809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Affection</w:t>
            </w:r>
          </w:p>
        </w:tc>
        <w:tc>
          <w:tcPr>
            <w:tcW w:w="2484" w:type="dxa"/>
            <w:noWrap/>
            <w:vAlign w:val="bottom"/>
            <w:hideMark/>
          </w:tcPr>
          <w:p w14:paraId="5E18F2C0"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Cuando desempeño mi labor profesional, suelen aparecer sentimientos de angustia.</w:t>
            </w:r>
          </w:p>
        </w:tc>
        <w:tc>
          <w:tcPr>
            <w:tcW w:w="3117" w:type="dxa"/>
            <w:noWrap/>
            <w:vAlign w:val="bottom"/>
            <w:hideMark/>
          </w:tcPr>
          <w:p w14:paraId="7E259E0A"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En situaciones de atención sanitaria, pueden aparecer sentimientos de angustia.</w:t>
            </w:r>
          </w:p>
        </w:tc>
        <w:tc>
          <w:tcPr>
            <w:tcW w:w="6239" w:type="dxa"/>
            <w:noWrap/>
            <w:vAlign w:val="bottom"/>
            <w:hideMark/>
          </w:tcPr>
          <w:p w14:paraId="042CF43A" w14:textId="293848BF" w:rsidR="00B41E6F" w:rsidRPr="00B41E6F" w:rsidRDefault="006605DD"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 xml:space="preserve">Professional work was replaced by healthcare-related situations to accommodate students with different levels of clinical exposure. The change from “usually appear” to “may appear” reduced the explicit </w:t>
            </w:r>
            <w:r>
              <w:rPr>
                <w:rFonts w:asciiTheme="majorHAnsi" w:eastAsia="Times New Roman" w:hAnsiTheme="majorHAnsi" w:cstheme="majorHAnsi"/>
                <w:color w:val="000000"/>
                <w:sz w:val="21"/>
                <w:szCs w:val="21"/>
                <w:lang w:val="es-ES"/>
              </w:rPr>
              <w:lastRenderedPageBreak/>
              <w:t>frequency implied by the original wording and represents a potential source of variation in item interpretation.</w:t>
            </w:r>
          </w:p>
        </w:tc>
      </w:tr>
      <w:tr w:rsidR="00B41E6F" w:rsidRPr="00B41E6F" w14:paraId="0462835B" w14:textId="77777777" w:rsidTr="00B41E6F">
        <w:trPr>
          <w:trHeight w:val="320"/>
        </w:trPr>
        <w:tc>
          <w:tcPr>
            <w:tcW w:w="604" w:type="dxa"/>
            <w:noWrap/>
            <w:vAlign w:val="bottom"/>
            <w:hideMark/>
          </w:tcPr>
          <w:p w14:paraId="20404AC7"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16*</w:t>
            </w:r>
          </w:p>
        </w:tc>
        <w:tc>
          <w:tcPr>
            <w:tcW w:w="1585" w:type="dxa"/>
            <w:noWrap/>
            <w:vAlign w:val="bottom"/>
            <w:hideMark/>
          </w:tcPr>
          <w:p w14:paraId="5D81799A"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Affection</w:t>
            </w:r>
          </w:p>
        </w:tc>
        <w:tc>
          <w:tcPr>
            <w:tcW w:w="2484" w:type="dxa"/>
            <w:noWrap/>
            <w:vAlign w:val="bottom"/>
            <w:hideMark/>
          </w:tcPr>
          <w:p w14:paraId="4B22E37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Me siento nervioso cuando atiendo a mis pacientes.</w:t>
            </w:r>
          </w:p>
        </w:tc>
        <w:tc>
          <w:tcPr>
            <w:tcW w:w="3117" w:type="dxa"/>
            <w:noWrap/>
            <w:vAlign w:val="bottom"/>
            <w:hideMark/>
          </w:tcPr>
          <w:p w14:paraId="147CE988"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Me siento nervioso en situaciones de atención a pacientes o al anticiparlas.</w:t>
            </w:r>
          </w:p>
        </w:tc>
        <w:tc>
          <w:tcPr>
            <w:tcW w:w="6239" w:type="dxa"/>
            <w:noWrap/>
            <w:vAlign w:val="bottom"/>
            <w:hideMark/>
          </w:tcPr>
          <w:p w14:paraId="1717BAB6" w14:textId="185FB74D" w:rsidR="00B41E6F" w:rsidRPr="00B41E6F" w:rsidRDefault="006605DD"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possessive professional reference was removed, and anticipatory nervousness was included to allow students with limited direct patient-care experience to respond. This modification broadened the situational scope beyond actual patient contact.</w:t>
            </w:r>
          </w:p>
        </w:tc>
      </w:tr>
      <w:tr w:rsidR="00B41E6F" w:rsidRPr="00B41E6F" w14:paraId="6DEB9919" w14:textId="77777777" w:rsidTr="00B41E6F">
        <w:trPr>
          <w:trHeight w:val="320"/>
        </w:trPr>
        <w:tc>
          <w:tcPr>
            <w:tcW w:w="604" w:type="dxa"/>
            <w:noWrap/>
            <w:vAlign w:val="bottom"/>
            <w:hideMark/>
          </w:tcPr>
          <w:p w14:paraId="5255E61E"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17*</w:t>
            </w:r>
          </w:p>
        </w:tc>
        <w:tc>
          <w:tcPr>
            <w:tcW w:w="1585" w:type="dxa"/>
            <w:noWrap/>
            <w:vAlign w:val="bottom"/>
            <w:hideMark/>
          </w:tcPr>
          <w:p w14:paraId="4469DF3F"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Affection</w:t>
            </w:r>
          </w:p>
        </w:tc>
        <w:tc>
          <w:tcPr>
            <w:tcW w:w="2484" w:type="dxa"/>
            <w:noWrap/>
            <w:vAlign w:val="bottom"/>
            <w:hideMark/>
          </w:tcPr>
          <w:p w14:paraId="2CA63F44"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En mi labor profesional, hay ocasiones en las que me siento asustado.</w:t>
            </w:r>
          </w:p>
        </w:tc>
        <w:tc>
          <w:tcPr>
            <w:tcW w:w="3117" w:type="dxa"/>
            <w:noWrap/>
            <w:vAlign w:val="bottom"/>
            <w:hideMark/>
          </w:tcPr>
          <w:p w14:paraId="00D5E335"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En situaciones relacionadas con la atención sanitaria, a veces me siento inquieto o ansioso.</w:t>
            </w:r>
          </w:p>
        </w:tc>
        <w:tc>
          <w:tcPr>
            <w:tcW w:w="6239" w:type="dxa"/>
            <w:noWrap/>
            <w:vAlign w:val="bottom"/>
            <w:hideMark/>
          </w:tcPr>
          <w:p w14:paraId="287A1104" w14:textId="603E6224" w:rsidR="00B41E6F" w:rsidRPr="00B41E6F" w:rsidRDefault="006605DD"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professional context was adapted to healthcare-related situations, and “frightened” was reformulated as “uneasy or anxious.” The adapted wording therefore assesses a broader range of emotional discomfort than the original item.</w:t>
            </w:r>
          </w:p>
        </w:tc>
      </w:tr>
      <w:tr w:rsidR="00B41E6F" w:rsidRPr="00B41E6F" w14:paraId="685416FF" w14:textId="77777777" w:rsidTr="00B41E6F">
        <w:trPr>
          <w:trHeight w:val="320"/>
        </w:trPr>
        <w:tc>
          <w:tcPr>
            <w:tcW w:w="604" w:type="dxa"/>
            <w:noWrap/>
            <w:vAlign w:val="bottom"/>
            <w:hideMark/>
          </w:tcPr>
          <w:p w14:paraId="025D46D7"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18*</w:t>
            </w:r>
          </w:p>
        </w:tc>
        <w:tc>
          <w:tcPr>
            <w:tcW w:w="1585" w:type="dxa"/>
            <w:noWrap/>
            <w:vAlign w:val="bottom"/>
            <w:hideMark/>
          </w:tcPr>
          <w:p w14:paraId="4F734D7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Affection</w:t>
            </w:r>
          </w:p>
        </w:tc>
        <w:tc>
          <w:tcPr>
            <w:tcW w:w="2484" w:type="dxa"/>
            <w:noWrap/>
            <w:vAlign w:val="bottom"/>
            <w:hideMark/>
          </w:tcPr>
          <w:p w14:paraId="156ECFC2"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Como profesional, hay situaciones en las que me siento culpable.</w:t>
            </w:r>
          </w:p>
        </w:tc>
        <w:tc>
          <w:tcPr>
            <w:tcW w:w="3117" w:type="dxa"/>
            <w:noWrap/>
            <w:vAlign w:val="bottom"/>
            <w:hideMark/>
          </w:tcPr>
          <w:p w14:paraId="5724F894"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En situaciones de cuidado sanitario, hay momentos en los que me siento culpable.</w:t>
            </w:r>
          </w:p>
        </w:tc>
        <w:tc>
          <w:tcPr>
            <w:tcW w:w="6239" w:type="dxa"/>
            <w:noWrap/>
            <w:vAlign w:val="bottom"/>
            <w:hideMark/>
          </w:tcPr>
          <w:p w14:paraId="40611AF6"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professional-role reference was removed while retaining the experience of guilt in healthcare situations. Item meaning was largely preserved.</w:t>
            </w:r>
          </w:p>
        </w:tc>
      </w:tr>
      <w:tr w:rsidR="00B41E6F" w:rsidRPr="00B41E6F" w14:paraId="7BA602A5" w14:textId="77777777" w:rsidTr="00B41E6F">
        <w:trPr>
          <w:trHeight w:val="320"/>
        </w:trPr>
        <w:tc>
          <w:tcPr>
            <w:tcW w:w="604" w:type="dxa"/>
            <w:noWrap/>
            <w:vAlign w:val="bottom"/>
            <w:hideMark/>
          </w:tcPr>
          <w:p w14:paraId="7D032759"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19*</w:t>
            </w:r>
          </w:p>
        </w:tc>
        <w:tc>
          <w:tcPr>
            <w:tcW w:w="1585" w:type="dxa"/>
            <w:noWrap/>
            <w:vAlign w:val="bottom"/>
            <w:hideMark/>
          </w:tcPr>
          <w:p w14:paraId="7D09850D"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Affection</w:t>
            </w:r>
          </w:p>
        </w:tc>
        <w:tc>
          <w:tcPr>
            <w:tcW w:w="2484" w:type="dxa"/>
            <w:noWrap/>
            <w:vAlign w:val="bottom"/>
            <w:hideMark/>
          </w:tcPr>
          <w:p w14:paraId="7142505C"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Me siento afectado cuando estoy atendiendo a mis pacientes.</w:t>
            </w:r>
          </w:p>
        </w:tc>
        <w:tc>
          <w:tcPr>
            <w:tcW w:w="3117" w:type="dxa"/>
            <w:noWrap/>
            <w:vAlign w:val="bottom"/>
            <w:hideMark/>
          </w:tcPr>
          <w:p w14:paraId="1811D761" w14:textId="77777777" w:rsidR="00B41E6F" w:rsidRPr="00B41E6F" w:rsidRDefault="00B41E6F"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Me siento emocionalmente afectado al atender pacientes o al prepararme para hacerlo.</w:t>
            </w:r>
          </w:p>
        </w:tc>
        <w:tc>
          <w:tcPr>
            <w:tcW w:w="6239" w:type="dxa"/>
            <w:noWrap/>
            <w:vAlign w:val="bottom"/>
            <w:hideMark/>
          </w:tcPr>
          <w:p w14:paraId="7F8064BF" w14:textId="21497108" w:rsidR="00B41E6F" w:rsidRPr="00B41E6F" w:rsidRDefault="006605DD" w:rsidP="00B41E6F">
            <w:pPr>
              <w:spacing w:line="240" w:lineRule="auto"/>
              <w:rPr>
                <w:rFonts w:asciiTheme="majorHAnsi" w:eastAsia="Times New Roman" w:hAnsiTheme="majorHAnsi" w:cstheme="majorHAnsi"/>
                <w:color w:val="000000"/>
                <w:sz w:val="21"/>
                <w:szCs w:val="21"/>
                <w:lang w:val="es-ES"/>
              </w:rPr>
            </w:pPr>
            <w:r>
              <w:rPr>
                <w:rFonts w:asciiTheme="majorHAnsi" w:eastAsia="Times New Roman" w:hAnsiTheme="majorHAnsi" w:cstheme="majorHAnsi"/>
                <w:color w:val="000000"/>
                <w:sz w:val="21"/>
                <w:szCs w:val="21"/>
                <w:lang w:val="es-ES"/>
              </w:rPr>
              <w:t>The professional and possessive references were removed, “emotionally” was added to clarify the intended meaning, and preparation for patient care was included to accommodate students with limited clinical exposure. This adaptation broadened the situational scope and may partly explain the comparatively lower standardized loading observed in the present sample.</w:t>
            </w:r>
          </w:p>
        </w:tc>
      </w:tr>
    </w:tbl>
    <w:p w14:paraId="1A658038" w14:textId="77777777" w:rsidR="00B41E6F" w:rsidRPr="00B41E6F" w:rsidRDefault="00B41E6F" w:rsidP="00B41E6F">
      <w:pPr>
        <w:rPr>
          <w:rFonts w:asciiTheme="majorHAnsi" w:hAnsiTheme="majorHAnsi" w:cstheme="majorHAnsi"/>
          <w:lang w:val="es-ES"/>
        </w:rPr>
      </w:pPr>
    </w:p>
    <w:p w14:paraId="738AA55F" w14:textId="77777777" w:rsidR="00B41E6F" w:rsidRPr="00B41E6F" w:rsidRDefault="00B41E6F" w:rsidP="00B41E6F">
      <w:pPr>
        <w:rPr>
          <w:rFonts w:asciiTheme="majorHAnsi" w:hAnsiTheme="majorHAnsi" w:cstheme="majorHAnsi"/>
          <w:lang w:val="es-ES"/>
        </w:rPr>
      </w:pPr>
    </w:p>
    <w:p w14:paraId="5FC38C2B" w14:textId="77777777" w:rsidR="00B41E6F" w:rsidRDefault="00B41E6F">
      <w:pPr>
        <w:rPr>
          <w:rFonts w:asciiTheme="majorHAnsi" w:hAnsiTheme="majorHAnsi" w:cstheme="majorHAnsi"/>
          <w:b/>
          <w:bCs/>
          <w:lang w:val="es-ES"/>
        </w:rPr>
      </w:pPr>
      <w:r>
        <w:rPr>
          <w:rFonts w:asciiTheme="majorHAnsi" w:hAnsiTheme="majorHAnsi" w:cstheme="majorHAnsi"/>
          <w:b/>
          <w:bCs/>
          <w:lang w:val="es-ES"/>
        </w:rPr>
        <w:br w:type="page"/>
      </w:r>
    </w:p>
    <w:p w14:paraId="3BD30F69" w14:textId="53AB8E92" w:rsidR="00B57E9E" w:rsidRPr="00B41E6F" w:rsidRDefault="00000000" w:rsidP="01225F98">
      <w:pPr>
        <w:spacing w:before="240" w:after="240"/>
        <w:rPr>
          <w:rFonts w:asciiTheme="majorHAnsi" w:hAnsiTheme="majorHAnsi" w:cstheme="majorHAnsi"/>
          <w:b/>
          <w:bCs/>
          <w:lang w:val="es-ES"/>
        </w:rPr>
      </w:pPr>
      <w:r>
        <w:rPr>
          <w:rFonts w:asciiTheme="majorHAnsi" w:hAnsiTheme="majorHAnsi" w:cstheme="majorHAnsi"/>
          <w:b/>
          <w:bCs/>
          <w:lang w:val="es-ES"/>
        </w:rPr>
        <w:lastRenderedPageBreak/>
        <w:t>Supplementary Table S2. Sensitivity analysis for Item 19</w:t>
      </w:r>
    </w:p>
    <w:tbl>
      <w:tblPr>
        <w:tblStyle w:val="a3"/>
        <w:tblW w:w="90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71"/>
        <w:gridCol w:w="1178"/>
        <w:gridCol w:w="687"/>
        <w:gridCol w:w="817"/>
        <w:gridCol w:w="1023"/>
        <w:gridCol w:w="661"/>
        <w:gridCol w:w="661"/>
        <w:gridCol w:w="1423"/>
        <w:gridCol w:w="804"/>
      </w:tblGrid>
      <w:tr w:rsidR="00B57E9E" w:rsidRPr="00B41E6F" w14:paraId="436D20C5" w14:textId="77777777" w:rsidTr="00B41E6F">
        <w:trPr>
          <w:trHeight w:val="785"/>
        </w:trPr>
        <w:tc>
          <w:tcPr>
            <w:tcW w:w="1770" w:type="dxa"/>
            <w:tcMar>
              <w:top w:w="100" w:type="dxa"/>
              <w:left w:w="100" w:type="dxa"/>
              <w:bottom w:w="100" w:type="dxa"/>
              <w:right w:w="100" w:type="dxa"/>
            </w:tcMar>
          </w:tcPr>
          <w:p w14:paraId="2B02FB59" w14:textId="77777777" w:rsidR="00B57E9E" w:rsidRPr="00B41E6F" w:rsidRDefault="00000000">
            <w:pPr>
              <w:jc w:val="center"/>
              <w:rPr>
                <w:rFonts w:asciiTheme="majorHAnsi" w:hAnsiTheme="majorHAnsi" w:cstheme="majorHAnsi"/>
              </w:rPr>
            </w:pPr>
            <w:r>
              <w:rPr>
                <w:rFonts w:asciiTheme="majorHAnsi" w:hAnsiTheme="majorHAnsi" w:cstheme="majorHAnsi"/>
                <w:b/>
                <w:bCs/>
              </w:rPr>
              <w:t>Model</w:t>
            </w:r>
          </w:p>
        </w:tc>
        <w:tc>
          <w:tcPr>
            <w:tcW w:w="1177" w:type="dxa"/>
            <w:tcMar>
              <w:top w:w="100" w:type="dxa"/>
              <w:left w:w="100" w:type="dxa"/>
              <w:bottom w:w="100" w:type="dxa"/>
              <w:right w:w="100" w:type="dxa"/>
            </w:tcMar>
          </w:tcPr>
          <w:p w14:paraId="2C7154C2" w14:textId="77777777" w:rsidR="00B57E9E" w:rsidRPr="00B41E6F" w:rsidRDefault="00000000">
            <w:pPr>
              <w:jc w:val="center"/>
              <w:rPr>
                <w:rFonts w:asciiTheme="majorHAnsi" w:hAnsiTheme="majorHAnsi" w:cstheme="majorHAnsi"/>
              </w:rPr>
            </w:pPr>
            <w:r>
              <w:rPr>
                <w:rFonts w:asciiTheme="majorHAnsi" w:hAnsiTheme="majorHAnsi" w:cstheme="majorHAnsi"/>
                <w:b/>
                <w:bCs/>
              </w:rPr>
              <w:t>Ordinal α, AF</w:t>
            </w:r>
          </w:p>
        </w:tc>
        <w:tc>
          <w:tcPr>
            <w:tcW w:w="687" w:type="dxa"/>
            <w:tcMar>
              <w:top w:w="100" w:type="dxa"/>
              <w:left w:w="100" w:type="dxa"/>
              <w:bottom w:w="100" w:type="dxa"/>
              <w:right w:w="100" w:type="dxa"/>
            </w:tcMar>
          </w:tcPr>
          <w:p w14:paraId="12CD5EA3" w14:textId="6263199F" w:rsidR="00B57E9E" w:rsidRPr="00B41E6F" w:rsidRDefault="007E4E7F" w:rsidP="007E4E7F">
            <w:pPr>
              <w:rPr>
                <w:rFonts w:asciiTheme="majorHAnsi" w:hAnsiTheme="majorHAnsi" w:cstheme="majorHAnsi"/>
              </w:rPr>
            </w:pPr>
            <w:r>
              <w:rPr>
                <w:rFonts w:asciiTheme="majorHAnsi" w:hAnsiTheme="majorHAnsi" w:cstheme="majorHAnsi"/>
                <w:b/>
                <w:bCs/>
              </w:rPr>
              <w:t>CR, AF</w:t>
            </w:r>
          </w:p>
        </w:tc>
        <w:tc>
          <w:tcPr>
            <w:tcW w:w="816" w:type="dxa"/>
            <w:tcMar>
              <w:top w:w="100" w:type="dxa"/>
              <w:left w:w="100" w:type="dxa"/>
              <w:bottom w:w="100" w:type="dxa"/>
              <w:right w:w="100" w:type="dxa"/>
            </w:tcMar>
          </w:tcPr>
          <w:p w14:paraId="6BB4439E" w14:textId="77777777" w:rsidR="00B57E9E" w:rsidRPr="00B41E6F" w:rsidRDefault="00000000">
            <w:pPr>
              <w:jc w:val="center"/>
              <w:rPr>
                <w:rFonts w:asciiTheme="majorHAnsi" w:hAnsiTheme="majorHAnsi" w:cstheme="majorHAnsi"/>
              </w:rPr>
            </w:pPr>
            <w:r>
              <w:rPr>
                <w:rFonts w:asciiTheme="majorHAnsi" w:hAnsiTheme="majorHAnsi" w:cstheme="majorHAnsi"/>
                <w:b/>
                <w:bCs/>
              </w:rPr>
              <w:t>AVE, AF</w:t>
            </w:r>
          </w:p>
        </w:tc>
        <w:tc>
          <w:tcPr>
            <w:tcW w:w="1022" w:type="dxa"/>
            <w:tcMar>
              <w:top w:w="100" w:type="dxa"/>
              <w:left w:w="100" w:type="dxa"/>
              <w:bottom w:w="100" w:type="dxa"/>
              <w:right w:w="100" w:type="dxa"/>
            </w:tcMar>
          </w:tcPr>
          <w:p w14:paraId="7D92EB46"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χ² (df)</w:t>
            </w:r>
          </w:p>
        </w:tc>
        <w:tc>
          <w:tcPr>
            <w:tcW w:w="661" w:type="dxa"/>
            <w:tcMar>
              <w:top w:w="100" w:type="dxa"/>
              <w:left w:w="100" w:type="dxa"/>
              <w:bottom w:w="100" w:type="dxa"/>
              <w:right w:w="100" w:type="dxa"/>
            </w:tcMar>
          </w:tcPr>
          <w:p w14:paraId="0858C568" w14:textId="77777777" w:rsidR="00B57E9E" w:rsidRPr="00B41E6F" w:rsidRDefault="00000000">
            <w:pPr>
              <w:jc w:val="center"/>
              <w:rPr>
                <w:rFonts w:asciiTheme="majorHAnsi" w:hAnsiTheme="majorHAnsi" w:cstheme="majorHAnsi"/>
              </w:rPr>
            </w:pPr>
            <w:r>
              <w:rPr>
                <w:rFonts w:asciiTheme="majorHAnsi" w:hAnsiTheme="majorHAnsi" w:cstheme="majorHAnsi"/>
                <w:b/>
                <w:bCs/>
              </w:rPr>
              <w:t>CFI</w:t>
            </w:r>
          </w:p>
        </w:tc>
        <w:tc>
          <w:tcPr>
            <w:tcW w:w="661" w:type="dxa"/>
            <w:tcMar>
              <w:top w:w="100" w:type="dxa"/>
              <w:left w:w="100" w:type="dxa"/>
              <w:bottom w:w="100" w:type="dxa"/>
              <w:right w:w="100" w:type="dxa"/>
            </w:tcMar>
          </w:tcPr>
          <w:p w14:paraId="5099ECB0" w14:textId="77777777" w:rsidR="00B57E9E" w:rsidRPr="00B41E6F" w:rsidRDefault="00000000">
            <w:pPr>
              <w:jc w:val="center"/>
              <w:rPr>
                <w:rFonts w:asciiTheme="majorHAnsi" w:hAnsiTheme="majorHAnsi" w:cstheme="majorHAnsi"/>
              </w:rPr>
            </w:pPr>
            <w:r>
              <w:rPr>
                <w:rFonts w:asciiTheme="majorHAnsi" w:hAnsiTheme="majorHAnsi" w:cstheme="majorHAnsi"/>
                <w:b/>
                <w:bCs/>
              </w:rPr>
              <w:t>TLI</w:t>
            </w:r>
          </w:p>
        </w:tc>
        <w:tc>
          <w:tcPr>
            <w:tcW w:w="1422" w:type="dxa"/>
            <w:tcMar>
              <w:top w:w="100" w:type="dxa"/>
              <w:left w:w="100" w:type="dxa"/>
              <w:bottom w:w="100" w:type="dxa"/>
              <w:right w:w="100" w:type="dxa"/>
            </w:tcMar>
          </w:tcPr>
          <w:p w14:paraId="3C1A07D6" w14:textId="77777777" w:rsidR="00B57E9E" w:rsidRPr="00B41E6F" w:rsidRDefault="00000000">
            <w:pPr>
              <w:jc w:val="center"/>
              <w:rPr>
                <w:rFonts w:asciiTheme="majorHAnsi" w:hAnsiTheme="majorHAnsi" w:cstheme="majorHAnsi"/>
              </w:rPr>
            </w:pPr>
            <w:r>
              <w:rPr>
                <w:rFonts w:asciiTheme="majorHAnsi" w:hAnsiTheme="majorHAnsi" w:cstheme="majorHAnsi"/>
                <w:b/>
                <w:bCs/>
              </w:rPr>
              <w:t>RMSEA (90% CI)</w:t>
            </w:r>
          </w:p>
        </w:tc>
        <w:tc>
          <w:tcPr>
            <w:tcW w:w="803" w:type="dxa"/>
            <w:tcMar>
              <w:top w:w="100" w:type="dxa"/>
              <w:left w:w="100" w:type="dxa"/>
              <w:bottom w:w="100" w:type="dxa"/>
              <w:right w:w="100" w:type="dxa"/>
            </w:tcMar>
          </w:tcPr>
          <w:p w14:paraId="4DAB65CC" w14:textId="77777777" w:rsidR="00B57E9E" w:rsidRPr="00B41E6F" w:rsidRDefault="00000000">
            <w:pPr>
              <w:jc w:val="center"/>
              <w:rPr>
                <w:rFonts w:asciiTheme="majorHAnsi" w:hAnsiTheme="majorHAnsi" w:cstheme="majorHAnsi"/>
              </w:rPr>
            </w:pPr>
            <w:r>
              <w:rPr>
                <w:rFonts w:asciiTheme="majorHAnsi" w:hAnsiTheme="majorHAnsi" w:cstheme="majorHAnsi"/>
                <w:b/>
                <w:bCs/>
              </w:rPr>
              <w:t>SRMR</w:t>
            </w:r>
          </w:p>
        </w:tc>
      </w:tr>
      <w:tr w:rsidR="00B57E9E" w:rsidRPr="00B41E6F" w14:paraId="4B618ED1" w14:textId="77777777" w:rsidTr="00B41E6F">
        <w:trPr>
          <w:trHeight w:val="785"/>
        </w:trPr>
        <w:tc>
          <w:tcPr>
            <w:tcW w:w="1770" w:type="dxa"/>
            <w:tcMar>
              <w:top w:w="100" w:type="dxa"/>
              <w:left w:w="100" w:type="dxa"/>
              <w:bottom w:w="100" w:type="dxa"/>
              <w:right w:w="100" w:type="dxa"/>
            </w:tcMar>
          </w:tcPr>
          <w:p w14:paraId="4C8F015A" w14:textId="77777777" w:rsidR="00B57E9E" w:rsidRPr="00B41E6F" w:rsidRDefault="00000000">
            <w:pPr>
              <w:rPr>
                <w:rFonts w:asciiTheme="majorHAnsi" w:hAnsiTheme="majorHAnsi" w:cstheme="majorHAnsi"/>
              </w:rPr>
            </w:pPr>
            <w:r>
              <w:rPr>
                <w:rFonts w:asciiTheme="majorHAnsi" w:hAnsiTheme="majorHAnsi" w:cstheme="majorHAnsi"/>
              </w:rPr>
              <w:t>19-item HUMAS-E</w:t>
            </w:r>
          </w:p>
        </w:tc>
        <w:tc>
          <w:tcPr>
            <w:tcW w:w="1177" w:type="dxa"/>
            <w:tcMar>
              <w:top w:w="100" w:type="dxa"/>
              <w:left w:w="100" w:type="dxa"/>
              <w:bottom w:w="100" w:type="dxa"/>
              <w:right w:w="100" w:type="dxa"/>
            </w:tcMar>
          </w:tcPr>
          <w:p w14:paraId="2533C718" w14:textId="77777777" w:rsidR="00B57E9E" w:rsidRPr="00B41E6F" w:rsidRDefault="00000000">
            <w:pPr>
              <w:rPr>
                <w:rFonts w:asciiTheme="majorHAnsi" w:hAnsiTheme="majorHAnsi" w:cstheme="majorHAnsi"/>
              </w:rPr>
            </w:pPr>
            <w:r>
              <w:rPr>
                <w:rFonts w:asciiTheme="majorHAnsi" w:hAnsiTheme="majorHAnsi" w:cstheme="majorHAnsi"/>
              </w:rPr>
              <w:t>0.822</w:t>
            </w:r>
          </w:p>
        </w:tc>
        <w:tc>
          <w:tcPr>
            <w:tcW w:w="687" w:type="dxa"/>
            <w:tcMar>
              <w:top w:w="100" w:type="dxa"/>
              <w:left w:w="100" w:type="dxa"/>
              <w:bottom w:w="100" w:type="dxa"/>
              <w:right w:w="100" w:type="dxa"/>
            </w:tcMar>
          </w:tcPr>
          <w:p w14:paraId="4E699EB0" w14:textId="77777777" w:rsidR="00B57E9E" w:rsidRPr="00B41E6F" w:rsidRDefault="00000000">
            <w:pPr>
              <w:rPr>
                <w:rFonts w:asciiTheme="majorHAnsi" w:hAnsiTheme="majorHAnsi" w:cstheme="majorHAnsi"/>
              </w:rPr>
            </w:pPr>
            <w:r>
              <w:rPr>
                <w:rFonts w:asciiTheme="majorHAnsi" w:hAnsiTheme="majorHAnsi" w:cstheme="majorHAnsi"/>
              </w:rPr>
              <w:t>0.821</w:t>
            </w:r>
          </w:p>
        </w:tc>
        <w:tc>
          <w:tcPr>
            <w:tcW w:w="816" w:type="dxa"/>
            <w:tcMar>
              <w:top w:w="100" w:type="dxa"/>
              <w:left w:w="100" w:type="dxa"/>
              <w:bottom w:w="100" w:type="dxa"/>
              <w:right w:w="100" w:type="dxa"/>
            </w:tcMar>
          </w:tcPr>
          <w:p w14:paraId="44F99DE7" w14:textId="77777777" w:rsidR="00B57E9E" w:rsidRPr="00B41E6F" w:rsidRDefault="00000000">
            <w:pPr>
              <w:rPr>
                <w:rFonts w:asciiTheme="majorHAnsi" w:hAnsiTheme="majorHAnsi" w:cstheme="majorHAnsi"/>
              </w:rPr>
            </w:pPr>
            <w:r>
              <w:rPr>
                <w:rFonts w:asciiTheme="majorHAnsi" w:hAnsiTheme="majorHAnsi" w:cstheme="majorHAnsi"/>
              </w:rPr>
              <w:t>0.489</w:t>
            </w:r>
          </w:p>
        </w:tc>
        <w:tc>
          <w:tcPr>
            <w:tcW w:w="1022" w:type="dxa"/>
            <w:tcMar>
              <w:top w:w="100" w:type="dxa"/>
              <w:left w:w="100" w:type="dxa"/>
              <w:bottom w:w="100" w:type="dxa"/>
              <w:right w:w="100" w:type="dxa"/>
            </w:tcMar>
          </w:tcPr>
          <w:p w14:paraId="372B8A33" w14:textId="77777777" w:rsidR="00B57E9E" w:rsidRPr="00B41E6F" w:rsidRDefault="00000000">
            <w:pPr>
              <w:rPr>
                <w:rFonts w:asciiTheme="majorHAnsi" w:hAnsiTheme="majorHAnsi" w:cstheme="majorHAnsi"/>
              </w:rPr>
            </w:pPr>
            <w:r>
              <w:rPr>
                <w:rFonts w:asciiTheme="majorHAnsi" w:hAnsiTheme="majorHAnsi" w:cstheme="majorHAnsi"/>
              </w:rPr>
              <w:t>273.22 (142)</w:t>
            </w:r>
          </w:p>
        </w:tc>
        <w:tc>
          <w:tcPr>
            <w:tcW w:w="661" w:type="dxa"/>
            <w:tcMar>
              <w:top w:w="100" w:type="dxa"/>
              <w:left w:w="100" w:type="dxa"/>
              <w:bottom w:w="100" w:type="dxa"/>
              <w:right w:w="100" w:type="dxa"/>
            </w:tcMar>
          </w:tcPr>
          <w:p w14:paraId="1C6193DB" w14:textId="77777777" w:rsidR="00B57E9E" w:rsidRPr="00B41E6F" w:rsidRDefault="00000000">
            <w:pPr>
              <w:rPr>
                <w:rFonts w:asciiTheme="majorHAnsi" w:hAnsiTheme="majorHAnsi" w:cstheme="majorHAnsi"/>
              </w:rPr>
            </w:pPr>
            <w:r>
              <w:rPr>
                <w:rFonts w:asciiTheme="majorHAnsi" w:hAnsiTheme="majorHAnsi" w:cstheme="majorHAnsi"/>
              </w:rPr>
              <w:t>0.989</w:t>
            </w:r>
          </w:p>
        </w:tc>
        <w:tc>
          <w:tcPr>
            <w:tcW w:w="661" w:type="dxa"/>
            <w:tcMar>
              <w:top w:w="100" w:type="dxa"/>
              <w:left w:w="100" w:type="dxa"/>
              <w:bottom w:w="100" w:type="dxa"/>
              <w:right w:w="100" w:type="dxa"/>
            </w:tcMar>
          </w:tcPr>
          <w:p w14:paraId="6671FD6A" w14:textId="77777777" w:rsidR="00B57E9E" w:rsidRPr="00B41E6F" w:rsidRDefault="00000000">
            <w:pPr>
              <w:rPr>
                <w:rFonts w:asciiTheme="majorHAnsi" w:hAnsiTheme="majorHAnsi" w:cstheme="majorHAnsi"/>
              </w:rPr>
            </w:pPr>
            <w:r>
              <w:rPr>
                <w:rFonts w:asciiTheme="majorHAnsi" w:hAnsiTheme="majorHAnsi" w:cstheme="majorHAnsi"/>
              </w:rPr>
              <w:t>0.987</w:t>
            </w:r>
          </w:p>
        </w:tc>
        <w:tc>
          <w:tcPr>
            <w:tcW w:w="1422" w:type="dxa"/>
            <w:tcMar>
              <w:top w:w="100" w:type="dxa"/>
              <w:left w:w="100" w:type="dxa"/>
              <w:bottom w:w="100" w:type="dxa"/>
              <w:right w:w="100" w:type="dxa"/>
            </w:tcMar>
          </w:tcPr>
          <w:p w14:paraId="3E13C8F0" w14:textId="77777777" w:rsidR="00B57E9E" w:rsidRPr="00B41E6F" w:rsidRDefault="00000000">
            <w:pPr>
              <w:rPr>
                <w:rFonts w:asciiTheme="majorHAnsi" w:hAnsiTheme="majorHAnsi" w:cstheme="majorHAnsi"/>
              </w:rPr>
            </w:pPr>
            <w:r>
              <w:rPr>
                <w:rFonts w:asciiTheme="majorHAnsi" w:hAnsiTheme="majorHAnsi" w:cstheme="majorHAnsi"/>
              </w:rPr>
              <w:t>0.052 (0.043–0.061)</w:t>
            </w:r>
          </w:p>
        </w:tc>
        <w:tc>
          <w:tcPr>
            <w:tcW w:w="803" w:type="dxa"/>
            <w:tcMar>
              <w:top w:w="100" w:type="dxa"/>
              <w:left w:w="100" w:type="dxa"/>
              <w:bottom w:w="100" w:type="dxa"/>
              <w:right w:w="100" w:type="dxa"/>
            </w:tcMar>
          </w:tcPr>
          <w:p w14:paraId="18107B94" w14:textId="77777777" w:rsidR="00B57E9E" w:rsidRPr="00B41E6F" w:rsidRDefault="00000000">
            <w:pPr>
              <w:rPr>
                <w:rFonts w:asciiTheme="majorHAnsi" w:hAnsiTheme="majorHAnsi" w:cstheme="majorHAnsi"/>
              </w:rPr>
            </w:pPr>
            <w:r>
              <w:rPr>
                <w:rFonts w:asciiTheme="majorHAnsi" w:hAnsiTheme="majorHAnsi" w:cstheme="majorHAnsi"/>
              </w:rPr>
              <w:t>0.066</w:t>
            </w:r>
          </w:p>
        </w:tc>
      </w:tr>
      <w:tr w:rsidR="00B57E9E" w:rsidRPr="00B41E6F" w14:paraId="75052B72" w14:textId="77777777" w:rsidTr="00B41E6F">
        <w:trPr>
          <w:trHeight w:val="785"/>
        </w:trPr>
        <w:tc>
          <w:tcPr>
            <w:tcW w:w="1770" w:type="dxa"/>
            <w:tcMar>
              <w:top w:w="100" w:type="dxa"/>
              <w:left w:w="100" w:type="dxa"/>
              <w:bottom w:w="100" w:type="dxa"/>
              <w:right w:w="100" w:type="dxa"/>
            </w:tcMar>
          </w:tcPr>
          <w:p w14:paraId="78B0CEA6" w14:textId="77777777" w:rsidR="00B57E9E" w:rsidRPr="00B41E6F" w:rsidRDefault="00000000">
            <w:pPr>
              <w:rPr>
                <w:rFonts w:asciiTheme="majorHAnsi" w:hAnsiTheme="majorHAnsi" w:cstheme="majorHAnsi"/>
              </w:rPr>
            </w:pPr>
            <w:r>
              <w:rPr>
                <w:rFonts w:asciiTheme="majorHAnsi" w:hAnsiTheme="majorHAnsi" w:cstheme="majorHAnsi"/>
                <w:lang w:val="es-ES"/>
              </w:rPr>
              <w:t>HUMAS-E without Item 19</w:t>
            </w:r>
          </w:p>
        </w:tc>
        <w:tc>
          <w:tcPr>
            <w:tcW w:w="1177" w:type="dxa"/>
            <w:tcMar>
              <w:top w:w="100" w:type="dxa"/>
              <w:left w:w="100" w:type="dxa"/>
              <w:bottom w:w="100" w:type="dxa"/>
              <w:right w:w="100" w:type="dxa"/>
            </w:tcMar>
          </w:tcPr>
          <w:p w14:paraId="31F4B7A2" w14:textId="77777777" w:rsidR="00B57E9E" w:rsidRPr="00B41E6F" w:rsidRDefault="00000000">
            <w:pPr>
              <w:rPr>
                <w:rFonts w:asciiTheme="majorHAnsi" w:hAnsiTheme="majorHAnsi" w:cstheme="majorHAnsi"/>
              </w:rPr>
            </w:pPr>
            <w:r>
              <w:rPr>
                <w:rFonts w:asciiTheme="majorHAnsi" w:hAnsiTheme="majorHAnsi" w:cstheme="majorHAnsi"/>
              </w:rPr>
              <w:t>0.813</w:t>
            </w:r>
          </w:p>
        </w:tc>
        <w:tc>
          <w:tcPr>
            <w:tcW w:w="687" w:type="dxa"/>
            <w:tcMar>
              <w:top w:w="100" w:type="dxa"/>
              <w:left w:w="100" w:type="dxa"/>
              <w:bottom w:w="100" w:type="dxa"/>
              <w:right w:w="100" w:type="dxa"/>
            </w:tcMar>
          </w:tcPr>
          <w:p w14:paraId="143588F6" w14:textId="79E7B364" w:rsidR="00B57E9E" w:rsidRPr="00B41E6F" w:rsidRDefault="00000000">
            <w:pPr>
              <w:rPr>
                <w:rFonts w:asciiTheme="majorHAnsi" w:hAnsiTheme="majorHAnsi" w:cstheme="majorHAnsi"/>
              </w:rPr>
            </w:pPr>
            <w:r>
              <w:rPr>
                <w:rFonts w:asciiTheme="majorHAnsi" w:hAnsiTheme="majorHAnsi" w:cstheme="majorHAnsi"/>
              </w:rPr>
              <w:t>0.816</w:t>
            </w:r>
          </w:p>
        </w:tc>
        <w:tc>
          <w:tcPr>
            <w:tcW w:w="816" w:type="dxa"/>
            <w:tcMar>
              <w:top w:w="100" w:type="dxa"/>
              <w:left w:w="100" w:type="dxa"/>
              <w:bottom w:w="100" w:type="dxa"/>
              <w:right w:w="100" w:type="dxa"/>
            </w:tcMar>
          </w:tcPr>
          <w:p w14:paraId="64D4074D" w14:textId="0D1A92BA" w:rsidR="00B57E9E" w:rsidRPr="00B41E6F" w:rsidRDefault="00000000">
            <w:pPr>
              <w:rPr>
                <w:rFonts w:asciiTheme="majorHAnsi" w:hAnsiTheme="majorHAnsi" w:cstheme="majorHAnsi"/>
              </w:rPr>
            </w:pPr>
            <w:r>
              <w:rPr>
                <w:rFonts w:asciiTheme="majorHAnsi" w:hAnsiTheme="majorHAnsi" w:cstheme="majorHAnsi"/>
              </w:rPr>
              <w:t>0.530</w:t>
            </w:r>
          </w:p>
        </w:tc>
        <w:tc>
          <w:tcPr>
            <w:tcW w:w="1022" w:type="dxa"/>
            <w:tcMar>
              <w:top w:w="100" w:type="dxa"/>
              <w:left w:w="100" w:type="dxa"/>
              <w:bottom w:w="100" w:type="dxa"/>
              <w:right w:w="100" w:type="dxa"/>
            </w:tcMar>
          </w:tcPr>
          <w:p w14:paraId="35290F2F" w14:textId="77777777" w:rsidR="00B57E9E" w:rsidRPr="00B41E6F" w:rsidRDefault="00000000">
            <w:pPr>
              <w:rPr>
                <w:rFonts w:asciiTheme="majorHAnsi" w:hAnsiTheme="majorHAnsi" w:cstheme="majorHAnsi"/>
              </w:rPr>
            </w:pPr>
            <w:r>
              <w:rPr>
                <w:rFonts w:asciiTheme="majorHAnsi" w:hAnsiTheme="majorHAnsi" w:cstheme="majorHAnsi"/>
              </w:rPr>
              <w:t>245.42 (125)</w:t>
            </w:r>
          </w:p>
        </w:tc>
        <w:tc>
          <w:tcPr>
            <w:tcW w:w="661" w:type="dxa"/>
            <w:tcMar>
              <w:top w:w="100" w:type="dxa"/>
              <w:left w:w="100" w:type="dxa"/>
              <w:bottom w:w="100" w:type="dxa"/>
              <w:right w:w="100" w:type="dxa"/>
            </w:tcMar>
          </w:tcPr>
          <w:p w14:paraId="03383B5F" w14:textId="77777777" w:rsidR="00B57E9E" w:rsidRPr="00B41E6F" w:rsidRDefault="00000000">
            <w:pPr>
              <w:rPr>
                <w:rFonts w:asciiTheme="majorHAnsi" w:hAnsiTheme="majorHAnsi" w:cstheme="majorHAnsi"/>
              </w:rPr>
            </w:pPr>
            <w:r>
              <w:rPr>
                <w:rFonts w:asciiTheme="majorHAnsi" w:hAnsiTheme="majorHAnsi" w:cstheme="majorHAnsi"/>
              </w:rPr>
              <w:t>0.990</w:t>
            </w:r>
          </w:p>
        </w:tc>
        <w:tc>
          <w:tcPr>
            <w:tcW w:w="661" w:type="dxa"/>
            <w:tcMar>
              <w:top w:w="100" w:type="dxa"/>
              <w:left w:w="100" w:type="dxa"/>
              <w:bottom w:w="100" w:type="dxa"/>
              <w:right w:w="100" w:type="dxa"/>
            </w:tcMar>
          </w:tcPr>
          <w:p w14:paraId="1F4A4EF5" w14:textId="77777777" w:rsidR="00B57E9E" w:rsidRPr="00B41E6F" w:rsidRDefault="00000000">
            <w:pPr>
              <w:rPr>
                <w:rFonts w:asciiTheme="majorHAnsi" w:hAnsiTheme="majorHAnsi" w:cstheme="majorHAnsi"/>
              </w:rPr>
            </w:pPr>
            <w:r>
              <w:rPr>
                <w:rFonts w:asciiTheme="majorHAnsi" w:hAnsiTheme="majorHAnsi" w:cstheme="majorHAnsi"/>
              </w:rPr>
              <w:t>0.987</w:t>
            </w:r>
          </w:p>
        </w:tc>
        <w:tc>
          <w:tcPr>
            <w:tcW w:w="1422" w:type="dxa"/>
            <w:tcMar>
              <w:top w:w="100" w:type="dxa"/>
              <w:left w:w="100" w:type="dxa"/>
              <w:bottom w:w="100" w:type="dxa"/>
              <w:right w:w="100" w:type="dxa"/>
            </w:tcMar>
          </w:tcPr>
          <w:p w14:paraId="00C3BD44" w14:textId="77777777" w:rsidR="00B57E9E" w:rsidRPr="00B41E6F" w:rsidRDefault="00000000">
            <w:pPr>
              <w:rPr>
                <w:rFonts w:asciiTheme="majorHAnsi" w:hAnsiTheme="majorHAnsi" w:cstheme="majorHAnsi"/>
              </w:rPr>
            </w:pPr>
            <w:r>
              <w:rPr>
                <w:rFonts w:asciiTheme="majorHAnsi" w:hAnsiTheme="majorHAnsi" w:cstheme="majorHAnsi"/>
              </w:rPr>
              <w:t>0.053 (0.043–0.063)</w:t>
            </w:r>
          </w:p>
        </w:tc>
        <w:tc>
          <w:tcPr>
            <w:tcW w:w="803" w:type="dxa"/>
            <w:tcMar>
              <w:top w:w="100" w:type="dxa"/>
              <w:left w:w="100" w:type="dxa"/>
              <w:bottom w:w="100" w:type="dxa"/>
              <w:right w:w="100" w:type="dxa"/>
            </w:tcMar>
          </w:tcPr>
          <w:p w14:paraId="70407CEB" w14:textId="77777777" w:rsidR="00B57E9E" w:rsidRPr="00B41E6F" w:rsidRDefault="00000000">
            <w:pPr>
              <w:rPr>
                <w:rFonts w:asciiTheme="majorHAnsi" w:hAnsiTheme="majorHAnsi" w:cstheme="majorHAnsi"/>
              </w:rPr>
            </w:pPr>
            <w:r>
              <w:rPr>
                <w:rFonts w:asciiTheme="majorHAnsi" w:hAnsiTheme="majorHAnsi" w:cstheme="majorHAnsi"/>
              </w:rPr>
              <w:t>0.065</w:t>
            </w:r>
          </w:p>
        </w:tc>
      </w:tr>
    </w:tbl>
    <w:p w14:paraId="6260A52E" w14:textId="33D9086E" w:rsidR="00B57E9E" w:rsidRPr="00B41E6F" w:rsidRDefault="00000000">
      <w:pPr>
        <w:spacing w:before="240" w:after="240"/>
        <w:rPr>
          <w:rFonts w:asciiTheme="majorHAnsi" w:hAnsiTheme="majorHAnsi" w:cstheme="majorHAnsi"/>
        </w:rPr>
      </w:pPr>
      <w:r>
        <w:rPr>
          <w:rFonts w:asciiTheme="majorHAnsi" w:hAnsiTheme="majorHAnsi" w:cstheme="majorHAnsi"/>
          <w:i/>
          <w:iCs/>
          <w:lang w:val="es-ES"/>
        </w:rPr>
        <w:t>Note.</w:t>
      </w:r>
      <w:r>
        <w:rPr>
          <w:rFonts w:asciiTheme="majorHAnsi" w:hAnsiTheme="majorHAnsi" w:cstheme="majorHAnsi"/>
          <w:lang w:val="es-ES"/>
        </w:rPr>
        <w:t xml:space="preserve"> </w:t>
      </w:r>
      <w:r>
        <w:t>AF, Affection; CR, composite reliability; AVE, average variance extracted; CI, confidence interval. Item 19 was reverse-scored before both analyses.</w:t>
      </w:r>
    </w:p>
    <w:p w14:paraId="69835E53" w14:textId="77777777" w:rsidR="00B41E6F" w:rsidRDefault="00B41E6F" w:rsidP="01225F98">
      <w:pPr>
        <w:spacing w:before="240" w:after="240"/>
        <w:rPr>
          <w:rFonts w:asciiTheme="majorHAnsi" w:hAnsiTheme="majorHAnsi" w:cstheme="majorHAnsi"/>
          <w:b/>
          <w:bCs/>
          <w:lang w:val="es-ES"/>
        </w:rPr>
      </w:pPr>
    </w:p>
    <w:p w14:paraId="2B2AB04B" w14:textId="77777777" w:rsidR="00B41E6F" w:rsidRDefault="00B41E6F" w:rsidP="01225F98">
      <w:pPr>
        <w:spacing w:before="240" w:after="240"/>
        <w:rPr>
          <w:rFonts w:asciiTheme="majorHAnsi" w:hAnsiTheme="majorHAnsi" w:cstheme="majorHAnsi"/>
          <w:b/>
          <w:bCs/>
          <w:lang w:val="es-ES"/>
        </w:rPr>
      </w:pPr>
    </w:p>
    <w:p w14:paraId="30ADBDCA" w14:textId="39A122DD" w:rsidR="00B57E9E" w:rsidRPr="00B41E6F" w:rsidRDefault="00000000" w:rsidP="01225F98">
      <w:pPr>
        <w:spacing w:before="240" w:after="240"/>
        <w:rPr>
          <w:rFonts w:asciiTheme="majorHAnsi" w:hAnsiTheme="majorHAnsi" w:cstheme="majorHAnsi"/>
          <w:b/>
          <w:bCs/>
          <w:lang w:val="es-ES"/>
        </w:rPr>
      </w:pPr>
      <w:r>
        <w:rPr>
          <w:rFonts w:asciiTheme="majorHAnsi" w:hAnsiTheme="majorHAnsi" w:cstheme="majorHAnsi"/>
          <w:b/>
          <w:bCs/>
          <w:lang w:val="es-ES"/>
        </w:rPr>
        <w:t>Supplementary Table S3. Structural stability of HUMAS-E across educational stages</w:t>
      </w:r>
    </w:p>
    <w:tbl>
      <w:tblPr>
        <w:tblStyle w:val="a4"/>
        <w:tblW w:w="63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00"/>
        <w:gridCol w:w="2195"/>
        <w:gridCol w:w="2195"/>
      </w:tblGrid>
      <w:tr w:rsidR="00B57E9E" w:rsidRPr="00B41E6F" w14:paraId="1B4233EC" w14:textId="77777777" w:rsidTr="00B41E6F">
        <w:trPr>
          <w:trHeight w:val="500"/>
        </w:trPr>
        <w:tc>
          <w:tcPr>
            <w:tcW w:w="2000" w:type="dxa"/>
            <w:tcMar>
              <w:top w:w="100" w:type="dxa"/>
              <w:left w:w="100" w:type="dxa"/>
              <w:bottom w:w="100" w:type="dxa"/>
              <w:right w:w="100" w:type="dxa"/>
            </w:tcMar>
          </w:tcPr>
          <w:p w14:paraId="1456AD53"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Fit index</w:t>
            </w:r>
          </w:p>
        </w:tc>
        <w:tc>
          <w:tcPr>
            <w:tcW w:w="2195" w:type="dxa"/>
            <w:tcMar>
              <w:top w:w="100" w:type="dxa"/>
              <w:left w:w="100" w:type="dxa"/>
              <w:bottom w:w="100" w:type="dxa"/>
              <w:right w:w="100" w:type="dxa"/>
            </w:tcMar>
          </w:tcPr>
          <w:p w14:paraId="5C4412CE"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Initial years</w:t>
            </w:r>
          </w:p>
        </w:tc>
        <w:tc>
          <w:tcPr>
            <w:tcW w:w="2195" w:type="dxa"/>
            <w:tcMar>
              <w:top w:w="100" w:type="dxa"/>
              <w:left w:w="100" w:type="dxa"/>
              <w:bottom w:w="100" w:type="dxa"/>
              <w:right w:w="100" w:type="dxa"/>
            </w:tcMar>
          </w:tcPr>
          <w:p w14:paraId="3A9257E1"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Advanced years</w:t>
            </w:r>
          </w:p>
        </w:tc>
      </w:tr>
      <w:tr w:rsidR="00B57E9E" w:rsidRPr="00B41E6F" w14:paraId="475CB1B0" w14:textId="77777777" w:rsidTr="00B41E6F">
        <w:trPr>
          <w:trHeight w:val="500"/>
        </w:trPr>
        <w:tc>
          <w:tcPr>
            <w:tcW w:w="2000" w:type="dxa"/>
            <w:tcMar>
              <w:top w:w="100" w:type="dxa"/>
              <w:left w:w="100" w:type="dxa"/>
              <w:bottom w:w="100" w:type="dxa"/>
              <w:right w:w="100" w:type="dxa"/>
            </w:tcMar>
          </w:tcPr>
          <w:p w14:paraId="55CEAEC3" w14:textId="77777777" w:rsidR="00B57E9E" w:rsidRPr="00B41E6F" w:rsidRDefault="00000000">
            <w:pPr>
              <w:rPr>
                <w:rFonts w:asciiTheme="majorHAnsi" w:hAnsiTheme="majorHAnsi" w:cstheme="majorHAnsi"/>
              </w:rPr>
            </w:pPr>
            <w:r>
              <w:rPr>
                <w:rFonts w:asciiTheme="majorHAnsi" w:hAnsiTheme="majorHAnsi" w:cstheme="majorHAnsi"/>
              </w:rPr>
              <w:t>n</w:t>
            </w:r>
          </w:p>
        </w:tc>
        <w:tc>
          <w:tcPr>
            <w:tcW w:w="2195" w:type="dxa"/>
            <w:tcMar>
              <w:top w:w="100" w:type="dxa"/>
              <w:left w:w="100" w:type="dxa"/>
              <w:bottom w:w="100" w:type="dxa"/>
              <w:right w:w="100" w:type="dxa"/>
            </w:tcMar>
          </w:tcPr>
          <w:p w14:paraId="75135A5C" w14:textId="77777777" w:rsidR="00B57E9E" w:rsidRPr="00B41E6F" w:rsidRDefault="00000000">
            <w:pPr>
              <w:rPr>
                <w:rFonts w:asciiTheme="majorHAnsi" w:hAnsiTheme="majorHAnsi" w:cstheme="majorHAnsi"/>
              </w:rPr>
            </w:pPr>
            <w:r>
              <w:rPr>
                <w:rFonts w:asciiTheme="majorHAnsi" w:hAnsiTheme="majorHAnsi" w:cstheme="majorHAnsi"/>
              </w:rPr>
              <w:t>103</w:t>
            </w:r>
          </w:p>
        </w:tc>
        <w:tc>
          <w:tcPr>
            <w:tcW w:w="2195" w:type="dxa"/>
            <w:tcMar>
              <w:top w:w="100" w:type="dxa"/>
              <w:left w:w="100" w:type="dxa"/>
              <w:bottom w:w="100" w:type="dxa"/>
              <w:right w:w="100" w:type="dxa"/>
            </w:tcMar>
          </w:tcPr>
          <w:p w14:paraId="027E6E5E" w14:textId="77777777" w:rsidR="00B57E9E" w:rsidRPr="00B41E6F" w:rsidRDefault="00000000">
            <w:pPr>
              <w:rPr>
                <w:rFonts w:asciiTheme="majorHAnsi" w:hAnsiTheme="majorHAnsi" w:cstheme="majorHAnsi"/>
              </w:rPr>
            </w:pPr>
            <w:r>
              <w:rPr>
                <w:rFonts w:asciiTheme="majorHAnsi" w:hAnsiTheme="majorHAnsi" w:cstheme="majorHAnsi"/>
              </w:rPr>
              <w:t>241</w:t>
            </w:r>
          </w:p>
        </w:tc>
      </w:tr>
      <w:tr w:rsidR="00B57E9E" w:rsidRPr="00B41E6F" w14:paraId="65BAA21F" w14:textId="77777777" w:rsidTr="00B41E6F">
        <w:trPr>
          <w:trHeight w:val="500"/>
        </w:trPr>
        <w:tc>
          <w:tcPr>
            <w:tcW w:w="2000" w:type="dxa"/>
            <w:tcMar>
              <w:top w:w="100" w:type="dxa"/>
              <w:left w:w="100" w:type="dxa"/>
              <w:bottom w:w="100" w:type="dxa"/>
              <w:right w:w="100" w:type="dxa"/>
            </w:tcMar>
          </w:tcPr>
          <w:p w14:paraId="4A1986DA" w14:textId="77777777" w:rsidR="00B57E9E" w:rsidRPr="00B41E6F" w:rsidRDefault="00000000">
            <w:pPr>
              <w:rPr>
                <w:rFonts w:asciiTheme="majorHAnsi" w:hAnsiTheme="majorHAnsi" w:cstheme="majorHAnsi"/>
              </w:rPr>
            </w:pPr>
            <w:r>
              <w:rPr>
                <w:rFonts w:asciiTheme="majorHAnsi" w:hAnsiTheme="majorHAnsi" w:cstheme="majorHAnsi"/>
                <w:lang w:val="es-ES"/>
              </w:rPr>
              <w:t>χ² (df)</w:t>
            </w:r>
          </w:p>
        </w:tc>
        <w:tc>
          <w:tcPr>
            <w:tcW w:w="2195" w:type="dxa"/>
            <w:tcMar>
              <w:top w:w="100" w:type="dxa"/>
              <w:left w:w="100" w:type="dxa"/>
              <w:bottom w:w="100" w:type="dxa"/>
              <w:right w:w="100" w:type="dxa"/>
            </w:tcMar>
          </w:tcPr>
          <w:p w14:paraId="505748D6" w14:textId="77777777" w:rsidR="00B57E9E" w:rsidRPr="00B41E6F" w:rsidRDefault="00000000">
            <w:pPr>
              <w:rPr>
                <w:rFonts w:asciiTheme="majorHAnsi" w:hAnsiTheme="majorHAnsi" w:cstheme="majorHAnsi"/>
              </w:rPr>
            </w:pPr>
            <w:r>
              <w:rPr>
                <w:rFonts w:asciiTheme="majorHAnsi" w:hAnsiTheme="majorHAnsi" w:cstheme="majorHAnsi"/>
              </w:rPr>
              <w:t>198.35 (142)</w:t>
            </w:r>
          </w:p>
        </w:tc>
        <w:tc>
          <w:tcPr>
            <w:tcW w:w="2195" w:type="dxa"/>
            <w:tcMar>
              <w:top w:w="100" w:type="dxa"/>
              <w:left w:w="100" w:type="dxa"/>
              <w:bottom w:w="100" w:type="dxa"/>
              <w:right w:w="100" w:type="dxa"/>
            </w:tcMar>
          </w:tcPr>
          <w:p w14:paraId="3F922C4F" w14:textId="77777777" w:rsidR="00B57E9E" w:rsidRPr="00B41E6F" w:rsidRDefault="00000000">
            <w:pPr>
              <w:rPr>
                <w:rFonts w:asciiTheme="majorHAnsi" w:hAnsiTheme="majorHAnsi" w:cstheme="majorHAnsi"/>
              </w:rPr>
            </w:pPr>
            <w:r>
              <w:rPr>
                <w:rFonts w:asciiTheme="majorHAnsi" w:hAnsiTheme="majorHAnsi" w:cstheme="majorHAnsi"/>
              </w:rPr>
              <w:t>216.11 (142)</w:t>
            </w:r>
          </w:p>
        </w:tc>
      </w:tr>
      <w:tr w:rsidR="00B57E9E" w:rsidRPr="00B41E6F" w14:paraId="7611C112" w14:textId="77777777" w:rsidTr="00B41E6F">
        <w:trPr>
          <w:trHeight w:val="500"/>
        </w:trPr>
        <w:tc>
          <w:tcPr>
            <w:tcW w:w="2000" w:type="dxa"/>
            <w:tcMar>
              <w:top w:w="100" w:type="dxa"/>
              <w:left w:w="100" w:type="dxa"/>
              <w:bottom w:w="100" w:type="dxa"/>
              <w:right w:w="100" w:type="dxa"/>
            </w:tcMar>
          </w:tcPr>
          <w:p w14:paraId="43EA6DC8" w14:textId="77777777" w:rsidR="00B57E9E" w:rsidRPr="00B41E6F" w:rsidRDefault="00000000">
            <w:pPr>
              <w:rPr>
                <w:rFonts w:asciiTheme="majorHAnsi" w:hAnsiTheme="majorHAnsi" w:cstheme="majorHAnsi"/>
              </w:rPr>
            </w:pPr>
            <w:r>
              <w:rPr>
                <w:rFonts w:asciiTheme="majorHAnsi" w:hAnsiTheme="majorHAnsi" w:cstheme="majorHAnsi"/>
              </w:rPr>
              <w:lastRenderedPageBreak/>
              <w:t>CFI</w:t>
            </w:r>
          </w:p>
        </w:tc>
        <w:tc>
          <w:tcPr>
            <w:tcW w:w="2195" w:type="dxa"/>
            <w:tcMar>
              <w:top w:w="100" w:type="dxa"/>
              <w:left w:w="100" w:type="dxa"/>
              <w:bottom w:w="100" w:type="dxa"/>
              <w:right w:w="100" w:type="dxa"/>
            </w:tcMar>
          </w:tcPr>
          <w:p w14:paraId="1382686D" w14:textId="77777777" w:rsidR="00B57E9E" w:rsidRPr="00B41E6F" w:rsidRDefault="00000000">
            <w:pPr>
              <w:rPr>
                <w:rFonts w:asciiTheme="majorHAnsi" w:hAnsiTheme="majorHAnsi" w:cstheme="majorHAnsi"/>
              </w:rPr>
            </w:pPr>
            <w:r>
              <w:rPr>
                <w:rFonts w:asciiTheme="majorHAnsi" w:hAnsiTheme="majorHAnsi" w:cstheme="majorHAnsi"/>
              </w:rPr>
              <w:t>0.974</w:t>
            </w:r>
          </w:p>
        </w:tc>
        <w:tc>
          <w:tcPr>
            <w:tcW w:w="2195" w:type="dxa"/>
            <w:tcMar>
              <w:top w:w="100" w:type="dxa"/>
              <w:left w:w="100" w:type="dxa"/>
              <w:bottom w:w="100" w:type="dxa"/>
              <w:right w:w="100" w:type="dxa"/>
            </w:tcMar>
          </w:tcPr>
          <w:p w14:paraId="0CECDE1D" w14:textId="77777777" w:rsidR="00B57E9E" w:rsidRPr="00B41E6F" w:rsidRDefault="00000000">
            <w:pPr>
              <w:rPr>
                <w:rFonts w:asciiTheme="majorHAnsi" w:hAnsiTheme="majorHAnsi" w:cstheme="majorHAnsi"/>
              </w:rPr>
            </w:pPr>
            <w:r>
              <w:rPr>
                <w:rFonts w:asciiTheme="majorHAnsi" w:hAnsiTheme="majorHAnsi" w:cstheme="majorHAnsi"/>
              </w:rPr>
              <w:t>0.993</w:t>
            </w:r>
          </w:p>
        </w:tc>
      </w:tr>
      <w:tr w:rsidR="00B57E9E" w:rsidRPr="00B41E6F" w14:paraId="4FD55B35" w14:textId="77777777" w:rsidTr="00B41E6F">
        <w:trPr>
          <w:trHeight w:val="500"/>
        </w:trPr>
        <w:tc>
          <w:tcPr>
            <w:tcW w:w="2000" w:type="dxa"/>
            <w:tcMar>
              <w:top w:w="100" w:type="dxa"/>
              <w:left w:w="100" w:type="dxa"/>
              <w:bottom w:w="100" w:type="dxa"/>
              <w:right w:w="100" w:type="dxa"/>
            </w:tcMar>
          </w:tcPr>
          <w:p w14:paraId="2228B4C5" w14:textId="77777777" w:rsidR="00B57E9E" w:rsidRPr="00B41E6F" w:rsidRDefault="00000000">
            <w:pPr>
              <w:rPr>
                <w:rFonts w:asciiTheme="majorHAnsi" w:hAnsiTheme="majorHAnsi" w:cstheme="majorHAnsi"/>
              </w:rPr>
            </w:pPr>
            <w:r>
              <w:rPr>
                <w:rFonts w:asciiTheme="majorHAnsi" w:hAnsiTheme="majorHAnsi" w:cstheme="majorHAnsi"/>
              </w:rPr>
              <w:t>TLI</w:t>
            </w:r>
          </w:p>
        </w:tc>
        <w:tc>
          <w:tcPr>
            <w:tcW w:w="2195" w:type="dxa"/>
            <w:tcMar>
              <w:top w:w="100" w:type="dxa"/>
              <w:left w:w="100" w:type="dxa"/>
              <w:bottom w:w="100" w:type="dxa"/>
              <w:right w:w="100" w:type="dxa"/>
            </w:tcMar>
          </w:tcPr>
          <w:p w14:paraId="0EABAC55" w14:textId="77777777" w:rsidR="00B57E9E" w:rsidRPr="00B41E6F" w:rsidRDefault="00000000">
            <w:pPr>
              <w:rPr>
                <w:rFonts w:asciiTheme="majorHAnsi" w:hAnsiTheme="majorHAnsi" w:cstheme="majorHAnsi"/>
              </w:rPr>
            </w:pPr>
            <w:r>
              <w:rPr>
                <w:rFonts w:asciiTheme="majorHAnsi" w:hAnsiTheme="majorHAnsi" w:cstheme="majorHAnsi"/>
              </w:rPr>
              <w:t>0.968</w:t>
            </w:r>
          </w:p>
        </w:tc>
        <w:tc>
          <w:tcPr>
            <w:tcW w:w="2195" w:type="dxa"/>
            <w:tcMar>
              <w:top w:w="100" w:type="dxa"/>
              <w:left w:w="100" w:type="dxa"/>
              <w:bottom w:w="100" w:type="dxa"/>
              <w:right w:w="100" w:type="dxa"/>
            </w:tcMar>
          </w:tcPr>
          <w:p w14:paraId="6AFEE648" w14:textId="77777777" w:rsidR="00B57E9E" w:rsidRPr="00B41E6F" w:rsidRDefault="00000000">
            <w:pPr>
              <w:rPr>
                <w:rFonts w:asciiTheme="majorHAnsi" w:hAnsiTheme="majorHAnsi" w:cstheme="majorHAnsi"/>
              </w:rPr>
            </w:pPr>
            <w:r>
              <w:rPr>
                <w:rFonts w:asciiTheme="majorHAnsi" w:hAnsiTheme="majorHAnsi" w:cstheme="majorHAnsi"/>
              </w:rPr>
              <w:t>0.992</w:t>
            </w:r>
          </w:p>
        </w:tc>
      </w:tr>
      <w:tr w:rsidR="00B57E9E" w:rsidRPr="00B41E6F" w14:paraId="7CBABE07" w14:textId="77777777" w:rsidTr="00B41E6F">
        <w:trPr>
          <w:trHeight w:val="500"/>
        </w:trPr>
        <w:tc>
          <w:tcPr>
            <w:tcW w:w="2000" w:type="dxa"/>
            <w:tcMar>
              <w:top w:w="100" w:type="dxa"/>
              <w:left w:w="100" w:type="dxa"/>
              <w:bottom w:w="100" w:type="dxa"/>
              <w:right w:w="100" w:type="dxa"/>
            </w:tcMar>
          </w:tcPr>
          <w:p w14:paraId="4718CE41" w14:textId="77777777" w:rsidR="00B57E9E" w:rsidRPr="00B41E6F" w:rsidRDefault="00000000">
            <w:pPr>
              <w:rPr>
                <w:rFonts w:asciiTheme="majorHAnsi" w:hAnsiTheme="majorHAnsi" w:cstheme="majorHAnsi"/>
              </w:rPr>
            </w:pPr>
            <w:r>
              <w:rPr>
                <w:rFonts w:asciiTheme="majorHAnsi" w:hAnsiTheme="majorHAnsi" w:cstheme="majorHAnsi"/>
              </w:rPr>
              <w:t>RMSEA (90% CI)</w:t>
            </w:r>
          </w:p>
        </w:tc>
        <w:tc>
          <w:tcPr>
            <w:tcW w:w="2195" w:type="dxa"/>
            <w:tcMar>
              <w:top w:w="100" w:type="dxa"/>
              <w:left w:w="100" w:type="dxa"/>
              <w:bottom w:w="100" w:type="dxa"/>
              <w:right w:w="100" w:type="dxa"/>
            </w:tcMar>
          </w:tcPr>
          <w:p w14:paraId="1DAD70D4" w14:textId="7867BA56" w:rsidR="00B57E9E" w:rsidRPr="00B41E6F" w:rsidRDefault="00000000">
            <w:pPr>
              <w:rPr>
                <w:rFonts w:asciiTheme="majorHAnsi" w:hAnsiTheme="majorHAnsi" w:cstheme="majorHAnsi"/>
              </w:rPr>
            </w:pPr>
            <w:r>
              <w:rPr>
                <w:rFonts w:asciiTheme="majorHAnsi" w:hAnsiTheme="majorHAnsi" w:cstheme="majorHAnsi"/>
              </w:rPr>
              <w:t>0.062 (0.040-0.082)</w:t>
            </w:r>
          </w:p>
        </w:tc>
        <w:tc>
          <w:tcPr>
            <w:tcW w:w="2195" w:type="dxa"/>
            <w:tcMar>
              <w:top w:w="100" w:type="dxa"/>
              <w:left w:w="100" w:type="dxa"/>
              <w:bottom w:w="100" w:type="dxa"/>
              <w:right w:w="100" w:type="dxa"/>
            </w:tcMar>
          </w:tcPr>
          <w:p w14:paraId="21CE26FF" w14:textId="373AB76A" w:rsidR="00B57E9E" w:rsidRPr="00B41E6F" w:rsidRDefault="00000000">
            <w:pPr>
              <w:rPr>
                <w:rFonts w:asciiTheme="majorHAnsi" w:hAnsiTheme="majorHAnsi" w:cstheme="majorHAnsi"/>
              </w:rPr>
            </w:pPr>
            <w:r>
              <w:rPr>
                <w:rFonts w:asciiTheme="majorHAnsi" w:hAnsiTheme="majorHAnsi" w:cstheme="majorHAnsi"/>
              </w:rPr>
              <w:t>0.047 (0.034-0.059)</w:t>
            </w:r>
          </w:p>
        </w:tc>
      </w:tr>
      <w:tr w:rsidR="00B57E9E" w:rsidRPr="00B41E6F" w14:paraId="58E1296A" w14:textId="77777777" w:rsidTr="00B41E6F">
        <w:trPr>
          <w:trHeight w:val="500"/>
        </w:trPr>
        <w:tc>
          <w:tcPr>
            <w:tcW w:w="2000" w:type="dxa"/>
            <w:tcMar>
              <w:top w:w="100" w:type="dxa"/>
              <w:left w:w="100" w:type="dxa"/>
              <w:bottom w:w="100" w:type="dxa"/>
              <w:right w:w="100" w:type="dxa"/>
            </w:tcMar>
          </w:tcPr>
          <w:p w14:paraId="231917FE" w14:textId="77777777" w:rsidR="00B57E9E" w:rsidRPr="00B41E6F" w:rsidRDefault="00000000">
            <w:pPr>
              <w:rPr>
                <w:rFonts w:asciiTheme="majorHAnsi" w:hAnsiTheme="majorHAnsi" w:cstheme="majorHAnsi"/>
              </w:rPr>
            </w:pPr>
            <w:r>
              <w:rPr>
                <w:rFonts w:asciiTheme="majorHAnsi" w:hAnsiTheme="majorHAnsi" w:cstheme="majorHAnsi"/>
              </w:rPr>
              <w:t>SRMR</w:t>
            </w:r>
          </w:p>
        </w:tc>
        <w:tc>
          <w:tcPr>
            <w:tcW w:w="2195" w:type="dxa"/>
            <w:tcMar>
              <w:top w:w="100" w:type="dxa"/>
              <w:left w:w="100" w:type="dxa"/>
              <w:bottom w:w="100" w:type="dxa"/>
              <w:right w:w="100" w:type="dxa"/>
            </w:tcMar>
          </w:tcPr>
          <w:p w14:paraId="14BA3215" w14:textId="77777777" w:rsidR="00B57E9E" w:rsidRPr="00B41E6F" w:rsidRDefault="00000000">
            <w:pPr>
              <w:rPr>
                <w:rFonts w:asciiTheme="majorHAnsi" w:hAnsiTheme="majorHAnsi" w:cstheme="majorHAnsi"/>
              </w:rPr>
            </w:pPr>
            <w:r>
              <w:rPr>
                <w:rFonts w:asciiTheme="majorHAnsi" w:hAnsiTheme="majorHAnsi" w:cstheme="majorHAnsi"/>
              </w:rPr>
              <w:t>0.094</w:t>
            </w:r>
          </w:p>
        </w:tc>
        <w:tc>
          <w:tcPr>
            <w:tcW w:w="2195" w:type="dxa"/>
            <w:tcMar>
              <w:top w:w="100" w:type="dxa"/>
              <w:left w:w="100" w:type="dxa"/>
              <w:bottom w:w="100" w:type="dxa"/>
              <w:right w:w="100" w:type="dxa"/>
            </w:tcMar>
          </w:tcPr>
          <w:p w14:paraId="46201C0E" w14:textId="77777777" w:rsidR="00B57E9E" w:rsidRPr="00B41E6F" w:rsidRDefault="00000000">
            <w:pPr>
              <w:rPr>
                <w:rFonts w:asciiTheme="majorHAnsi" w:hAnsiTheme="majorHAnsi" w:cstheme="majorHAnsi"/>
              </w:rPr>
            </w:pPr>
            <w:r>
              <w:rPr>
                <w:rFonts w:asciiTheme="majorHAnsi" w:hAnsiTheme="majorHAnsi" w:cstheme="majorHAnsi"/>
              </w:rPr>
              <w:t>0.068</w:t>
            </w:r>
          </w:p>
        </w:tc>
      </w:tr>
    </w:tbl>
    <w:p w14:paraId="50FEA9AA" w14:textId="77777777" w:rsidR="00B57E9E" w:rsidRPr="00B41E6F" w:rsidRDefault="00B57E9E">
      <w:pPr>
        <w:rPr>
          <w:rFonts w:asciiTheme="majorHAnsi" w:hAnsiTheme="majorHAnsi" w:cstheme="majorHAnsi"/>
        </w:rPr>
      </w:pPr>
    </w:p>
    <w:tbl>
      <w:tblPr>
        <w:tblStyle w:val="a5"/>
        <w:tblW w:w="90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96"/>
        <w:gridCol w:w="1845"/>
        <w:gridCol w:w="2885"/>
        <w:gridCol w:w="1999"/>
      </w:tblGrid>
      <w:tr w:rsidR="00B57E9E" w:rsidRPr="00B41E6F" w14:paraId="7F69B303" w14:textId="77777777" w:rsidTr="00B41E6F">
        <w:trPr>
          <w:trHeight w:val="785"/>
        </w:trPr>
        <w:tc>
          <w:tcPr>
            <w:tcW w:w="2295" w:type="dxa"/>
            <w:tcMar>
              <w:top w:w="100" w:type="dxa"/>
              <w:left w:w="100" w:type="dxa"/>
              <w:bottom w:w="100" w:type="dxa"/>
              <w:right w:w="100" w:type="dxa"/>
            </w:tcMar>
          </w:tcPr>
          <w:p w14:paraId="54BFB6A6"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Dimension</w:t>
            </w:r>
          </w:p>
        </w:tc>
        <w:tc>
          <w:tcPr>
            <w:tcW w:w="1845" w:type="dxa"/>
            <w:tcMar>
              <w:top w:w="100" w:type="dxa"/>
              <w:left w:w="100" w:type="dxa"/>
              <w:bottom w:w="100" w:type="dxa"/>
              <w:right w:w="100" w:type="dxa"/>
            </w:tcMar>
          </w:tcPr>
          <w:p w14:paraId="59CEDA9D"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Factor congruence</w:t>
            </w:r>
          </w:p>
        </w:tc>
        <w:tc>
          <w:tcPr>
            <w:tcW w:w="2885" w:type="dxa"/>
            <w:tcMar>
              <w:top w:w="100" w:type="dxa"/>
              <w:left w:w="100" w:type="dxa"/>
              <w:bottom w:w="100" w:type="dxa"/>
              <w:right w:w="100" w:type="dxa"/>
            </w:tcMar>
          </w:tcPr>
          <w:p w14:paraId="6FA5B0D8"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Mean absolute loading difference</w:t>
            </w:r>
          </w:p>
        </w:tc>
        <w:tc>
          <w:tcPr>
            <w:tcW w:w="1999" w:type="dxa"/>
            <w:tcMar>
              <w:top w:w="100" w:type="dxa"/>
              <w:left w:w="100" w:type="dxa"/>
              <w:bottom w:w="100" w:type="dxa"/>
              <w:right w:w="100" w:type="dxa"/>
            </w:tcMar>
          </w:tcPr>
          <w:p w14:paraId="427E3951" w14:textId="77777777" w:rsidR="00B57E9E" w:rsidRPr="00B41E6F" w:rsidRDefault="00000000">
            <w:pPr>
              <w:jc w:val="center"/>
              <w:rPr>
                <w:rFonts w:asciiTheme="majorHAnsi" w:hAnsiTheme="majorHAnsi" w:cstheme="majorHAnsi"/>
              </w:rPr>
            </w:pPr>
            <w:r>
              <w:rPr>
                <w:rFonts w:asciiTheme="majorHAnsi" w:hAnsiTheme="majorHAnsi" w:cstheme="majorHAnsi"/>
                <w:b/>
                <w:bCs/>
                <w:lang w:val="es-ES"/>
              </w:rPr>
              <w:t>Maximum difference</w:t>
            </w:r>
          </w:p>
        </w:tc>
      </w:tr>
      <w:tr w:rsidR="00B57E9E" w:rsidRPr="00B41E6F" w14:paraId="33568B06" w14:textId="77777777" w:rsidTr="00B41E6F">
        <w:trPr>
          <w:trHeight w:val="500"/>
        </w:trPr>
        <w:tc>
          <w:tcPr>
            <w:tcW w:w="2295" w:type="dxa"/>
            <w:tcMar>
              <w:top w:w="100" w:type="dxa"/>
              <w:left w:w="100" w:type="dxa"/>
              <w:bottom w:w="100" w:type="dxa"/>
              <w:right w:w="100" w:type="dxa"/>
            </w:tcMar>
          </w:tcPr>
          <w:p w14:paraId="15056B16" w14:textId="77777777" w:rsidR="00B57E9E" w:rsidRPr="00B41E6F" w:rsidRDefault="00000000">
            <w:pPr>
              <w:rPr>
                <w:rFonts w:asciiTheme="majorHAnsi" w:hAnsiTheme="majorHAnsi" w:cstheme="majorHAnsi"/>
              </w:rPr>
            </w:pPr>
            <w:r>
              <w:rPr>
                <w:rFonts w:asciiTheme="majorHAnsi" w:hAnsiTheme="majorHAnsi" w:cstheme="majorHAnsi"/>
                <w:lang w:val="es-ES"/>
              </w:rPr>
              <w:t>Optimistic Disposition</w:t>
            </w:r>
          </w:p>
        </w:tc>
        <w:tc>
          <w:tcPr>
            <w:tcW w:w="1845" w:type="dxa"/>
            <w:tcMar>
              <w:top w:w="100" w:type="dxa"/>
              <w:left w:w="100" w:type="dxa"/>
              <w:bottom w:w="100" w:type="dxa"/>
              <w:right w:w="100" w:type="dxa"/>
            </w:tcMar>
          </w:tcPr>
          <w:p w14:paraId="0BE9DB2D" w14:textId="77777777" w:rsidR="00B57E9E" w:rsidRPr="00B41E6F" w:rsidRDefault="00000000">
            <w:pPr>
              <w:rPr>
                <w:rFonts w:asciiTheme="majorHAnsi" w:hAnsiTheme="majorHAnsi" w:cstheme="majorHAnsi"/>
              </w:rPr>
            </w:pPr>
            <w:r>
              <w:rPr>
                <w:rFonts w:asciiTheme="majorHAnsi" w:hAnsiTheme="majorHAnsi" w:cstheme="majorHAnsi"/>
              </w:rPr>
              <w:t>0.997</w:t>
            </w:r>
          </w:p>
        </w:tc>
        <w:tc>
          <w:tcPr>
            <w:tcW w:w="2885" w:type="dxa"/>
            <w:tcMar>
              <w:top w:w="100" w:type="dxa"/>
              <w:left w:w="100" w:type="dxa"/>
              <w:bottom w:w="100" w:type="dxa"/>
              <w:right w:w="100" w:type="dxa"/>
            </w:tcMar>
          </w:tcPr>
          <w:p w14:paraId="2589F8F5" w14:textId="77777777" w:rsidR="00B57E9E" w:rsidRPr="00B41E6F" w:rsidRDefault="00000000">
            <w:pPr>
              <w:rPr>
                <w:rFonts w:asciiTheme="majorHAnsi" w:hAnsiTheme="majorHAnsi" w:cstheme="majorHAnsi"/>
              </w:rPr>
            </w:pPr>
            <w:r>
              <w:rPr>
                <w:rFonts w:asciiTheme="majorHAnsi" w:hAnsiTheme="majorHAnsi" w:cstheme="majorHAnsi"/>
              </w:rPr>
              <w:t>0.130</w:t>
            </w:r>
          </w:p>
        </w:tc>
        <w:tc>
          <w:tcPr>
            <w:tcW w:w="1999" w:type="dxa"/>
            <w:tcMar>
              <w:top w:w="100" w:type="dxa"/>
              <w:left w:w="100" w:type="dxa"/>
              <w:bottom w:w="100" w:type="dxa"/>
              <w:right w:w="100" w:type="dxa"/>
            </w:tcMar>
          </w:tcPr>
          <w:p w14:paraId="39209DE7" w14:textId="77777777" w:rsidR="00B57E9E" w:rsidRPr="00B41E6F" w:rsidRDefault="00000000">
            <w:pPr>
              <w:rPr>
                <w:rFonts w:asciiTheme="majorHAnsi" w:hAnsiTheme="majorHAnsi" w:cstheme="majorHAnsi"/>
              </w:rPr>
            </w:pPr>
            <w:r>
              <w:rPr>
                <w:rFonts w:asciiTheme="majorHAnsi" w:hAnsiTheme="majorHAnsi" w:cstheme="majorHAnsi"/>
              </w:rPr>
              <w:t>0.204</w:t>
            </w:r>
          </w:p>
        </w:tc>
      </w:tr>
      <w:tr w:rsidR="00B57E9E" w:rsidRPr="00B41E6F" w14:paraId="6F956EC9" w14:textId="77777777" w:rsidTr="00B41E6F">
        <w:trPr>
          <w:trHeight w:val="500"/>
        </w:trPr>
        <w:tc>
          <w:tcPr>
            <w:tcW w:w="2295" w:type="dxa"/>
            <w:tcMar>
              <w:top w:w="100" w:type="dxa"/>
              <w:left w:w="100" w:type="dxa"/>
              <w:bottom w:w="100" w:type="dxa"/>
              <w:right w:w="100" w:type="dxa"/>
            </w:tcMar>
          </w:tcPr>
          <w:p w14:paraId="1A20326F" w14:textId="77777777" w:rsidR="00B57E9E" w:rsidRPr="00B41E6F" w:rsidRDefault="00000000">
            <w:pPr>
              <w:rPr>
                <w:rFonts w:asciiTheme="majorHAnsi" w:hAnsiTheme="majorHAnsi" w:cstheme="majorHAnsi"/>
              </w:rPr>
            </w:pPr>
            <w:r>
              <w:rPr>
                <w:rFonts w:asciiTheme="majorHAnsi" w:hAnsiTheme="majorHAnsi" w:cstheme="majorHAnsi"/>
                <w:lang w:val="es-ES"/>
              </w:rPr>
              <w:t>Sociability</w:t>
            </w:r>
          </w:p>
        </w:tc>
        <w:tc>
          <w:tcPr>
            <w:tcW w:w="1845" w:type="dxa"/>
            <w:tcMar>
              <w:top w:w="100" w:type="dxa"/>
              <w:left w:w="100" w:type="dxa"/>
              <w:bottom w:w="100" w:type="dxa"/>
              <w:right w:w="100" w:type="dxa"/>
            </w:tcMar>
          </w:tcPr>
          <w:p w14:paraId="603B8A37" w14:textId="77777777" w:rsidR="00B57E9E" w:rsidRPr="00B41E6F" w:rsidRDefault="00000000">
            <w:pPr>
              <w:rPr>
                <w:rFonts w:asciiTheme="majorHAnsi" w:hAnsiTheme="majorHAnsi" w:cstheme="majorHAnsi"/>
              </w:rPr>
            </w:pPr>
            <w:r>
              <w:rPr>
                <w:rFonts w:asciiTheme="majorHAnsi" w:hAnsiTheme="majorHAnsi" w:cstheme="majorHAnsi"/>
              </w:rPr>
              <w:t>0.998</w:t>
            </w:r>
          </w:p>
        </w:tc>
        <w:tc>
          <w:tcPr>
            <w:tcW w:w="2885" w:type="dxa"/>
            <w:tcMar>
              <w:top w:w="100" w:type="dxa"/>
              <w:left w:w="100" w:type="dxa"/>
              <w:bottom w:w="100" w:type="dxa"/>
              <w:right w:w="100" w:type="dxa"/>
            </w:tcMar>
          </w:tcPr>
          <w:p w14:paraId="67323B2B" w14:textId="77777777" w:rsidR="00B57E9E" w:rsidRPr="00B41E6F" w:rsidRDefault="00000000">
            <w:pPr>
              <w:rPr>
                <w:rFonts w:asciiTheme="majorHAnsi" w:hAnsiTheme="majorHAnsi" w:cstheme="majorHAnsi"/>
              </w:rPr>
            </w:pPr>
            <w:r>
              <w:rPr>
                <w:rFonts w:asciiTheme="majorHAnsi" w:hAnsiTheme="majorHAnsi" w:cstheme="majorHAnsi"/>
              </w:rPr>
              <w:t>0.049</w:t>
            </w:r>
          </w:p>
        </w:tc>
        <w:tc>
          <w:tcPr>
            <w:tcW w:w="1999" w:type="dxa"/>
            <w:tcMar>
              <w:top w:w="100" w:type="dxa"/>
              <w:left w:w="100" w:type="dxa"/>
              <w:bottom w:w="100" w:type="dxa"/>
              <w:right w:w="100" w:type="dxa"/>
            </w:tcMar>
          </w:tcPr>
          <w:p w14:paraId="0D14BCA3" w14:textId="77777777" w:rsidR="00B57E9E" w:rsidRPr="00B41E6F" w:rsidRDefault="00000000">
            <w:pPr>
              <w:rPr>
                <w:rFonts w:asciiTheme="majorHAnsi" w:hAnsiTheme="majorHAnsi" w:cstheme="majorHAnsi"/>
              </w:rPr>
            </w:pPr>
            <w:r>
              <w:rPr>
                <w:rFonts w:asciiTheme="majorHAnsi" w:hAnsiTheme="majorHAnsi" w:cstheme="majorHAnsi"/>
              </w:rPr>
              <w:t>0.103</w:t>
            </w:r>
          </w:p>
        </w:tc>
      </w:tr>
      <w:tr w:rsidR="00B57E9E" w:rsidRPr="00B41E6F" w14:paraId="2300E253" w14:textId="77777777" w:rsidTr="00B41E6F">
        <w:trPr>
          <w:trHeight w:val="785"/>
        </w:trPr>
        <w:tc>
          <w:tcPr>
            <w:tcW w:w="2295" w:type="dxa"/>
            <w:tcMar>
              <w:top w:w="100" w:type="dxa"/>
              <w:left w:w="100" w:type="dxa"/>
              <w:bottom w:w="100" w:type="dxa"/>
              <w:right w:w="100" w:type="dxa"/>
            </w:tcMar>
          </w:tcPr>
          <w:p w14:paraId="52C8105A" w14:textId="77777777" w:rsidR="00B57E9E" w:rsidRPr="00B41E6F" w:rsidRDefault="00000000">
            <w:pPr>
              <w:rPr>
                <w:rFonts w:asciiTheme="majorHAnsi" w:hAnsiTheme="majorHAnsi" w:cstheme="majorHAnsi"/>
              </w:rPr>
            </w:pPr>
            <w:r>
              <w:rPr>
                <w:rFonts w:asciiTheme="majorHAnsi" w:hAnsiTheme="majorHAnsi" w:cstheme="majorHAnsi"/>
                <w:lang w:val="es-ES"/>
              </w:rPr>
              <w:t>Emotional Understanding</w:t>
            </w:r>
          </w:p>
        </w:tc>
        <w:tc>
          <w:tcPr>
            <w:tcW w:w="1845" w:type="dxa"/>
            <w:tcMar>
              <w:top w:w="100" w:type="dxa"/>
              <w:left w:w="100" w:type="dxa"/>
              <w:bottom w:w="100" w:type="dxa"/>
              <w:right w:w="100" w:type="dxa"/>
            </w:tcMar>
          </w:tcPr>
          <w:p w14:paraId="602825C9" w14:textId="77777777" w:rsidR="00B57E9E" w:rsidRPr="00B41E6F" w:rsidRDefault="00000000">
            <w:pPr>
              <w:rPr>
                <w:rFonts w:asciiTheme="majorHAnsi" w:hAnsiTheme="majorHAnsi" w:cstheme="majorHAnsi"/>
              </w:rPr>
            </w:pPr>
            <w:r>
              <w:rPr>
                <w:rFonts w:asciiTheme="majorHAnsi" w:hAnsiTheme="majorHAnsi" w:cstheme="majorHAnsi"/>
              </w:rPr>
              <w:t>0.993</w:t>
            </w:r>
          </w:p>
        </w:tc>
        <w:tc>
          <w:tcPr>
            <w:tcW w:w="2885" w:type="dxa"/>
            <w:tcMar>
              <w:top w:w="100" w:type="dxa"/>
              <w:left w:w="100" w:type="dxa"/>
              <w:bottom w:w="100" w:type="dxa"/>
              <w:right w:w="100" w:type="dxa"/>
            </w:tcMar>
          </w:tcPr>
          <w:p w14:paraId="7F3E68BB" w14:textId="77777777" w:rsidR="00B57E9E" w:rsidRPr="00B41E6F" w:rsidRDefault="00000000">
            <w:pPr>
              <w:rPr>
                <w:rFonts w:asciiTheme="majorHAnsi" w:hAnsiTheme="majorHAnsi" w:cstheme="majorHAnsi"/>
              </w:rPr>
            </w:pPr>
            <w:r>
              <w:rPr>
                <w:rFonts w:asciiTheme="majorHAnsi" w:hAnsiTheme="majorHAnsi" w:cstheme="majorHAnsi"/>
              </w:rPr>
              <w:t>0.100</w:t>
            </w:r>
          </w:p>
        </w:tc>
        <w:tc>
          <w:tcPr>
            <w:tcW w:w="1999" w:type="dxa"/>
            <w:tcMar>
              <w:top w:w="100" w:type="dxa"/>
              <w:left w:w="100" w:type="dxa"/>
              <w:bottom w:w="100" w:type="dxa"/>
              <w:right w:w="100" w:type="dxa"/>
            </w:tcMar>
          </w:tcPr>
          <w:p w14:paraId="1844D089" w14:textId="77777777" w:rsidR="00B57E9E" w:rsidRPr="00B41E6F" w:rsidRDefault="00000000">
            <w:pPr>
              <w:rPr>
                <w:rFonts w:asciiTheme="majorHAnsi" w:hAnsiTheme="majorHAnsi" w:cstheme="majorHAnsi"/>
              </w:rPr>
            </w:pPr>
            <w:r>
              <w:rPr>
                <w:rFonts w:asciiTheme="majorHAnsi" w:hAnsiTheme="majorHAnsi" w:cstheme="majorHAnsi"/>
              </w:rPr>
              <w:t>0.239</w:t>
            </w:r>
          </w:p>
        </w:tc>
      </w:tr>
      <w:tr w:rsidR="00B57E9E" w:rsidRPr="00B41E6F" w14:paraId="077E2B47" w14:textId="77777777" w:rsidTr="00B41E6F">
        <w:trPr>
          <w:trHeight w:val="500"/>
        </w:trPr>
        <w:tc>
          <w:tcPr>
            <w:tcW w:w="2295" w:type="dxa"/>
            <w:tcMar>
              <w:top w:w="100" w:type="dxa"/>
              <w:left w:w="100" w:type="dxa"/>
              <w:bottom w:w="100" w:type="dxa"/>
              <w:right w:w="100" w:type="dxa"/>
            </w:tcMar>
          </w:tcPr>
          <w:p w14:paraId="73F759B9" w14:textId="77777777" w:rsidR="00B57E9E" w:rsidRPr="00B41E6F" w:rsidRDefault="00000000">
            <w:pPr>
              <w:rPr>
                <w:rFonts w:asciiTheme="majorHAnsi" w:hAnsiTheme="majorHAnsi" w:cstheme="majorHAnsi"/>
              </w:rPr>
            </w:pPr>
            <w:r>
              <w:rPr>
                <w:rFonts w:asciiTheme="majorHAnsi" w:hAnsiTheme="majorHAnsi" w:cstheme="majorHAnsi"/>
                <w:lang w:val="es-ES"/>
              </w:rPr>
              <w:t>Self-efficacy</w:t>
            </w:r>
          </w:p>
        </w:tc>
        <w:tc>
          <w:tcPr>
            <w:tcW w:w="1845" w:type="dxa"/>
            <w:tcMar>
              <w:top w:w="100" w:type="dxa"/>
              <w:left w:w="100" w:type="dxa"/>
              <w:bottom w:w="100" w:type="dxa"/>
              <w:right w:w="100" w:type="dxa"/>
            </w:tcMar>
          </w:tcPr>
          <w:p w14:paraId="733A0AA9" w14:textId="77777777" w:rsidR="00B57E9E" w:rsidRPr="00B41E6F" w:rsidRDefault="00000000">
            <w:pPr>
              <w:rPr>
                <w:rFonts w:asciiTheme="majorHAnsi" w:hAnsiTheme="majorHAnsi" w:cstheme="majorHAnsi"/>
              </w:rPr>
            </w:pPr>
            <w:r>
              <w:rPr>
                <w:rFonts w:asciiTheme="majorHAnsi" w:hAnsiTheme="majorHAnsi" w:cstheme="majorHAnsi"/>
              </w:rPr>
              <w:t>0.985</w:t>
            </w:r>
          </w:p>
        </w:tc>
        <w:tc>
          <w:tcPr>
            <w:tcW w:w="2885" w:type="dxa"/>
            <w:tcMar>
              <w:top w:w="100" w:type="dxa"/>
              <w:left w:w="100" w:type="dxa"/>
              <w:bottom w:w="100" w:type="dxa"/>
              <w:right w:w="100" w:type="dxa"/>
            </w:tcMar>
          </w:tcPr>
          <w:p w14:paraId="14B7EA5C" w14:textId="77777777" w:rsidR="00B57E9E" w:rsidRPr="00B41E6F" w:rsidRDefault="00000000">
            <w:pPr>
              <w:rPr>
                <w:rFonts w:asciiTheme="majorHAnsi" w:hAnsiTheme="majorHAnsi" w:cstheme="majorHAnsi"/>
              </w:rPr>
            </w:pPr>
            <w:r>
              <w:rPr>
                <w:rFonts w:asciiTheme="majorHAnsi" w:hAnsiTheme="majorHAnsi" w:cstheme="majorHAnsi"/>
              </w:rPr>
              <w:t>0.116</w:t>
            </w:r>
          </w:p>
        </w:tc>
        <w:tc>
          <w:tcPr>
            <w:tcW w:w="1999" w:type="dxa"/>
            <w:tcMar>
              <w:top w:w="100" w:type="dxa"/>
              <w:left w:w="100" w:type="dxa"/>
              <w:bottom w:w="100" w:type="dxa"/>
              <w:right w:w="100" w:type="dxa"/>
            </w:tcMar>
          </w:tcPr>
          <w:p w14:paraId="6EA693BA" w14:textId="77777777" w:rsidR="00B57E9E" w:rsidRPr="00B41E6F" w:rsidRDefault="00000000">
            <w:pPr>
              <w:rPr>
                <w:rFonts w:asciiTheme="majorHAnsi" w:hAnsiTheme="majorHAnsi" w:cstheme="majorHAnsi"/>
              </w:rPr>
            </w:pPr>
            <w:r>
              <w:rPr>
                <w:rFonts w:asciiTheme="majorHAnsi" w:hAnsiTheme="majorHAnsi" w:cstheme="majorHAnsi"/>
              </w:rPr>
              <w:t>0.197</w:t>
            </w:r>
          </w:p>
        </w:tc>
      </w:tr>
      <w:tr w:rsidR="00B57E9E" w:rsidRPr="00B41E6F" w14:paraId="1F36F7A6" w14:textId="77777777" w:rsidTr="00B41E6F">
        <w:trPr>
          <w:trHeight w:val="500"/>
        </w:trPr>
        <w:tc>
          <w:tcPr>
            <w:tcW w:w="2295" w:type="dxa"/>
            <w:tcMar>
              <w:top w:w="100" w:type="dxa"/>
              <w:left w:w="100" w:type="dxa"/>
              <w:bottom w:w="100" w:type="dxa"/>
              <w:right w:w="100" w:type="dxa"/>
            </w:tcMar>
          </w:tcPr>
          <w:p w14:paraId="0E4EFB11" w14:textId="77777777" w:rsidR="00B57E9E" w:rsidRPr="00B41E6F" w:rsidRDefault="00000000">
            <w:pPr>
              <w:rPr>
                <w:rFonts w:asciiTheme="majorHAnsi" w:hAnsiTheme="majorHAnsi" w:cstheme="majorHAnsi"/>
              </w:rPr>
            </w:pPr>
            <w:r>
              <w:rPr>
                <w:rFonts w:asciiTheme="majorHAnsi" w:hAnsiTheme="majorHAnsi" w:cstheme="majorHAnsi"/>
                <w:lang w:val="es-ES"/>
              </w:rPr>
              <w:t>Affection</w:t>
            </w:r>
          </w:p>
        </w:tc>
        <w:tc>
          <w:tcPr>
            <w:tcW w:w="1845" w:type="dxa"/>
            <w:tcMar>
              <w:top w:w="100" w:type="dxa"/>
              <w:left w:w="100" w:type="dxa"/>
              <w:bottom w:w="100" w:type="dxa"/>
              <w:right w:w="100" w:type="dxa"/>
            </w:tcMar>
          </w:tcPr>
          <w:p w14:paraId="07027E77" w14:textId="77777777" w:rsidR="00B57E9E" w:rsidRPr="00B41E6F" w:rsidRDefault="00000000">
            <w:pPr>
              <w:rPr>
                <w:rFonts w:asciiTheme="majorHAnsi" w:hAnsiTheme="majorHAnsi" w:cstheme="majorHAnsi"/>
              </w:rPr>
            </w:pPr>
            <w:r>
              <w:rPr>
                <w:rFonts w:asciiTheme="majorHAnsi" w:hAnsiTheme="majorHAnsi" w:cstheme="majorHAnsi"/>
              </w:rPr>
              <w:t>0.968</w:t>
            </w:r>
          </w:p>
        </w:tc>
        <w:tc>
          <w:tcPr>
            <w:tcW w:w="2885" w:type="dxa"/>
            <w:tcMar>
              <w:top w:w="100" w:type="dxa"/>
              <w:left w:w="100" w:type="dxa"/>
              <w:bottom w:w="100" w:type="dxa"/>
              <w:right w:w="100" w:type="dxa"/>
            </w:tcMar>
          </w:tcPr>
          <w:p w14:paraId="05BA530E" w14:textId="77777777" w:rsidR="00B57E9E" w:rsidRPr="00B41E6F" w:rsidRDefault="00000000">
            <w:pPr>
              <w:rPr>
                <w:rFonts w:asciiTheme="majorHAnsi" w:hAnsiTheme="majorHAnsi" w:cstheme="majorHAnsi"/>
              </w:rPr>
            </w:pPr>
            <w:r>
              <w:rPr>
                <w:rFonts w:asciiTheme="majorHAnsi" w:hAnsiTheme="majorHAnsi" w:cstheme="majorHAnsi"/>
              </w:rPr>
              <w:t>0.165</w:t>
            </w:r>
          </w:p>
        </w:tc>
        <w:tc>
          <w:tcPr>
            <w:tcW w:w="1999" w:type="dxa"/>
            <w:tcMar>
              <w:top w:w="100" w:type="dxa"/>
              <w:left w:w="100" w:type="dxa"/>
              <w:bottom w:w="100" w:type="dxa"/>
              <w:right w:w="100" w:type="dxa"/>
            </w:tcMar>
          </w:tcPr>
          <w:p w14:paraId="5810FFEC" w14:textId="77777777" w:rsidR="00B57E9E" w:rsidRPr="00B41E6F" w:rsidRDefault="00000000">
            <w:pPr>
              <w:rPr>
                <w:rFonts w:asciiTheme="majorHAnsi" w:hAnsiTheme="majorHAnsi" w:cstheme="majorHAnsi"/>
              </w:rPr>
            </w:pPr>
            <w:r>
              <w:rPr>
                <w:rFonts w:asciiTheme="majorHAnsi" w:hAnsiTheme="majorHAnsi" w:cstheme="majorHAnsi"/>
              </w:rPr>
              <w:t>0.318</w:t>
            </w:r>
          </w:p>
        </w:tc>
      </w:tr>
    </w:tbl>
    <w:p w14:paraId="57D4E725" w14:textId="75C33859" w:rsidR="00B57E9E" w:rsidRPr="00B41E6F" w:rsidRDefault="00000000" w:rsidP="00B41E6F">
      <w:pPr>
        <w:spacing w:before="240" w:after="240"/>
        <w:rPr>
          <w:rFonts w:asciiTheme="majorHAnsi" w:hAnsiTheme="majorHAnsi" w:cstheme="majorHAnsi"/>
        </w:rPr>
      </w:pPr>
      <w:r>
        <w:rPr>
          <w:rFonts w:asciiTheme="majorHAnsi" w:hAnsiTheme="majorHAnsi" w:cstheme="majorHAnsi"/>
          <w:i/>
          <w:iCs/>
          <w:lang w:val="es-ES"/>
        </w:rPr>
        <w:t>Note.</w:t>
      </w:r>
      <w:r>
        <w:rPr>
          <w:rFonts w:asciiTheme="majorHAnsi" w:hAnsiTheme="majorHAnsi" w:cstheme="majorHAnsi"/>
          <w:lang w:val="es-ES"/>
        </w:rPr>
        <w:t xml:space="preserve"> Initial years comprised first- and second-year students; advanced years comprised third- and fourth-year students. These findings represent an exploratory assessment of configural stability rather than a formal test of metric or scalar invariance.</w:t>
      </w:r>
    </w:p>
    <w:sectPr w:rsidR="00B57E9E" w:rsidRPr="00B41E6F" w:rsidSect="00B41E6F">
      <w:pgSz w:w="16834" w:h="11909" w:orient="landscape"/>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169F681-B26F-D146-9F19-C47BFB770EDB}"/>
  </w:font>
  <w:font w:name="Times New Roman">
    <w:panose1 w:val="02020603050405020304"/>
    <w:charset w:val="00"/>
    <w:family w:val="roman"/>
    <w:pitch w:val="variable"/>
    <w:sig w:usb0="E0002EFF" w:usb1="C000785B" w:usb2="00000009" w:usb3="00000000" w:csb0="000001FF" w:csb1="00000000"/>
    <w:embedRegular r:id="rId2" w:fontKey="{AEEFF682-33F5-F24E-9D97-6A90BB415B98}"/>
    <w:embedBold r:id="rId3" w:fontKey="{FF8164F4-A23D-104F-AD72-CD8D0D6774C8}"/>
    <w:embedItalic r:id="rId4" w:fontKey="{D4574DE8-310D-5340-9C03-CBB8001BEF4F}"/>
  </w:font>
  <w:font w:name="Courier New">
    <w:panose1 w:val="02070309020205020404"/>
    <w:charset w:val="00"/>
    <w:family w:val="modern"/>
    <w:pitch w:val="fixed"/>
    <w:sig w:usb0="E0002EFF" w:usb1="C0007843" w:usb2="00000009" w:usb3="00000000" w:csb0="000001FF" w:csb1="00000000"/>
    <w:embedRegular r:id="rId5" w:fontKey="{619BA31D-443F-1144-B51E-C0794CAA0B14}"/>
  </w:font>
  <w:font w:name="Wingdings">
    <w:panose1 w:val="05000000000000000000"/>
    <w:charset w:val="4D"/>
    <w:family w:val="decorative"/>
    <w:pitch w:val="variable"/>
    <w:sig w:usb0="00000003" w:usb1="00000000" w:usb2="00000000" w:usb3="00000000" w:csb0="80000001" w:csb1="00000000"/>
    <w:embedRegular r:id="rId6" w:fontKey="{2DD7018B-7D78-DC43-B97C-B096036CCD83}"/>
  </w:font>
  <w:font w:name="Arial">
    <w:panose1 w:val="020B0604020202020204"/>
    <w:charset w:val="00"/>
    <w:family w:val="swiss"/>
    <w:pitch w:val="variable"/>
    <w:sig w:usb0="E0002AFF" w:usb1="C0007843" w:usb2="00000009" w:usb3="00000000" w:csb0="000001FF" w:csb1="00000000"/>
    <w:embedRegular r:id="rId7" w:fontKey="{036AEC83-0CB4-084C-A9F5-C2E86D0DE407}"/>
    <w:embedBold r:id="rId8" w:fontKey="{B3583D77-1F50-0D4F-8B28-62141EAC1962}"/>
    <w:embedItalic r:id="rId9" w:fontKey="{C476FC91-CD76-FF44-8208-50D8ABBB0FF1}"/>
  </w:font>
  <w:font w:name="Calibri">
    <w:panose1 w:val="020F0502020204030204"/>
    <w:charset w:val="00"/>
    <w:family w:val="swiss"/>
    <w:pitch w:val="variable"/>
    <w:sig w:usb0="E0002AFF" w:usb1="C000247B" w:usb2="00000009" w:usb3="00000000" w:csb0="000001FF" w:csb1="00000000"/>
    <w:embedRegular r:id="rId10" w:fontKey="{886980C0-9A11-1746-9B70-DC95BE521888}"/>
    <w:embedBold r:id="rId11" w:fontKey="{FF3A56D6-E470-554F-B455-71C78632BFA7}"/>
    <w:embedItalic r:id="rId12" w:fontKey="{E4A1B816-EC30-1742-BDDA-D5991CBF93E5}"/>
  </w:font>
  <w:font w:name="Cambria">
    <w:panose1 w:val="02040503050406030204"/>
    <w:charset w:val="00"/>
    <w:family w:val="roman"/>
    <w:pitch w:val="variable"/>
    <w:sig w:usb0="E00006FF" w:usb1="420024FF" w:usb2="02000000" w:usb3="00000000" w:csb0="0000019F" w:csb1="00000000"/>
    <w:embedRegular r:id="rId13" w:fontKey="{03D0A696-6AB0-864D-834F-89E1A5C6D6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120378"/>
    <w:multiLevelType w:val="hybridMultilevel"/>
    <w:tmpl w:val="8398E370"/>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 w15:restartNumberingAfterBreak="0">
    <w:nsid w:val="68F84DC1"/>
    <w:multiLevelType w:val="multilevel"/>
    <w:tmpl w:val="A336E3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B1D5756"/>
    <w:multiLevelType w:val="multilevel"/>
    <w:tmpl w:val="A336E3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70059011">
    <w:abstractNumId w:val="2"/>
  </w:num>
  <w:num w:numId="2" w16cid:durableId="700058608">
    <w:abstractNumId w:val="1"/>
  </w:num>
  <w:num w:numId="3" w16cid:durableId="407899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E9E"/>
    <w:rsid w:val="001412F9"/>
    <w:rsid w:val="001E4668"/>
    <w:rsid w:val="002028CE"/>
    <w:rsid w:val="002C245D"/>
    <w:rsid w:val="004D6D15"/>
    <w:rsid w:val="005E319D"/>
    <w:rsid w:val="006605DD"/>
    <w:rsid w:val="0070295F"/>
    <w:rsid w:val="007A665C"/>
    <w:rsid w:val="007E4E7F"/>
    <w:rsid w:val="00806457"/>
    <w:rsid w:val="00895FF6"/>
    <w:rsid w:val="008B3D5C"/>
    <w:rsid w:val="00991A67"/>
    <w:rsid w:val="009A4186"/>
    <w:rsid w:val="009E669A"/>
    <w:rsid w:val="00A03B1E"/>
    <w:rsid w:val="00AC7701"/>
    <w:rsid w:val="00B41E6F"/>
    <w:rsid w:val="00B51375"/>
    <w:rsid w:val="00B57E9E"/>
    <w:rsid w:val="00B95A73"/>
    <w:rsid w:val="00BB39E6"/>
    <w:rsid w:val="00D72171"/>
    <w:rsid w:val="00DB67EC"/>
    <w:rsid w:val="00E52047"/>
    <w:rsid w:val="00EB39D0"/>
    <w:rsid w:val="00EB3FBA"/>
    <w:rsid w:val="00ED620F"/>
    <w:rsid w:val="00F55B11"/>
    <w:rsid w:val="00F971B2"/>
    <w:rsid w:val="00FA2B14"/>
    <w:rsid w:val="01225F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13EFC"/>
  <w15:docId w15:val="{91F34F79-ECF2-CC47-AC16-279FCC4CA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NormalWeb">
    <w:name w:val="Normal (Web)"/>
    <w:basedOn w:val="Normal"/>
    <w:uiPriority w:val="99"/>
    <w:semiHidden/>
    <w:unhideWhenUsed/>
    <w:rsid w:val="0070295F"/>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Fuerte">
    <w:name w:val="Strong"/>
    <w:basedOn w:val="Fuentedeprrafopredeter"/>
    <w:uiPriority w:val="22"/>
    <w:qFormat/>
    <w:rsid w:val="005E319D"/>
    <w:rPr>
      <w:b/>
      <w:bCs/>
    </w:rPr>
  </w:style>
  <w:style w:type="character" w:styleId="nfasis">
    <w:name w:val="Emphasis"/>
    <w:basedOn w:val="Fuentedeprrafopredeter"/>
    <w:uiPriority w:val="20"/>
    <w:qFormat/>
    <w:rsid w:val="005E319D"/>
    <w:rPr>
      <w:i/>
      <w:iCs/>
    </w:rPr>
  </w:style>
  <w:style w:type="paragraph" w:customStyle="1" w:styleId="pdq2pgselectionanchorcontainer">
    <w:name w:val="pdq2pg_selectionanchorcontainer"/>
    <w:basedOn w:val="Normal"/>
    <w:rsid w:val="005E319D"/>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E520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1272</Words>
  <Characters>6998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Iván Herrera Peco</cp:lastModifiedBy>
  <cp:revision>3</cp:revision>
  <dcterms:created xsi:type="dcterms:W3CDTF">2026-09-04T15:57:00Z</dcterms:created>
  <dcterms:modified xsi:type="dcterms:W3CDTF">2026-09-04T15:58:00Z</dcterms:modified>
</cp:coreProperties>
</file>