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B4CDB6" w14:textId="77777777" w:rsidR="00BA0745" w:rsidRDefault="00000000">
      <w:pPr>
        <w:spacing w:before="120" w:after="120"/>
        <w:jc w:val="both"/>
        <w:rPr>
          <w:b/>
          <w:bCs/>
          <w:sz w:val="22"/>
          <w:szCs w:val="22"/>
        </w:rPr>
      </w:pPr>
      <w:r>
        <w:rPr>
          <w:b/>
          <w:bCs/>
          <w:sz w:val="22"/>
          <w:szCs w:val="22"/>
        </w:rPr>
        <w:t>Supplementary Information</w:t>
      </w:r>
    </w:p>
    <w:p w14:paraId="3F44B401" w14:textId="77777777" w:rsidR="00BA0745" w:rsidRDefault="00000000">
      <w:pPr>
        <w:spacing w:before="120" w:after="120"/>
        <w:jc w:val="both"/>
        <w:rPr>
          <w:sz w:val="22"/>
          <w:szCs w:val="22"/>
        </w:rPr>
      </w:pPr>
      <w:r>
        <w:rPr>
          <w:sz w:val="22"/>
          <w:szCs w:val="22"/>
        </w:rPr>
        <w:t>This Supplementary Information provides implementation details, audit tables, and extended results that support the main manuscript. Section S1 documents analytical sample construction, CORE-8 item roles, anti-circularity checks, priority weighting, and WSQS scale interpretation. Section S2 documents predictor grouping, context encoding, and extended robustness results. Section S3 documents extended model-interpretation outputs, priority-conditioned pair mapping, nonlinear service-response summaries, and the survey-question map. Section S4 documents sample coverage and external benchmark diagnostics, including household composition, geographic reach and recruitment concentration, settlement-context and population-density coverage, and diversity in domestic water-provision arrangements.</w:t>
      </w:r>
    </w:p>
    <w:p w14:paraId="49BA71FD" w14:textId="77777777" w:rsidR="00BA0745" w:rsidRDefault="00000000">
      <w:pPr>
        <w:spacing w:before="120" w:after="120"/>
        <w:jc w:val="both"/>
        <w:rPr>
          <w:b/>
          <w:bCs/>
          <w:sz w:val="22"/>
          <w:szCs w:val="22"/>
        </w:rPr>
      </w:pPr>
      <w:r>
        <w:rPr>
          <w:b/>
          <w:bCs/>
          <w:sz w:val="22"/>
          <w:szCs w:val="22"/>
        </w:rPr>
        <w:t>S1. WSQS construction, coding, measurement structure diagnostics and anti-circularity</w:t>
      </w:r>
    </w:p>
    <w:p w14:paraId="10B3D8C5" w14:textId="77777777" w:rsidR="00BA0745" w:rsidRDefault="00000000">
      <w:pPr>
        <w:spacing w:before="120" w:after="120"/>
        <w:jc w:val="both"/>
        <w:rPr>
          <w:b/>
          <w:bCs/>
          <w:sz w:val="22"/>
          <w:szCs w:val="22"/>
        </w:rPr>
      </w:pPr>
      <w:r>
        <w:rPr>
          <w:b/>
          <w:bCs/>
          <w:sz w:val="22"/>
          <w:szCs w:val="22"/>
        </w:rPr>
        <w:t>S1.1. Analytical sample construction</w:t>
      </w:r>
    </w:p>
    <w:p w14:paraId="5E8FB995" w14:textId="77777777" w:rsidR="00BA0745" w:rsidRDefault="00000000">
      <w:pPr>
        <w:spacing w:before="120" w:after="120"/>
        <w:jc w:val="both"/>
        <w:rPr>
          <w:sz w:val="22"/>
          <w:szCs w:val="22"/>
        </w:rPr>
      </w:pPr>
      <w:r>
        <w:rPr>
          <w:sz w:val="22"/>
          <w:szCs w:val="22"/>
        </w:rPr>
        <w:t xml:space="preserve">The final QA-passed analytical dataset contained 6,145 households </w:t>
      </w:r>
      <w:r>
        <w:rPr>
          <w:color w:val="000000"/>
          <w:sz w:val="22"/>
          <w:szCs w:val="22"/>
        </w:rPr>
        <w:t>from 9,562 cross-sectional survey responses</w:t>
      </w:r>
      <w:r>
        <w:rPr>
          <w:sz w:val="22"/>
          <w:szCs w:val="22"/>
        </w:rPr>
        <w:t>. We retained records only after survey quality assurance, response cleaning, location screening, WSQS construction, and predictor processing. The primary modeling split used an 80:20 train-test partition, with 4,916 households assigned to the training set and 1,229 households assigned to the held-out test set.</w:t>
      </w:r>
    </w:p>
    <w:p w14:paraId="4ACF75ED" w14:textId="77777777" w:rsidR="00BA0745" w:rsidRDefault="00000000">
      <w:pPr>
        <w:spacing w:before="120" w:after="120"/>
        <w:jc w:val="both"/>
        <w:rPr>
          <w:sz w:val="22"/>
          <w:szCs w:val="22"/>
        </w:rPr>
      </w:pPr>
      <w:r>
        <w:rPr>
          <w:sz w:val="22"/>
          <w:szCs w:val="22"/>
        </w:rPr>
        <w:t>A survey response was designated QA-passed only when it satisfied the following criteria:</w:t>
      </w:r>
    </w:p>
    <w:p w14:paraId="13EBD50D" w14:textId="77777777" w:rsidR="00BA0745" w:rsidRDefault="00000000">
      <w:pPr>
        <w:numPr>
          <w:ilvl w:val="0"/>
          <w:numId w:val="1"/>
        </w:numPr>
        <w:spacing w:before="120" w:after="120"/>
        <w:jc w:val="both"/>
        <w:rPr>
          <w:sz w:val="22"/>
          <w:szCs w:val="22"/>
        </w:rPr>
      </w:pPr>
      <w:r>
        <w:rPr>
          <w:b/>
          <w:bCs/>
          <w:sz w:val="22"/>
          <w:szCs w:val="22"/>
        </w:rPr>
        <w:t>Data completeness:</w:t>
      </w:r>
      <w:r>
        <w:rPr>
          <w:sz w:val="22"/>
          <w:szCs w:val="22"/>
        </w:rPr>
        <w:t xml:space="preserve"> At least 95% of required survey items were completed, and no variables essential to the primary analysis had missing values. </w:t>
      </w:r>
    </w:p>
    <w:p w14:paraId="5958FFEE" w14:textId="77777777" w:rsidR="00BA0745" w:rsidRDefault="00000000">
      <w:pPr>
        <w:numPr>
          <w:ilvl w:val="0"/>
          <w:numId w:val="1"/>
        </w:numPr>
        <w:spacing w:before="120" w:after="120"/>
        <w:jc w:val="both"/>
        <w:rPr>
          <w:sz w:val="22"/>
          <w:szCs w:val="22"/>
        </w:rPr>
      </w:pPr>
      <w:r>
        <w:rPr>
          <w:b/>
          <w:bCs/>
          <w:sz w:val="22"/>
          <w:szCs w:val="22"/>
        </w:rPr>
        <w:t>Valid location:</w:t>
      </w:r>
      <w:r>
        <w:rPr>
          <w:sz w:val="22"/>
          <w:szCs w:val="22"/>
        </w:rPr>
        <w:t xml:space="preserve"> The response could be assigned to a plausible inhabited location within the study region using the available and cross-validated location information. We excluded responses for which location could not be resolved, that were clearly outside the study region, or that showed major unresolved geographic inconsistencies. Exact respondent-entered latitude and longitude were not required for analytical inclusion when the remaining location information could be validated. </w:t>
      </w:r>
    </w:p>
    <w:p w14:paraId="465F2DBE" w14:textId="77777777" w:rsidR="00BA0745" w:rsidRDefault="00000000">
      <w:pPr>
        <w:numPr>
          <w:ilvl w:val="0"/>
          <w:numId w:val="1"/>
        </w:numPr>
        <w:spacing w:before="120" w:after="120"/>
        <w:jc w:val="both"/>
        <w:rPr>
          <w:sz w:val="22"/>
          <w:szCs w:val="22"/>
        </w:rPr>
      </w:pPr>
      <w:r>
        <w:rPr>
          <w:b/>
          <w:bCs/>
          <w:sz w:val="22"/>
          <w:szCs w:val="22"/>
        </w:rPr>
        <w:t>Human-response verification:</w:t>
      </w:r>
      <w:r>
        <w:rPr>
          <w:sz w:val="22"/>
          <w:szCs w:val="22"/>
        </w:rPr>
        <w:t xml:space="preserve"> The response passed bot detection and integrity checks, including CAPTCHA, and showed no signs of automated or repeated submissions. </w:t>
      </w:r>
    </w:p>
    <w:p w14:paraId="4C6ABB86" w14:textId="77777777" w:rsidR="00BA0745" w:rsidRDefault="00000000">
      <w:pPr>
        <w:numPr>
          <w:ilvl w:val="0"/>
          <w:numId w:val="1"/>
        </w:numPr>
        <w:spacing w:before="120" w:after="120"/>
        <w:jc w:val="both"/>
        <w:rPr>
          <w:sz w:val="22"/>
          <w:szCs w:val="22"/>
        </w:rPr>
      </w:pPr>
      <w:r>
        <w:rPr>
          <w:b/>
          <w:bCs/>
          <w:sz w:val="22"/>
          <w:szCs w:val="22"/>
        </w:rPr>
        <w:t>Response-pattern validity:</w:t>
      </w:r>
      <w:r>
        <w:rPr>
          <w:sz w:val="22"/>
          <w:szCs w:val="22"/>
        </w:rPr>
        <w:t xml:space="preserve"> The response did not exhibit signs of inattentiveness or low-quality engagement, such as excessive straight-lining, contradictory answers, impossible response combinations, repeated non-substantive open-text entries, or unusually high item-level repetition. </w:t>
      </w:r>
    </w:p>
    <w:p w14:paraId="35A8D3EE" w14:textId="77777777" w:rsidR="00BA0745" w:rsidRDefault="00000000">
      <w:pPr>
        <w:numPr>
          <w:ilvl w:val="0"/>
          <w:numId w:val="1"/>
        </w:numPr>
        <w:spacing w:before="120" w:after="120"/>
        <w:jc w:val="both"/>
        <w:rPr>
          <w:sz w:val="22"/>
          <w:szCs w:val="22"/>
        </w:rPr>
      </w:pPr>
      <w:r>
        <w:rPr>
          <w:b/>
          <w:bCs/>
          <w:sz w:val="22"/>
          <w:szCs w:val="22"/>
        </w:rPr>
        <w:t>Duplicate-response screening:</w:t>
      </w:r>
      <w:r>
        <w:rPr>
          <w:sz w:val="22"/>
          <w:szCs w:val="22"/>
        </w:rPr>
        <w:t xml:space="preserve"> No duplicate submission was detected based on respondent identifiers, hashed contact information, device/session data, timestamps, location, or similar answer patterns. </w:t>
      </w:r>
    </w:p>
    <w:p w14:paraId="28D7198B" w14:textId="77777777" w:rsidR="00BA0745" w:rsidRDefault="00000000">
      <w:pPr>
        <w:spacing w:before="120" w:after="120"/>
        <w:jc w:val="both"/>
        <w:rPr>
          <w:sz w:val="22"/>
          <w:szCs w:val="22"/>
        </w:rPr>
      </w:pPr>
      <w:r>
        <w:rPr>
          <w:sz w:val="22"/>
          <w:szCs w:val="22"/>
        </w:rPr>
        <w:t>Responses meeting all automated checks and any required manual review were retained as the final quality-assured analytical sample. Once designated QA-passed, records were not modified except through a documented correction and version-control process.</w:t>
      </w:r>
    </w:p>
    <w:p w14:paraId="5EFBB94B" w14:textId="77777777" w:rsidR="00BA0745" w:rsidRDefault="00000000">
      <w:pPr>
        <w:spacing w:before="120" w:after="120"/>
        <w:jc w:val="both"/>
        <w:rPr>
          <w:sz w:val="22"/>
          <w:szCs w:val="22"/>
        </w:rPr>
      </w:pPr>
      <w:r>
        <w:rPr>
          <w:sz w:val="22"/>
          <w:szCs w:val="22"/>
        </w:rPr>
        <w:t>Domain-specific valid response counts varied because some survey items were missing or structurally inapplicable. Domain-level scores were calculated using available valid item responses, and aggregate WSQS outcomes were constructed using the weighting rules described in the main Methods. No item-level imputation was used to fabricate missing domain responses.</w:t>
      </w:r>
    </w:p>
    <w:p w14:paraId="7A005D3E" w14:textId="77777777" w:rsidR="00BA0745" w:rsidRDefault="00000000">
      <w:pPr>
        <w:spacing w:before="120" w:after="120"/>
        <w:jc w:val="both"/>
        <w:rPr>
          <w:sz w:val="22"/>
          <w:szCs w:val="22"/>
        </w:rPr>
      </w:pPr>
      <w:r>
        <w:rPr>
          <w:b/>
          <w:bCs/>
          <w:sz w:val="22"/>
          <w:szCs w:val="22"/>
        </w:rPr>
        <w:t xml:space="preserve">Supplementary Table S1. </w:t>
      </w:r>
      <w:r>
        <w:rPr>
          <w:sz w:val="22"/>
          <w:szCs w:val="22"/>
        </w:rPr>
        <w:t>Analytical sample construction and modeling split.</w:t>
      </w:r>
    </w:p>
    <w:tbl>
      <w:tblPr>
        <w:tblStyle w:val="af0"/>
        <w:tblW w:w="9360" w:type="dxa"/>
        <w:jc w:val="center"/>
        <w:tblLayout w:type="fixed"/>
        <w:tblLook w:val="0400" w:firstRow="0" w:lastRow="0" w:firstColumn="0" w:lastColumn="0" w:noHBand="0" w:noVBand="1"/>
      </w:tblPr>
      <w:tblGrid>
        <w:gridCol w:w="2231"/>
        <w:gridCol w:w="3602"/>
        <w:gridCol w:w="852"/>
        <w:gridCol w:w="2675"/>
      </w:tblGrid>
      <w:tr w:rsidR="00BA0745" w14:paraId="0983210B" w14:textId="77777777">
        <w:trPr>
          <w:jc w:val="center"/>
        </w:trPr>
        <w:tc>
          <w:tcPr>
            <w:tcW w:w="2231" w:type="dxa"/>
            <w:tcBorders>
              <w:top w:val="single" w:sz="4" w:space="0" w:color="000000"/>
              <w:bottom w:val="single" w:sz="4" w:space="0" w:color="000000"/>
            </w:tcBorders>
            <w:vAlign w:val="center"/>
          </w:tcPr>
          <w:p w14:paraId="7B05FC0C" w14:textId="77777777" w:rsidR="00BA0745" w:rsidRDefault="00000000">
            <w:pPr>
              <w:spacing w:before="120" w:after="120"/>
              <w:jc w:val="center"/>
              <w:rPr>
                <w:sz w:val="22"/>
                <w:szCs w:val="22"/>
              </w:rPr>
            </w:pPr>
            <w:r>
              <w:rPr>
                <w:sz w:val="22"/>
                <w:szCs w:val="22"/>
              </w:rPr>
              <w:t>Analytical stage</w:t>
            </w:r>
          </w:p>
        </w:tc>
        <w:tc>
          <w:tcPr>
            <w:tcW w:w="3602" w:type="dxa"/>
            <w:tcBorders>
              <w:top w:val="single" w:sz="4" w:space="0" w:color="000000"/>
              <w:bottom w:val="single" w:sz="4" w:space="0" w:color="000000"/>
            </w:tcBorders>
            <w:vAlign w:val="center"/>
          </w:tcPr>
          <w:p w14:paraId="2FA3412F" w14:textId="77777777" w:rsidR="00BA0745" w:rsidRDefault="00000000">
            <w:pPr>
              <w:spacing w:before="120" w:after="120"/>
              <w:jc w:val="center"/>
              <w:rPr>
                <w:sz w:val="22"/>
                <w:szCs w:val="22"/>
              </w:rPr>
            </w:pPr>
            <w:r>
              <w:rPr>
                <w:sz w:val="22"/>
                <w:szCs w:val="22"/>
              </w:rPr>
              <w:t>Definition</w:t>
            </w:r>
          </w:p>
        </w:tc>
        <w:tc>
          <w:tcPr>
            <w:tcW w:w="852" w:type="dxa"/>
            <w:tcBorders>
              <w:top w:val="single" w:sz="4" w:space="0" w:color="000000"/>
              <w:bottom w:val="single" w:sz="4" w:space="0" w:color="000000"/>
            </w:tcBorders>
            <w:vAlign w:val="center"/>
          </w:tcPr>
          <w:p w14:paraId="25088669" w14:textId="77777777" w:rsidR="00BA0745" w:rsidRDefault="00000000">
            <w:pPr>
              <w:spacing w:before="120" w:after="120"/>
              <w:jc w:val="center"/>
              <w:rPr>
                <w:sz w:val="22"/>
                <w:szCs w:val="22"/>
              </w:rPr>
            </w:pPr>
            <w:r>
              <w:rPr>
                <w:sz w:val="22"/>
                <w:szCs w:val="22"/>
              </w:rPr>
              <w:t>N retained</w:t>
            </w:r>
          </w:p>
        </w:tc>
        <w:tc>
          <w:tcPr>
            <w:tcW w:w="2675" w:type="dxa"/>
            <w:tcBorders>
              <w:top w:val="single" w:sz="4" w:space="0" w:color="000000"/>
              <w:bottom w:val="single" w:sz="4" w:space="0" w:color="000000"/>
            </w:tcBorders>
            <w:vAlign w:val="center"/>
          </w:tcPr>
          <w:p w14:paraId="531937EB" w14:textId="77777777" w:rsidR="00BA0745" w:rsidRDefault="00000000">
            <w:pPr>
              <w:spacing w:before="120" w:after="120"/>
              <w:jc w:val="center"/>
              <w:rPr>
                <w:sz w:val="22"/>
                <w:szCs w:val="22"/>
              </w:rPr>
            </w:pPr>
            <w:r>
              <w:rPr>
                <w:sz w:val="22"/>
                <w:szCs w:val="22"/>
              </w:rPr>
              <w:t>Notes</w:t>
            </w:r>
          </w:p>
        </w:tc>
      </w:tr>
      <w:tr w:rsidR="00BA0745" w14:paraId="0A6692FE" w14:textId="77777777">
        <w:trPr>
          <w:jc w:val="center"/>
        </w:trPr>
        <w:tc>
          <w:tcPr>
            <w:tcW w:w="2231" w:type="dxa"/>
            <w:vAlign w:val="center"/>
          </w:tcPr>
          <w:p w14:paraId="06976157" w14:textId="77777777" w:rsidR="00BA0745" w:rsidRDefault="00000000">
            <w:pPr>
              <w:spacing w:before="120" w:after="120"/>
              <w:jc w:val="center"/>
              <w:rPr>
                <w:sz w:val="22"/>
                <w:szCs w:val="22"/>
              </w:rPr>
            </w:pPr>
            <w:r>
              <w:rPr>
                <w:sz w:val="22"/>
                <w:szCs w:val="22"/>
              </w:rPr>
              <w:lastRenderedPageBreak/>
              <w:t>Final QA-passed household dataset</w:t>
            </w:r>
          </w:p>
        </w:tc>
        <w:tc>
          <w:tcPr>
            <w:tcW w:w="3602" w:type="dxa"/>
            <w:vAlign w:val="center"/>
          </w:tcPr>
          <w:p w14:paraId="787DFEE0" w14:textId="77777777" w:rsidR="00BA0745" w:rsidRDefault="00000000">
            <w:pPr>
              <w:spacing w:before="120" w:after="120"/>
              <w:jc w:val="center"/>
              <w:rPr>
                <w:sz w:val="22"/>
                <w:szCs w:val="22"/>
              </w:rPr>
            </w:pPr>
            <w:r>
              <w:rPr>
                <w:sz w:val="22"/>
                <w:szCs w:val="22"/>
              </w:rPr>
              <w:t>Household records retained after final QA, standardization, and lineage checks</w:t>
            </w:r>
          </w:p>
        </w:tc>
        <w:tc>
          <w:tcPr>
            <w:tcW w:w="852" w:type="dxa"/>
            <w:vAlign w:val="center"/>
          </w:tcPr>
          <w:p w14:paraId="14A7C107" w14:textId="77777777" w:rsidR="00BA0745" w:rsidRDefault="00000000">
            <w:pPr>
              <w:spacing w:before="120" w:after="120"/>
              <w:jc w:val="center"/>
              <w:rPr>
                <w:sz w:val="22"/>
                <w:szCs w:val="22"/>
              </w:rPr>
            </w:pPr>
            <w:r>
              <w:rPr>
                <w:sz w:val="22"/>
                <w:szCs w:val="22"/>
              </w:rPr>
              <w:t>6,145</w:t>
            </w:r>
          </w:p>
        </w:tc>
        <w:tc>
          <w:tcPr>
            <w:tcW w:w="2675" w:type="dxa"/>
            <w:vAlign w:val="center"/>
          </w:tcPr>
          <w:p w14:paraId="02A4E15E" w14:textId="77777777" w:rsidR="00BA0745" w:rsidRDefault="00000000">
            <w:pPr>
              <w:spacing w:before="120" w:after="120"/>
              <w:jc w:val="center"/>
              <w:rPr>
                <w:sz w:val="22"/>
                <w:szCs w:val="22"/>
              </w:rPr>
            </w:pPr>
            <w:r>
              <w:rPr>
                <w:sz w:val="22"/>
                <w:szCs w:val="22"/>
              </w:rPr>
              <w:t>Main household-level dataset</w:t>
            </w:r>
          </w:p>
        </w:tc>
      </w:tr>
      <w:tr w:rsidR="00BA0745" w14:paraId="45B21817" w14:textId="77777777">
        <w:trPr>
          <w:jc w:val="center"/>
        </w:trPr>
        <w:tc>
          <w:tcPr>
            <w:tcW w:w="2231" w:type="dxa"/>
            <w:vAlign w:val="center"/>
          </w:tcPr>
          <w:p w14:paraId="1C21C477" w14:textId="77777777" w:rsidR="00BA0745" w:rsidRDefault="00000000">
            <w:pPr>
              <w:spacing w:before="120" w:after="120"/>
              <w:jc w:val="center"/>
              <w:rPr>
                <w:sz w:val="22"/>
                <w:szCs w:val="22"/>
              </w:rPr>
            </w:pPr>
            <w:r>
              <w:rPr>
                <w:sz w:val="22"/>
                <w:szCs w:val="22"/>
              </w:rPr>
              <w:t>WSQS construction sample</w:t>
            </w:r>
          </w:p>
        </w:tc>
        <w:tc>
          <w:tcPr>
            <w:tcW w:w="3602" w:type="dxa"/>
            <w:vAlign w:val="center"/>
          </w:tcPr>
          <w:p w14:paraId="567AB773" w14:textId="77777777" w:rsidR="00BA0745" w:rsidRDefault="00000000">
            <w:pPr>
              <w:spacing w:before="120" w:after="120"/>
              <w:jc w:val="center"/>
              <w:rPr>
                <w:sz w:val="22"/>
                <w:szCs w:val="22"/>
              </w:rPr>
            </w:pPr>
            <w:r>
              <w:rPr>
                <w:sz w:val="22"/>
                <w:szCs w:val="22"/>
              </w:rPr>
              <w:t>Households with sufficient information to construct aggregate CORE-8 WSQS</w:t>
            </w:r>
          </w:p>
        </w:tc>
        <w:tc>
          <w:tcPr>
            <w:tcW w:w="852" w:type="dxa"/>
            <w:vAlign w:val="center"/>
          </w:tcPr>
          <w:p w14:paraId="3CDCAA81" w14:textId="77777777" w:rsidR="00BA0745" w:rsidRDefault="00000000">
            <w:pPr>
              <w:spacing w:before="120" w:after="120"/>
              <w:jc w:val="center"/>
              <w:rPr>
                <w:sz w:val="22"/>
                <w:szCs w:val="22"/>
              </w:rPr>
            </w:pPr>
            <w:r>
              <w:rPr>
                <w:sz w:val="22"/>
                <w:szCs w:val="22"/>
              </w:rPr>
              <w:t>6,145</w:t>
            </w:r>
          </w:p>
        </w:tc>
        <w:tc>
          <w:tcPr>
            <w:tcW w:w="2675" w:type="dxa"/>
            <w:vAlign w:val="center"/>
          </w:tcPr>
          <w:p w14:paraId="7885F26C" w14:textId="77777777" w:rsidR="00BA0745" w:rsidRDefault="00000000">
            <w:pPr>
              <w:spacing w:before="120" w:after="120"/>
              <w:jc w:val="center"/>
              <w:rPr>
                <w:sz w:val="22"/>
                <w:szCs w:val="22"/>
              </w:rPr>
            </w:pPr>
            <w:r>
              <w:rPr>
                <w:sz w:val="22"/>
                <w:szCs w:val="22"/>
              </w:rPr>
              <w:t>Domain-specific valid counts vary</w:t>
            </w:r>
          </w:p>
        </w:tc>
      </w:tr>
      <w:tr w:rsidR="00BA0745" w14:paraId="577EC49D" w14:textId="77777777">
        <w:trPr>
          <w:jc w:val="center"/>
        </w:trPr>
        <w:tc>
          <w:tcPr>
            <w:tcW w:w="2231" w:type="dxa"/>
            <w:vAlign w:val="center"/>
          </w:tcPr>
          <w:p w14:paraId="5C52F1C3" w14:textId="77777777" w:rsidR="00BA0745" w:rsidRDefault="00000000">
            <w:pPr>
              <w:spacing w:before="120" w:after="120"/>
              <w:jc w:val="center"/>
              <w:rPr>
                <w:sz w:val="22"/>
                <w:szCs w:val="22"/>
              </w:rPr>
            </w:pPr>
            <w:r>
              <w:rPr>
                <w:sz w:val="22"/>
                <w:szCs w:val="22"/>
              </w:rPr>
              <w:t>Equal-weight CORE-8 WSQS sample</w:t>
            </w:r>
          </w:p>
        </w:tc>
        <w:tc>
          <w:tcPr>
            <w:tcW w:w="3602" w:type="dxa"/>
            <w:vAlign w:val="center"/>
          </w:tcPr>
          <w:p w14:paraId="7511A3A6" w14:textId="77777777" w:rsidR="00BA0745" w:rsidRDefault="00000000">
            <w:pPr>
              <w:spacing w:before="120" w:after="120"/>
              <w:jc w:val="center"/>
              <w:rPr>
                <w:sz w:val="22"/>
                <w:szCs w:val="22"/>
              </w:rPr>
            </w:pPr>
            <w:r>
              <w:rPr>
                <w:sz w:val="22"/>
                <w:szCs w:val="22"/>
              </w:rPr>
              <w:t>Households with equal-weight aggregate WSQS</w:t>
            </w:r>
          </w:p>
        </w:tc>
        <w:tc>
          <w:tcPr>
            <w:tcW w:w="852" w:type="dxa"/>
            <w:vAlign w:val="center"/>
          </w:tcPr>
          <w:p w14:paraId="40C00107" w14:textId="77777777" w:rsidR="00BA0745" w:rsidRDefault="00000000">
            <w:pPr>
              <w:spacing w:before="120" w:after="120"/>
              <w:jc w:val="center"/>
              <w:rPr>
                <w:sz w:val="22"/>
                <w:szCs w:val="22"/>
              </w:rPr>
            </w:pPr>
            <w:r>
              <w:rPr>
                <w:sz w:val="22"/>
                <w:szCs w:val="22"/>
              </w:rPr>
              <w:t>6,145</w:t>
            </w:r>
          </w:p>
        </w:tc>
        <w:tc>
          <w:tcPr>
            <w:tcW w:w="2675" w:type="dxa"/>
            <w:vAlign w:val="center"/>
          </w:tcPr>
          <w:p w14:paraId="20F44EC6" w14:textId="77777777" w:rsidR="00BA0745" w:rsidRDefault="00000000">
            <w:pPr>
              <w:spacing w:before="120" w:after="120"/>
              <w:jc w:val="center"/>
              <w:rPr>
                <w:sz w:val="22"/>
                <w:szCs w:val="22"/>
              </w:rPr>
            </w:pPr>
            <w:r>
              <w:rPr>
                <w:sz w:val="22"/>
                <w:szCs w:val="22"/>
              </w:rPr>
              <w:t>Primary non-circular modeling outcome</w:t>
            </w:r>
          </w:p>
        </w:tc>
      </w:tr>
      <w:tr w:rsidR="00BA0745" w14:paraId="08A9544C" w14:textId="77777777">
        <w:trPr>
          <w:jc w:val="center"/>
        </w:trPr>
        <w:tc>
          <w:tcPr>
            <w:tcW w:w="2231" w:type="dxa"/>
            <w:vAlign w:val="center"/>
          </w:tcPr>
          <w:p w14:paraId="3549AE33" w14:textId="77777777" w:rsidR="00BA0745" w:rsidRDefault="00000000">
            <w:pPr>
              <w:spacing w:before="120" w:after="120"/>
              <w:jc w:val="center"/>
              <w:rPr>
                <w:sz w:val="22"/>
                <w:szCs w:val="22"/>
              </w:rPr>
            </w:pPr>
            <w:r>
              <w:rPr>
                <w:sz w:val="22"/>
                <w:szCs w:val="22"/>
              </w:rPr>
              <w:t>Population-priority CORE-8 WSQS sample</w:t>
            </w:r>
          </w:p>
        </w:tc>
        <w:tc>
          <w:tcPr>
            <w:tcW w:w="3602" w:type="dxa"/>
            <w:vAlign w:val="center"/>
          </w:tcPr>
          <w:p w14:paraId="66ACBB55" w14:textId="77777777" w:rsidR="00BA0745" w:rsidRDefault="00000000">
            <w:pPr>
              <w:spacing w:before="120" w:after="120"/>
              <w:jc w:val="center"/>
              <w:rPr>
                <w:sz w:val="22"/>
                <w:szCs w:val="22"/>
              </w:rPr>
            </w:pPr>
            <w:r>
              <w:rPr>
                <w:sz w:val="22"/>
                <w:szCs w:val="22"/>
              </w:rPr>
              <w:t>Households with population-priority-weighted aggregate WSQS</w:t>
            </w:r>
          </w:p>
        </w:tc>
        <w:tc>
          <w:tcPr>
            <w:tcW w:w="852" w:type="dxa"/>
            <w:vAlign w:val="center"/>
          </w:tcPr>
          <w:p w14:paraId="0B9B9FCC" w14:textId="77777777" w:rsidR="00BA0745" w:rsidRDefault="00000000">
            <w:pPr>
              <w:spacing w:before="120" w:after="120"/>
              <w:jc w:val="center"/>
              <w:rPr>
                <w:sz w:val="22"/>
                <w:szCs w:val="22"/>
              </w:rPr>
            </w:pPr>
            <w:r>
              <w:rPr>
                <w:sz w:val="22"/>
                <w:szCs w:val="22"/>
              </w:rPr>
              <w:t>6,145</w:t>
            </w:r>
          </w:p>
        </w:tc>
        <w:tc>
          <w:tcPr>
            <w:tcW w:w="2675" w:type="dxa"/>
            <w:vAlign w:val="center"/>
          </w:tcPr>
          <w:p w14:paraId="6C4E0882" w14:textId="77777777" w:rsidR="00BA0745" w:rsidRDefault="00000000">
            <w:pPr>
              <w:spacing w:before="120" w:after="120"/>
              <w:jc w:val="center"/>
              <w:rPr>
                <w:sz w:val="22"/>
                <w:szCs w:val="22"/>
              </w:rPr>
            </w:pPr>
            <w:r>
              <w:rPr>
                <w:sz w:val="22"/>
                <w:szCs w:val="22"/>
              </w:rPr>
              <w:t>Sensitivity outcome using sample-average priorities</w:t>
            </w:r>
          </w:p>
        </w:tc>
      </w:tr>
      <w:tr w:rsidR="00BA0745" w14:paraId="2FE5ED1D" w14:textId="77777777">
        <w:trPr>
          <w:jc w:val="center"/>
        </w:trPr>
        <w:tc>
          <w:tcPr>
            <w:tcW w:w="2231" w:type="dxa"/>
            <w:vAlign w:val="center"/>
          </w:tcPr>
          <w:p w14:paraId="63139ED4" w14:textId="77777777" w:rsidR="00BA0745" w:rsidRDefault="00000000">
            <w:pPr>
              <w:spacing w:before="120" w:after="120"/>
              <w:jc w:val="center"/>
              <w:rPr>
                <w:sz w:val="22"/>
                <w:szCs w:val="22"/>
              </w:rPr>
            </w:pPr>
            <w:r>
              <w:rPr>
                <w:sz w:val="22"/>
                <w:szCs w:val="22"/>
              </w:rPr>
              <w:t>Individual-priority CORE-8 WSQS sample</w:t>
            </w:r>
          </w:p>
        </w:tc>
        <w:tc>
          <w:tcPr>
            <w:tcW w:w="3602" w:type="dxa"/>
            <w:vAlign w:val="center"/>
          </w:tcPr>
          <w:p w14:paraId="02C12634" w14:textId="77777777" w:rsidR="00BA0745" w:rsidRDefault="00000000">
            <w:pPr>
              <w:spacing w:before="120" w:after="120"/>
              <w:jc w:val="center"/>
              <w:rPr>
                <w:sz w:val="22"/>
                <w:szCs w:val="22"/>
              </w:rPr>
            </w:pPr>
            <w:r>
              <w:rPr>
                <w:sz w:val="22"/>
                <w:szCs w:val="22"/>
              </w:rPr>
              <w:t>Households with individual-priority-weighted aggregate WSQS</w:t>
            </w:r>
          </w:p>
        </w:tc>
        <w:tc>
          <w:tcPr>
            <w:tcW w:w="852" w:type="dxa"/>
            <w:vAlign w:val="center"/>
          </w:tcPr>
          <w:p w14:paraId="46E33DAE" w14:textId="77777777" w:rsidR="00BA0745" w:rsidRDefault="00000000">
            <w:pPr>
              <w:spacing w:before="120" w:after="120"/>
              <w:jc w:val="center"/>
              <w:rPr>
                <w:sz w:val="22"/>
                <w:szCs w:val="22"/>
              </w:rPr>
            </w:pPr>
            <w:r>
              <w:rPr>
                <w:sz w:val="22"/>
                <w:szCs w:val="22"/>
              </w:rPr>
              <w:t>6,145</w:t>
            </w:r>
          </w:p>
        </w:tc>
        <w:tc>
          <w:tcPr>
            <w:tcW w:w="2675" w:type="dxa"/>
            <w:vAlign w:val="center"/>
          </w:tcPr>
          <w:p w14:paraId="16C21D2C" w14:textId="77777777" w:rsidR="00BA0745" w:rsidRDefault="00000000">
            <w:pPr>
              <w:spacing w:before="120" w:after="120"/>
              <w:jc w:val="center"/>
              <w:rPr>
                <w:sz w:val="22"/>
                <w:szCs w:val="22"/>
              </w:rPr>
            </w:pPr>
            <w:r>
              <w:rPr>
                <w:sz w:val="22"/>
                <w:szCs w:val="22"/>
              </w:rPr>
              <w:t>Sensitivity outcome using household-specific priorities</w:t>
            </w:r>
          </w:p>
        </w:tc>
      </w:tr>
      <w:tr w:rsidR="00BA0745" w14:paraId="66C84A77" w14:textId="77777777">
        <w:trPr>
          <w:jc w:val="center"/>
        </w:trPr>
        <w:tc>
          <w:tcPr>
            <w:tcW w:w="2231" w:type="dxa"/>
            <w:vAlign w:val="center"/>
          </w:tcPr>
          <w:p w14:paraId="22C639FE" w14:textId="77777777" w:rsidR="00BA0745" w:rsidRDefault="00000000">
            <w:pPr>
              <w:spacing w:before="120" w:after="120"/>
              <w:jc w:val="center"/>
              <w:rPr>
                <w:sz w:val="22"/>
                <w:szCs w:val="22"/>
              </w:rPr>
            </w:pPr>
            <w:r>
              <w:rPr>
                <w:sz w:val="22"/>
                <w:szCs w:val="22"/>
              </w:rPr>
              <w:t>Main training sample</w:t>
            </w:r>
          </w:p>
        </w:tc>
        <w:tc>
          <w:tcPr>
            <w:tcW w:w="3602" w:type="dxa"/>
            <w:vAlign w:val="center"/>
          </w:tcPr>
          <w:p w14:paraId="29AB918D" w14:textId="77777777" w:rsidR="00BA0745" w:rsidRDefault="00000000">
            <w:pPr>
              <w:spacing w:before="120" w:after="120"/>
              <w:jc w:val="center"/>
              <w:rPr>
                <w:sz w:val="22"/>
                <w:szCs w:val="22"/>
              </w:rPr>
            </w:pPr>
            <w:r>
              <w:rPr>
                <w:sz w:val="22"/>
                <w:szCs w:val="22"/>
              </w:rPr>
              <w:t>80% training partition for nested CatBoost models</w:t>
            </w:r>
          </w:p>
        </w:tc>
        <w:tc>
          <w:tcPr>
            <w:tcW w:w="852" w:type="dxa"/>
            <w:vAlign w:val="center"/>
          </w:tcPr>
          <w:p w14:paraId="35FBA49E" w14:textId="77777777" w:rsidR="00BA0745" w:rsidRDefault="00000000">
            <w:pPr>
              <w:spacing w:before="120" w:after="120"/>
              <w:jc w:val="center"/>
              <w:rPr>
                <w:sz w:val="22"/>
                <w:szCs w:val="22"/>
              </w:rPr>
            </w:pPr>
            <w:r>
              <w:rPr>
                <w:sz w:val="22"/>
                <w:szCs w:val="22"/>
              </w:rPr>
              <w:t>4,916</w:t>
            </w:r>
          </w:p>
        </w:tc>
        <w:tc>
          <w:tcPr>
            <w:tcW w:w="2675" w:type="dxa"/>
            <w:vAlign w:val="center"/>
          </w:tcPr>
          <w:p w14:paraId="11E70570" w14:textId="77777777" w:rsidR="00BA0745" w:rsidRDefault="00000000">
            <w:pPr>
              <w:spacing w:before="120" w:after="120"/>
              <w:jc w:val="center"/>
              <w:rPr>
                <w:sz w:val="22"/>
                <w:szCs w:val="22"/>
              </w:rPr>
            </w:pPr>
            <w:r>
              <w:rPr>
                <w:sz w:val="22"/>
                <w:szCs w:val="22"/>
              </w:rPr>
              <w:t>Same split structure used for M0–M3</w:t>
            </w:r>
          </w:p>
        </w:tc>
      </w:tr>
      <w:tr w:rsidR="00BA0745" w14:paraId="0BA0D456" w14:textId="77777777">
        <w:trPr>
          <w:jc w:val="center"/>
        </w:trPr>
        <w:tc>
          <w:tcPr>
            <w:tcW w:w="2231" w:type="dxa"/>
            <w:vAlign w:val="center"/>
          </w:tcPr>
          <w:p w14:paraId="2CDD9A96" w14:textId="77777777" w:rsidR="00BA0745" w:rsidRDefault="00000000">
            <w:pPr>
              <w:spacing w:before="120" w:after="120"/>
              <w:jc w:val="center"/>
              <w:rPr>
                <w:sz w:val="22"/>
                <w:szCs w:val="22"/>
              </w:rPr>
            </w:pPr>
            <w:r>
              <w:rPr>
                <w:sz w:val="22"/>
                <w:szCs w:val="22"/>
              </w:rPr>
              <w:t>Held-out test sample</w:t>
            </w:r>
          </w:p>
        </w:tc>
        <w:tc>
          <w:tcPr>
            <w:tcW w:w="3602" w:type="dxa"/>
            <w:vAlign w:val="center"/>
          </w:tcPr>
          <w:p w14:paraId="4C8040C9" w14:textId="77777777" w:rsidR="00BA0745" w:rsidRDefault="00000000">
            <w:pPr>
              <w:spacing w:before="120" w:after="120"/>
              <w:jc w:val="center"/>
              <w:rPr>
                <w:sz w:val="22"/>
                <w:szCs w:val="22"/>
              </w:rPr>
            </w:pPr>
            <w:r>
              <w:rPr>
                <w:sz w:val="22"/>
                <w:szCs w:val="22"/>
              </w:rPr>
              <w:t>20% held-out partition for model evaluation</w:t>
            </w:r>
          </w:p>
        </w:tc>
        <w:tc>
          <w:tcPr>
            <w:tcW w:w="852" w:type="dxa"/>
            <w:vAlign w:val="center"/>
          </w:tcPr>
          <w:p w14:paraId="6F42461E" w14:textId="77777777" w:rsidR="00BA0745" w:rsidRDefault="00000000">
            <w:pPr>
              <w:spacing w:before="120" w:after="120"/>
              <w:jc w:val="center"/>
              <w:rPr>
                <w:sz w:val="22"/>
                <w:szCs w:val="22"/>
              </w:rPr>
            </w:pPr>
            <w:r>
              <w:rPr>
                <w:sz w:val="22"/>
                <w:szCs w:val="22"/>
              </w:rPr>
              <w:t>1,229</w:t>
            </w:r>
          </w:p>
        </w:tc>
        <w:tc>
          <w:tcPr>
            <w:tcW w:w="2675" w:type="dxa"/>
            <w:vAlign w:val="center"/>
          </w:tcPr>
          <w:p w14:paraId="5C88EAB4" w14:textId="77777777" w:rsidR="00BA0745" w:rsidRDefault="00000000">
            <w:pPr>
              <w:spacing w:before="120" w:after="120"/>
              <w:jc w:val="center"/>
              <w:rPr>
                <w:sz w:val="22"/>
                <w:szCs w:val="22"/>
              </w:rPr>
            </w:pPr>
            <w:r>
              <w:rPr>
                <w:sz w:val="22"/>
                <w:szCs w:val="22"/>
              </w:rPr>
              <w:t>Used for primary validation and interpretation</w:t>
            </w:r>
          </w:p>
        </w:tc>
      </w:tr>
      <w:tr w:rsidR="00BA0745" w14:paraId="42278DC0" w14:textId="77777777">
        <w:trPr>
          <w:jc w:val="center"/>
        </w:trPr>
        <w:tc>
          <w:tcPr>
            <w:tcW w:w="2231" w:type="dxa"/>
            <w:tcBorders>
              <w:bottom w:val="single" w:sz="4" w:space="0" w:color="000000"/>
            </w:tcBorders>
            <w:vAlign w:val="center"/>
          </w:tcPr>
          <w:p w14:paraId="33FE8BA9" w14:textId="77777777" w:rsidR="00BA0745" w:rsidRDefault="00000000">
            <w:pPr>
              <w:spacing w:before="120" w:after="120"/>
              <w:jc w:val="center"/>
              <w:rPr>
                <w:sz w:val="22"/>
                <w:szCs w:val="22"/>
              </w:rPr>
            </w:pPr>
            <w:r>
              <w:rPr>
                <w:sz w:val="22"/>
                <w:szCs w:val="22"/>
              </w:rPr>
              <w:t>Repeated-split robustness sample</w:t>
            </w:r>
          </w:p>
        </w:tc>
        <w:tc>
          <w:tcPr>
            <w:tcW w:w="3602" w:type="dxa"/>
            <w:tcBorders>
              <w:bottom w:val="single" w:sz="4" w:space="0" w:color="000000"/>
            </w:tcBorders>
            <w:vAlign w:val="center"/>
          </w:tcPr>
          <w:p w14:paraId="47409083" w14:textId="77777777" w:rsidR="00BA0745" w:rsidRDefault="00000000">
            <w:pPr>
              <w:spacing w:before="120" w:after="120"/>
              <w:jc w:val="center"/>
              <w:rPr>
                <w:sz w:val="22"/>
                <w:szCs w:val="22"/>
              </w:rPr>
            </w:pPr>
            <w:r>
              <w:rPr>
                <w:sz w:val="22"/>
                <w:szCs w:val="22"/>
              </w:rPr>
              <w:t>Full model-ready sample resampled across repeated train-test partitions</w:t>
            </w:r>
          </w:p>
        </w:tc>
        <w:tc>
          <w:tcPr>
            <w:tcW w:w="852" w:type="dxa"/>
            <w:tcBorders>
              <w:bottom w:val="single" w:sz="4" w:space="0" w:color="000000"/>
            </w:tcBorders>
            <w:vAlign w:val="center"/>
          </w:tcPr>
          <w:p w14:paraId="12F4BB53" w14:textId="77777777" w:rsidR="00BA0745" w:rsidRDefault="00000000">
            <w:pPr>
              <w:spacing w:before="120" w:after="120"/>
              <w:jc w:val="center"/>
              <w:rPr>
                <w:sz w:val="22"/>
                <w:szCs w:val="22"/>
              </w:rPr>
            </w:pPr>
            <w:r>
              <w:rPr>
                <w:sz w:val="22"/>
                <w:szCs w:val="22"/>
              </w:rPr>
              <w:t>6,145</w:t>
            </w:r>
          </w:p>
        </w:tc>
        <w:tc>
          <w:tcPr>
            <w:tcW w:w="2675" w:type="dxa"/>
            <w:tcBorders>
              <w:bottom w:val="single" w:sz="4" w:space="0" w:color="000000"/>
            </w:tcBorders>
            <w:vAlign w:val="center"/>
          </w:tcPr>
          <w:p w14:paraId="51C30870" w14:textId="77777777" w:rsidR="00BA0745" w:rsidRDefault="00000000">
            <w:pPr>
              <w:spacing w:before="120" w:after="120"/>
              <w:jc w:val="center"/>
              <w:rPr>
                <w:sz w:val="22"/>
                <w:szCs w:val="22"/>
              </w:rPr>
            </w:pPr>
            <w:r>
              <w:rPr>
                <w:sz w:val="22"/>
                <w:szCs w:val="22"/>
              </w:rPr>
              <w:t>Used to evaluate stability across splits</w:t>
            </w:r>
          </w:p>
        </w:tc>
      </w:tr>
    </w:tbl>
    <w:p w14:paraId="0275C928" w14:textId="77777777" w:rsidR="00BA0745" w:rsidRDefault="00000000">
      <w:pPr>
        <w:spacing w:before="120" w:after="120"/>
        <w:jc w:val="both"/>
        <w:rPr>
          <w:b/>
          <w:bCs/>
          <w:sz w:val="22"/>
          <w:szCs w:val="22"/>
        </w:rPr>
      </w:pPr>
      <w:r>
        <w:rPr>
          <w:b/>
          <w:bCs/>
          <w:sz w:val="22"/>
          <w:szCs w:val="22"/>
        </w:rPr>
        <w:t>S1.2. CORE-8 WSQS construction items and anti-circularity rule</w:t>
      </w:r>
    </w:p>
    <w:p w14:paraId="7BB2C52A" w14:textId="28A53A43" w:rsidR="00BA0745" w:rsidRDefault="00000000">
      <w:pPr>
        <w:spacing w:before="120" w:after="120"/>
        <w:jc w:val="both"/>
        <w:rPr>
          <w:sz w:val="22"/>
          <w:szCs w:val="22"/>
        </w:rPr>
      </w:pPr>
      <w:r>
        <w:rPr>
          <w:sz w:val="22"/>
          <w:szCs w:val="22"/>
        </w:rPr>
        <w:t xml:space="preserve">WSQS was constructed </w:t>
      </w:r>
      <w:r w:rsidR="00500622">
        <w:rPr>
          <w:sz w:val="22"/>
          <w:szCs w:val="22"/>
        </w:rPr>
        <w:t xml:space="preserve">the WSQS </w:t>
      </w:r>
      <w:r>
        <w:rPr>
          <w:sz w:val="22"/>
          <w:szCs w:val="22"/>
        </w:rPr>
        <w:t>from eight service-quality domains: affordability, access, reliability, efficiency, acceptability, perceived quality, quantity sufficiency, and customer service (the complete survey question book is presented in Table S2). We used one broad core item from each domain to construct the primary, equally weighted CORE-8 WSQS outcome. These CORE-8 items were excluded from all predictor sets.</w:t>
      </w:r>
    </w:p>
    <w:p w14:paraId="1442E0F6" w14:textId="77777777" w:rsidR="00BA0745" w:rsidRDefault="00000000">
      <w:pPr>
        <w:spacing w:before="120" w:after="120"/>
        <w:jc w:val="both"/>
        <w:rPr>
          <w:sz w:val="22"/>
          <w:szCs w:val="22"/>
        </w:rPr>
      </w:pPr>
      <w:r>
        <w:rPr>
          <w:sz w:val="22"/>
          <w:szCs w:val="22"/>
        </w:rPr>
        <w:t>We harmonized raw responses to a 1–5 severity scale, where 1 indicates the best service condition or lowest burden and 5 indicates the worst service condition or highest burden. The reporting transformation to the 0–100 WSQS scale is described in the main Methods. The construction items and allowed diagnostic predictors are shown below.</w:t>
      </w:r>
    </w:p>
    <w:p w14:paraId="64BCFBC8" w14:textId="77777777" w:rsidR="00BA0745" w:rsidRDefault="00000000">
      <w:pPr>
        <w:spacing w:before="120" w:after="120"/>
        <w:jc w:val="both"/>
        <w:rPr>
          <w:sz w:val="22"/>
          <w:szCs w:val="22"/>
        </w:rPr>
      </w:pPr>
      <w:r>
        <w:rPr>
          <w:b/>
          <w:bCs/>
          <w:sz w:val="22"/>
          <w:szCs w:val="22"/>
        </w:rPr>
        <w:t xml:space="preserve">Supplementary Table S2. </w:t>
      </w:r>
      <w:r>
        <w:rPr>
          <w:sz w:val="22"/>
          <w:szCs w:val="22"/>
        </w:rPr>
        <w:t>CORE-8 WSQS construction items and anti-circularity rule.</w:t>
      </w:r>
    </w:p>
    <w:tbl>
      <w:tblPr>
        <w:tblStyle w:val="af1"/>
        <w:tblW w:w="9360" w:type="dxa"/>
        <w:jc w:val="center"/>
        <w:tblLayout w:type="fixed"/>
        <w:tblLook w:val="0400" w:firstRow="0" w:lastRow="0" w:firstColumn="0" w:lastColumn="0" w:noHBand="0" w:noVBand="1"/>
      </w:tblPr>
      <w:tblGrid>
        <w:gridCol w:w="1581"/>
        <w:gridCol w:w="2314"/>
        <w:gridCol w:w="1344"/>
        <w:gridCol w:w="1538"/>
        <w:gridCol w:w="2583"/>
      </w:tblGrid>
      <w:tr w:rsidR="00BA0745" w14:paraId="780683D5" w14:textId="77777777">
        <w:trPr>
          <w:jc w:val="center"/>
        </w:trPr>
        <w:tc>
          <w:tcPr>
            <w:tcW w:w="1581" w:type="dxa"/>
            <w:tcBorders>
              <w:top w:val="single" w:sz="4" w:space="0" w:color="000000"/>
              <w:bottom w:val="single" w:sz="4" w:space="0" w:color="000000"/>
            </w:tcBorders>
            <w:vAlign w:val="center"/>
          </w:tcPr>
          <w:p w14:paraId="41140D42" w14:textId="77777777" w:rsidR="00BA0745" w:rsidRDefault="00000000">
            <w:pPr>
              <w:spacing w:before="120" w:after="120"/>
              <w:jc w:val="center"/>
              <w:rPr>
                <w:sz w:val="22"/>
                <w:szCs w:val="22"/>
              </w:rPr>
            </w:pPr>
            <w:r>
              <w:rPr>
                <w:sz w:val="22"/>
                <w:szCs w:val="22"/>
              </w:rPr>
              <w:t>WSQS domain</w:t>
            </w:r>
          </w:p>
        </w:tc>
        <w:tc>
          <w:tcPr>
            <w:tcW w:w="2314" w:type="dxa"/>
            <w:tcBorders>
              <w:top w:val="single" w:sz="4" w:space="0" w:color="000000"/>
              <w:bottom w:val="single" w:sz="4" w:space="0" w:color="000000"/>
            </w:tcBorders>
            <w:vAlign w:val="center"/>
          </w:tcPr>
          <w:p w14:paraId="394D8281" w14:textId="77777777" w:rsidR="00BA0745" w:rsidRDefault="00000000">
            <w:pPr>
              <w:spacing w:before="120" w:after="120"/>
              <w:jc w:val="center"/>
              <w:rPr>
                <w:sz w:val="22"/>
                <w:szCs w:val="22"/>
              </w:rPr>
            </w:pPr>
            <w:r>
              <w:rPr>
                <w:sz w:val="22"/>
                <w:szCs w:val="22"/>
              </w:rPr>
              <w:t>CORE-8 construction item</w:t>
            </w:r>
          </w:p>
        </w:tc>
        <w:tc>
          <w:tcPr>
            <w:tcW w:w="1344" w:type="dxa"/>
            <w:tcBorders>
              <w:top w:val="single" w:sz="4" w:space="0" w:color="000000"/>
              <w:bottom w:val="single" w:sz="4" w:space="0" w:color="000000"/>
            </w:tcBorders>
            <w:vAlign w:val="center"/>
          </w:tcPr>
          <w:p w14:paraId="6D946D6C" w14:textId="77777777" w:rsidR="00BA0745" w:rsidRDefault="00000000">
            <w:pPr>
              <w:spacing w:before="120" w:after="120"/>
              <w:jc w:val="center"/>
              <w:rPr>
                <w:sz w:val="22"/>
                <w:szCs w:val="22"/>
              </w:rPr>
            </w:pPr>
            <w:r>
              <w:rPr>
                <w:sz w:val="22"/>
                <w:szCs w:val="22"/>
              </w:rPr>
              <w:t>Used in WSQS</w:t>
            </w:r>
          </w:p>
        </w:tc>
        <w:tc>
          <w:tcPr>
            <w:tcW w:w="1538" w:type="dxa"/>
            <w:tcBorders>
              <w:top w:val="single" w:sz="4" w:space="0" w:color="000000"/>
              <w:bottom w:val="single" w:sz="4" w:space="0" w:color="000000"/>
            </w:tcBorders>
            <w:vAlign w:val="center"/>
          </w:tcPr>
          <w:p w14:paraId="7236AAEA" w14:textId="77777777" w:rsidR="00BA0745" w:rsidRDefault="00000000">
            <w:pPr>
              <w:spacing w:before="120" w:after="120"/>
              <w:jc w:val="center"/>
              <w:rPr>
                <w:sz w:val="22"/>
                <w:szCs w:val="22"/>
              </w:rPr>
            </w:pPr>
            <w:r>
              <w:rPr>
                <w:sz w:val="22"/>
                <w:szCs w:val="22"/>
              </w:rPr>
              <w:t>Used as predictor</w:t>
            </w:r>
          </w:p>
        </w:tc>
        <w:tc>
          <w:tcPr>
            <w:tcW w:w="2583" w:type="dxa"/>
            <w:tcBorders>
              <w:top w:val="single" w:sz="4" w:space="0" w:color="000000"/>
              <w:bottom w:val="single" w:sz="4" w:space="0" w:color="000000"/>
            </w:tcBorders>
            <w:vAlign w:val="center"/>
          </w:tcPr>
          <w:p w14:paraId="3647B564" w14:textId="77777777" w:rsidR="00BA0745" w:rsidRDefault="00000000">
            <w:pPr>
              <w:spacing w:before="120" w:after="120"/>
              <w:jc w:val="center"/>
              <w:rPr>
                <w:sz w:val="22"/>
                <w:szCs w:val="22"/>
              </w:rPr>
            </w:pPr>
            <w:r>
              <w:rPr>
                <w:sz w:val="22"/>
                <w:szCs w:val="22"/>
              </w:rPr>
              <w:t>Allowed diagnostic predictors</w:t>
            </w:r>
          </w:p>
        </w:tc>
      </w:tr>
      <w:tr w:rsidR="00BA0745" w14:paraId="01B81399" w14:textId="77777777">
        <w:trPr>
          <w:jc w:val="center"/>
        </w:trPr>
        <w:tc>
          <w:tcPr>
            <w:tcW w:w="1581" w:type="dxa"/>
            <w:vAlign w:val="center"/>
          </w:tcPr>
          <w:p w14:paraId="2CFC7FA9" w14:textId="77777777" w:rsidR="00BA0745" w:rsidRDefault="00000000">
            <w:pPr>
              <w:spacing w:before="120" w:after="120"/>
              <w:jc w:val="center"/>
              <w:rPr>
                <w:sz w:val="22"/>
                <w:szCs w:val="22"/>
              </w:rPr>
            </w:pPr>
            <w:r>
              <w:rPr>
                <w:sz w:val="22"/>
                <w:szCs w:val="22"/>
              </w:rPr>
              <w:t>Affordability</w:t>
            </w:r>
          </w:p>
        </w:tc>
        <w:tc>
          <w:tcPr>
            <w:tcW w:w="2314" w:type="dxa"/>
            <w:vAlign w:val="center"/>
          </w:tcPr>
          <w:p w14:paraId="6DBA44D8" w14:textId="77777777" w:rsidR="00BA0745" w:rsidRDefault="00000000">
            <w:pPr>
              <w:spacing w:before="120" w:after="120"/>
              <w:jc w:val="center"/>
              <w:rPr>
                <w:sz w:val="22"/>
                <w:szCs w:val="22"/>
              </w:rPr>
            </w:pPr>
            <w:r>
              <w:rPr>
                <w:sz w:val="22"/>
                <w:szCs w:val="22"/>
              </w:rPr>
              <w:t>Q2.2</w:t>
            </w:r>
          </w:p>
        </w:tc>
        <w:tc>
          <w:tcPr>
            <w:tcW w:w="1344" w:type="dxa"/>
            <w:vAlign w:val="center"/>
          </w:tcPr>
          <w:p w14:paraId="1DEFF321" w14:textId="77777777" w:rsidR="00BA0745" w:rsidRDefault="00000000">
            <w:pPr>
              <w:spacing w:before="120" w:after="120"/>
              <w:jc w:val="center"/>
              <w:rPr>
                <w:sz w:val="22"/>
                <w:szCs w:val="22"/>
              </w:rPr>
            </w:pPr>
            <w:r>
              <w:rPr>
                <w:sz w:val="22"/>
                <w:szCs w:val="22"/>
              </w:rPr>
              <w:t>Yes</w:t>
            </w:r>
          </w:p>
        </w:tc>
        <w:tc>
          <w:tcPr>
            <w:tcW w:w="1538" w:type="dxa"/>
            <w:vAlign w:val="center"/>
          </w:tcPr>
          <w:p w14:paraId="194EF89B" w14:textId="77777777" w:rsidR="00BA0745" w:rsidRDefault="00000000">
            <w:pPr>
              <w:spacing w:before="120" w:after="120"/>
              <w:jc w:val="center"/>
              <w:rPr>
                <w:sz w:val="22"/>
                <w:szCs w:val="22"/>
              </w:rPr>
            </w:pPr>
            <w:r>
              <w:rPr>
                <w:sz w:val="22"/>
                <w:szCs w:val="22"/>
              </w:rPr>
              <w:t>No</w:t>
            </w:r>
          </w:p>
        </w:tc>
        <w:tc>
          <w:tcPr>
            <w:tcW w:w="2583" w:type="dxa"/>
            <w:vAlign w:val="center"/>
          </w:tcPr>
          <w:p w14:paraId="05A40DF5" w14:textId="77777777" w:rsidR="00BA0745" w:rsidRDefault="00000000">
            <w:pPr>
              <w:spacing w:before="120" w:after="120"/>
              <w:jc w:val="center"/>
              <w:rPr>
                <w:sz w:val="22"/>
                <w:szCs w:val="22"/>
              </w:rPr>
            </w:pPr>
            <w:r>
              <w:rPr>
                <w:sz w:val="22"/>
                <w:szCs w:val="22"/>
              </w:rPr>
              <w:t>Q2.3; Q2.5; Q2.8</w:t>
            </w:r>
          </w:p>
        </w:tc>
      </w:tr>
      <w:tr w:rsidR="00BA0745" w14:paraId="6DDE93C3" w14:textId="77777777">
        <w:trPr>
          <w:jc w:val="center"/>
        </w:trPr>
        <w:tc>
          <w:tcPr>
            <w:tcW w:w="1581" w:type="dxa"/>
            <w:vAlign w:val="center"/>
          </w:tcPr>
          <w:p w14:paraId="0DD492C7" w14:textId="77777777" w:rsidR="00BA0745" w:rsidRDefault="00000000">
            <w:pPr>
              <w:spacing w:before="120" w:after="120"/>
              <w:jc w:val="center"/>
              <w:rPr>
                <w:sz w:val="22"/>
                <w:szCs w:val="22"/>
              </w:rPr>
            </w:pPr>
            <w:r>
              <w:rPr>
                <w:sz w:val="22"/>
                <w:szCs w:val="22"/>
              </w:rPr>
              <w:t>Access</w:t>
            </w:r>
          </w:p>
        </w:tc>
        <w:tc>
          <w:tcPr>
            <w:tcW w:w="2314" w:type="dxa"/>
            <w:vAlign w:val="center"/>
          </w:tcPr>
          <w:p w14:paraId="2F0F86A2" w14:textId="77777777" w:rsidR="00BA0745" w:rsidRDefault="00000000">
            <w:pPr>
              <w:spacing w:before="120" w:after="120"/>
              <w:jc w:val="center"/>
              <w:rPr>
                <w:sz w:val="22"/>
                <w:szCs w:val="22"/>
              </w:rPr>
            </w:pPr>
            <w:r>
              <w:rPr>
                <w:sz w:val="22"/>
                <w:szCs w:val="22"/>
              </w:rPr>
              <w:t>Q3.1</w:t>
            </w:r>
          </w:p>
        </w:tc>
        <w:tc>
          <w:tcPr>
            <w:tcW w:w="1344" w:type="dxa"/>
            <w:vAlign w:val="center"/>
          </w:tcPr>
          <w:p w14:paraId="01ACB106" w14:textId="77777777" w:rsidR="00BA0745" w:rsidRDefault="00000000">
            <w:pPr>
              <w:spacing w:before="120" w:after="120"/>
              <w:jc w:val="center"/>
              <w:rPr>
                <w:sz w:val="22"/>
                <w:szCs w:val="22"/>
              </w:rPr>
            </w:pPr>
            <w:r>
              <w:rPr>
                <w:sz w:val="22"/>
                <w:szCs w:val="22"/>
              </w:rPr>
              <w:t>Yes</w:t>
            </w:r>
          </w:p>
        </w:tc>
        <w:tc>
          <w:tcPr>
            <w:tcW w:w="1538" w:type="dxa"/>
            <w:vAlign w:val="center"/>
          </w:tcPr>
          <w:p w14:paraId="590FE12F" w14:textId="77777777" w:rsidR="00BA0745" w:rsidRDefault="00000000">
            <w:pPr>
              <w:spacing w:before="120" w:after="120"/>
              <w:jc w:val="center"/>
              <w:rPr>
                <w:sz w:val="22"/>
                <w:szCs w:val="22"/>
              </w:rPr>
            </w:pPr>
            <w:r>
              <w:rPr>
                <w:sz w:val="22"/>
                <w:szCs w:val="22"/>
              </w:rPr>
              <w:t>No</w:t>
            </w:r>
          </w:p>
        </w:tc>
        <w:tc>
          <w:tcPr>
            <w:tcW w:w="2583" w:type="dxa"/>
            <w:vAlign w:val="center"/>
          </w:tcPr>
          <w:p w14:paraId="513EB625" w14:textId="77777777" w:rsidR="00BA0745" w:rsidRDefault="00000000">
            <w:pPr>
              <w:spacing w:before="120" w:after="120"/>
              <w:jc w:val="center"/>
              <w:rPr>
                <w:sz w:val="22"/>
                <w:szCs w:val="22"/>
              </w:rPr>
            </w:pPr>
            <w:r>
              <w:rPr>
                <w:sz w:val="22"/>
                <w:szCs w:val="22"/>
              </w:rPr>
              <w:t>Q3.2; Q3.3; Q3.5; Q3.6</w:t>
            </w:r>
          </w:p>
        </w:tc>
      </w:tr>
      <w:tr w:rsidR="00BA0745" w14:paraId="0B757C43" w14:textId="77777777">
        <w:trPr>
          <w:jc w:val="center"/>
        </w:trPr>
        <w:tc>
          <w:tcPr>
            <w:tcW w:w="1581" w:type="dxa"/>
            <w:vAlign w:val="center"/>
          </w:tcPr>
          <w:p w14:paraId="0ED79661" w14:textId="77777777" w:rsidR="00BA0745" w:rsidRDefault="00000000">
            <w:pPr>
              <w:spacing w:before="120" w:after="120"/>
              <w:jc w:val="center"/>
              <w:rPr>
                <w:sz w:val="22"/>
                <w:szCs w:val="22"/>
              </w:rPr>
            </w:pPr>
            <w:r>
              <w:rPr>
                <w:sz w:val="22"/>
                <w:szCs w:val="22"/>
              </w:rPr>
              <w:t>Reliability</w:t>
            </w:r>
          </w:p>
        </w:tc>
        <w:tc>
          <w:tcPr>
            <w:tcW w:w="2314" w:type="dxa"/>
            <w:vAlign w:val="center"/>
          </w:tcPr>
          <w:p w14:paraId="7FB0C859" w14:textId="77777777" w:rsidR="00BA0745" w:rsidRDefault="00000000">
            <w:pPr>
              <w:spacing w:before="120" w:after="120"/>
              <w:jc w:val="center"/>
              <w:rPr>
                <w:sz w:val="22"/>
                <w:szCs w:val="22"/>
              </w:rPr>
            </w:pPr>
            <w:r>
              <w:rPr>
                <w:sz w:val="22"/>
                <w:szCs w:val="22"/>
              </w:rPr>
              <w:t>Q4.1</w:t>
            </w:r>
          </w:p>
        </w:tc>
        <w:tc>
          <w:tcPr>
            <w:tcW w:w="1344" w:type="dxa"/>
            <w:vAlign w:val="center"/>
          </w:tcPr>
          <w:p w14:paraId="3C02F89E" w14:textId="77777777" w:rsidR="00BA0745" w:rsidRDefault="00000000">
            <w:pPr>
              <w:spacing w:before="120" w:after="120"/>
              <w:jc w:val="center"/>
              <w:rPr>
                <w:sz w:val="22"/>
                <w:szCs w:val="22"/>
              </w:rPr>
            </w:pPr>
            <w:r>
              <w:rPr>
                <w:sz w:val="22"/>
                <w:szCs w:val="22"/>
              </w:rPr>
              <w:t>Yes</w:t>
            </w:r>
          </w:p>
        </w:tc>
        <w:tc>
          <w:tcPr>
            <w:tcW w:w="1538" w:type="dxa"/>
            <w:vAlign w:val="center"/>
          </w:tcPr>
          <w:p w14:paraId="590889A8" w14:textId="77777777" w:rsidR="00BA0745" w:rsidRDefault="00000000">
            <w:pPr>
              <w:spacing w:before="120" w:after="120"/>
              <w:jc w:val="center"/>
              <w:rPr>
                <w:sz w:val="22"/>
                <w:szCs w:val="22"/>
              </w:rPr>
            </w:pPr>
            <w:r>
              <w:rPr>
                <w:sz w:val="22"/>
                <w:szCs w:val="22"/>
              </w:rPr>
              <w:t>No</w:t>
            </w:r>
          </w:p>
        </w:tc>
        <w:tc>
          <w:tcPr>
            <w:tcW w:w="2583" w:type="dxa"/>
            <w:vAlign w:val="center"/>
          </w:tcPr>
          <w:p w14:paraId="3795DE14" w14:textId="77777777" w:rsidR="00BA0745" w:rsidRDefault="00000000">
            <w:pPr>
              <w:spacing w:before="120" w:after="120"/>
              <w:jc w:val="center"/>
              <w:rPr>
                <w:sz w:val="22"/>
                <w:szCs w:val="22"/>
              </w:rPr>
            </w:pPr>
            <w:r>
              <w:rPr>
                <w:sz w:val="22"/>
                <w:szCs w:val="22"/>
              </w:rPr>
              <w:t>Q4.2; Q4.3; Q4.4</w:t>
            </w:r>
          </w:p>
        </w:tc>
      </w:tr>
      <w:tr w:rsidR="00BA0745" w14:paraId="0984DC04" w14:textId="77777777">
        <w:trPr>
          <w:jc w:val="center"/>
        </w:trPr>
        <w:tc>
          <w:tcPr>
            <w:tcW w:w="1581" w:type="dxa"/>
            <w:vAlign w:val="center"/>
          </w:tcPr>
          <w:p w14:paraId="352CC565" w14:textId="77777777" w:rsidR="00BA0745" w:rsidRDefault="00000000">
            <w:pPr>
              <w:spacing w:before="120" w:after="120"/>
              <w:jc w:val="center"/>
              <w:rPr>
                <w:sz w:val="22"/>
                <w:szCs w:val="22"/>
              </w:rPr>
            </w:pPr>
            <w:r>
              <w:rPr>
                <w:sz w:val="22"/>
                <w:szCs w:val="22"/>
              </w:rPr>
              <w:t>Efficiency</w:t>
            </w:r>
          </w:p>
        </w:tc>
        <w:tc>
          <w:tcPr>
            <w:tcW w:w="2314" w:type="dxa"/>
            <w:vAlign w:val="center"/>
          </w:tcPr>
          <w:p w14:paraId="119D903B" w14:textId="77777777" w:rsidR="00BA0745" w:rsidRDefault="00000000">
            <w:pPr>
              <w:spacing w:before="120" w:after="120"/>
              <w:jc w:val="center"/>
              <w:rPr>
                <w:sz w:val="22"/>
                <w:szCs w:val="22"/>
              </w:rPr>
            </w:pPr>
            <w:r>
              <w:rPr>
                <w:sz w:val="22"/>
                <w:szCs w:val="22"/>
              </w:rPr>
              <w:t>Q5.1</w:t>
            </w:r>
          </w:p>
        </w:tc>
        <w:tc>
          <w:tcPr>
            <w:tcW w:w="1344" w:type="dxa"/>
            <w:vAlign w:val="center"/>
          </w:tcPr>
          <w:p w14:paraId="64B2E76C" w14:textId="77777777" w:rsidR="00BA0745" w:rsidRDefault="00000000">
            <w:pPr>
              <w:spacing w:before="120" w:after="120"/>
              <w:jc w:val="center"/>
              <w:rPr>
                <w:sz w:val="22"/>
                <w:szCs w:val="22"/>
              </w:rPr>
            </w:pPr>
            <w:r>
              <w:rPr>
                <w:sz w:val="22"/>
                <w:szCs w:val="22"/>
              </w:rPr>
              <w:t>Yes</w:t>
            </w:r>
          </w:p>
        </w:tc>
        <w:tc>
          <w:tcPr>
            <w:tcW w:w="1538" w:type="dxa"/>
            <w:vAlign w:val="center"/>
          </w:tcPr>
          <w:p w14:paraId="3E64F8B8" w14:textId="77777777" w:rsidR="00BA0745" w:rsidRDefault="00000000">
            <w:pPr>
              <w:spacing w:before="120" w:after="120"/>
              <w:jc w:val="center"/>
              <w:rPr>
                <w:sz w:val="22"/>
                <w:szCs w:val="22"/>
              </w:rPr>
            </w:pPr>
            <w:r>
              <w:rPr>
                <w:sz w:val="22"/>
                <w:szCs w:val="22"/>
              </w:rPr>
              <w:t>No</w:t>
            </w:r>
          </w:p>
        </w:tc>
        <w:tc>
          <w:tcPr>
            <w:tcW w:w="2583" w:type="dxa"/>
            <w:vAlign w:val="center"/>
          </w:tcPr>
          <w:p w14:paraId="42A6868E" w14:textId="77777777" w:rsidR="00BA0745" w:rsidRDefault="00000000">
            <w:pPr>
              <w:spacing w:before="120" w:after="120"/>
              <w:jc w:val="center"/>
              <w:rPr>
                <w:sz w:val="22"/>
                <w:szCs w:val="22"/>
              </w:rPr>
            </w:pPr>
            <w:r>
              <w:rPr>
                <w:sz w:val="22"/>
                <w:szCs w:val="22"/>
              </w:rPr>
              <w:t>Q5.2; Q5.3</w:t>
            </w:r>
          </w:p>
        </w:tc>
      </w:tr>
      <w:tr w:rsidR="00BA0745" w14:paraId="6792F3D6" w14:textId="77777777">
        <w:trPr>
          <w:jc w:val="center"/>
        </w:trPr>
        <w:tc>
          <w:tcPr>
            <w:tcW w:w="1581" w:type="dxa"/>
            <w:vAlign w:val="center"/>
          </w:tcPr>
          <w:p w14:paraId="48F9448B" w14:textId="77777777" w:rsidR="00BA0745" w:rsidRDefault="00000000">
            <w:pPr>
              <w:spacing w:before="120" w:after="120"/>
              <w:jc w:val="center"/>
              <w:rPr>
                <w:sz w:val="22"/>
                <w:szCs w:val="22"/>
              </w:rPr>
            </w:pPr>
            <w:r>
              <w:rPr>
                <w:sz w:val="22"/>
                <w:szCs w:val="22"/>
              </w:rPr>
              <w:lastRenderedPageBreak/>
              <w:t>Acceptability</w:t>
            </w:r>
          </w:p>
        </w:tc>
        <w:tc>
          <w:tcPr>
            <w:tcW w:w="2314" w:type="dxa"/>
            <w:vAlign w:val="center"/>
          </w:tcPr>
          <w:p w14:paraId="1DC76017" w14:textId="77777777" w:rsidR="00BA0745" w:rsidRDefault="00000000">
            <w:pPr>
              <w:spacing w:before="120" w:after="120"/>
              <w:jc w:val="center"/>
              <w:rPr>
                <w:sz w:val="22"/>
                <w:szCs w:val="22"/>
              </w:rPr>
            </w:pPr>
            <w:r>
              <w:rPr>
                <w:sz w:val="22"/>
                <w:szCs w:val="22"/>
              </w:rPr>
              <w:t>Q6.1</w:t>
            </w:r>
          </w:p>
        </w:tc>
        <w:tc>
          <w:tcPr>
            <w:tcW w:w="1344" w:type="dxa"/>
            <w:vAlign w:val="center"/>
          </w:tcPr>
          <w:p w14:paraId="04BE12CC" w14:textId="77777777" w:rsidR="00BA0745" w:rsidRDefault="00000000">
            <w:pPr>
              <w:spacing w:before="120" w:after="120"/>
              <w:jc w:val="center"/>
              <w:rPr>
                <w:sz w:val="22"/>
                <w:szCs w:val="22"/>
              </w:rPr>
            </w:pPr>
            <w:r>
              <w:rPr>
                <w:sz w:val="22"/>
                <w:szCs w:val="22"/>
              </w:rPr>
              <w:t>Yes</w:t>
            </w:r>
          </w:p>
        </w:tc>
        <w:tc>
          <w:tcPr>
            <w:tcW w:w="1538" w:type="dxa"/>
            <w:vAlign w:val="center"/>
          </w:tcPr>
          <w:p w14:paraId="0AE3D7AE" w14:textId="77777777" w:rsidR="00BA0745" w:rsidRDefault="00000000">
            <w:pPr>
              <w:spacing w:before="120" w:after="120"/>
              <w:jc w:val="center"/>
              <w:rPr>
                <w:sz w:val="22"/>
                <w:szCs w:val="22"/>
              </w:rPr>
            </w:pPr>
            <w:r>
              <w:rPr>
                <w:sz w:val="22"/>
                <w:szCs w:val="22"/>
              </w:rPr>
              <w:t>No</w:t>
            </w:r>
          </w:p>
        </w:tc>
        <w:tc>
          <w:tcPr>
            <w:tcW w:w="2583" w:type="dxa"/>
            <w:vAlign w:val="center"/>
          </w:tcPr>
          <w:p w14:paraId="61D5F132" w14:textId="77777777" w:rsidR="00BA0745" w:rsidRDefault="00000000">
            <w:pPr>
              <w:spacing w:before="120" w:after="120"/>
              <w:jc w:val="center"/>
              <w:rPr>
                <w:sz w:val="22"/>
                <w:szCs w:val="22"/>
              </w:rPr>
            </w:pPr>
            <w:r>
              <w:rPr>
                <w:sz w:val="22"/>
                <w:szCs w:val="22"/>
              </w:rPr>
              <w:t>Q6.2; Q6.3; Q6.4</w:t>
            </w:r>
          </w:p>
        </w:tc>
      </w:tr>
      <w:tr w:rsidR="00BA0745" w14:paraId="1AD0B3CD" w14:textId="77777777">
        <w:trPr>
          <w:jc w:val="center"/>
        </w:trPr>
        <w:tc>
          <w:tcPr>
            <w:tcW w:w="1581" w:type="dxa"/>
            <w:vAlign w:val="center"/>
          </w:tcPr>
          <w:p w14:paraId="0BA14F6F" w14:textId="77777777" w:rsidR="00BA0745" w:rsidRDefault="00000000">
            <w:pPr>
              <w:spacing w:before="120" w:after="120"/>
              <w:jc w:val="center"/>
              <w:rPr>
                <w:sz w:val="22"/>
                <w:szCs w:val="22"/>
              </w:rPr>
            </w:pPr>
            <w:r>
              <w:rPr>
                <w:sz w:val="22"/>
                <w:szCs w:val="22"/>
              </w:rPr>
              <w:t>Quality</w:t>
            </w:r>
          </w:p>
        </w:tc>
        <w:tc>
          <w:tcPr>
            <w:tcW w:w="2314" w:type="dxa"/>
            <w:vAlign w:val="center"/>
          </w:tcPr>
          <w:p w14:paraId="4670FE03" w14:textId="77777777" w:rsidR="00BA0745" w:rsidRDefault="00000000">
            <w:pPr>
              <w:spacing w:before="120" w:after="120"/>
              <w:jc w:val="center"/>
              <w:rPr>
                <w:sz w:val="22"/>
                <w:szCs w:val="22"/>
              </w:rPr>
            </w:pPr>
            <w:r>
              <w:rPr>
                <w:sz w:val="22"/>
                <w:szCs w:val="22"/>
              </w:rPr>
              <w:t>Q7.1</w:t>
            </w:r>
          </w:p>
        </w:tc>
        <w:tc>
          <w:tcPr>
            <w:tcW w:w="1344" w:type="dxa"/>
            <w:vAlign w:val="center"/>
          </w:tcPr>
          <w:p w14:paraId="77CD84C4" w14:textId="77777777" w:rsidR="00BA0745" w:rsidRDefault="00000000">
            <w:pPr>
              <w:spacing w:before="120" w:after="120"/>
              <w:jc w:val="center"/>
              <w:rPr>
                <w:sz w:val="22"/>
                <w:szCs w:val="22"/>
              </w:rPr>
            </w:pPr>
            <w:r>
              <w:rPr>
                <w:sz w:val="22"/>
                <w:szCs w:val="22"/>
              </w:rPr>
              <w:t>Yes</w:t>
            </w:r>
          </w:p>
        </w:tc>
        <w:tc>
          <w:tcPr>
            <w:tcW w:w="1538" w:type="dxa"/>
            <w:vAlign w:val="center"/>
          </w:tcPr>
          <w:p w14:paraId="226B3E94" w14:textId="77777777" w:rsidR="00BA0745" w:rsidRDefault="00000000">
            <w:pPr>
              <w:spacing w:before="120" w:after="120"/>
              <w:jc w:val="center"/>
              <w:rPr>
                <w:sz w:val="22"/>
                <w:szCs w:val="22"/>
              </w:rPr>
            </w:pPr>
            <w:r>
              <w:rPr>
                <w:sz w:val="22"/>
                <w:szCs w:val="22"/>
              </w:rPr>
              <w:t>No</w:t>
            </w:r>
          </w:p>
        </w:tc>
        <w:tc>
          <w:tcPr>
            <w:tcW w:w="2583" w:type="dxa"/>
            <w:vAlign w:val="center"/>
          </w:tcPr>
          <w:p w14:paraId="074C727C" w14:textId="77777777" w:rsidR="00BA0745" w:rsidRDefault="00000000">
            <w:pPr>
              <w:spacing w:before="120" w:after="120"/>
              <w:jc w:val="center"/>
              <w:rPr>
                <w:sz w:val="22"/>
                <w:szCs w:val="22"/>
              </w:rPr>
            </w:pPr>
            <w:r>
              <w:rPr>
                <w:sz w:val="22"/>
                <w:szCs w:val="22"/>
              </w:rPr>
              <w:t>Q7.3; Q7.4</w:t>
            </w:r>
          </w:p>
        </w:tc>
      </w:tr>
      <w:tr w:rsidR="00BA0745" w14:paraId="0F4019F6" w14:textId="77777777">
        <w:trPr>
          <w:jc w:val="center"/>
        </w:trPr>
        <w:tc>
          <w:tcPr>
            <w:tcW w:w="1581" w:type="dxa"/>
            <w:vAlign w:val="center"/>
          </w:tcPr>
          <w:p w14:paraId="538E6E27" w14:textId="77777777" w:rsidR="00BA0745" w:rsidRDefault="00000000">
            <w:pPr>
              <w:spacing w:before="120" w:after="120"/>
              <w:jc w:val="center"/>
              <w:rPr>
                <w:sz w:val="22"/>
                <w:szCs w:val="22"/>
              </w:rPr>
            </w:pPr>
            <w:r>
              <w:rPr>
                <w:sz w:val="22"/>
                <w:szCs w:val="22"/>
              </w:rPr>
              <w:t>Quantity</w:t>
            </w:r>
          </w:p>
        </w:tc>
        <w:tc>
          <w:tcPr>
            <w:tcW w:w="2314" w:type="dxa"/>
            <w:vAlign w:val="center"/>
          </w:tcPr>
          <w:p w14:paraId="1A24AE3B" w14:textId="77777777" w:rsidR="00BA0745" w:rsidRDefault="00000000">
            <w:pPr>
              <w:spacing w:before="120" w:after="120"/>
              <w:jc w:val="center"/>
              <w:rPr>
                <w:sz w:val="22"/>
                <w:szCs w:val="22"/>
              </w:rPr>
            </w:pPr>
            <w:r>
              <w:rPr>
                <w:sz w:val="22"/>
                <w:szCs w:val="22"/>
              </w:rPr>
              <w:t>Q8.1</w:t>
            </w:r>
          </w:p>
        </w:tc>
        <w:tc>
          <w:tcPr>
            <w:tcW w:w="1344" w:type="dxa"/>
            <w:vAlign w:val="center"/>
          </w:tcPr>
          <w:p w14:paraId="0C3CBBAB" w14:textId="77777777" w:rsidR="00BA0745" w:rsidRDefault="00000000">
            <w:pPr>
              <w:spacing w:before="120" w:after="120"/>
              <w:jc w:val="center"/>
              <w:rPr>
                <w:sz w:val="22"/>
                <w:szCs w:val="22"/>
              </w:rPr>
            </w:pPr>
            <w:r>
              <w:rPr>
                <w:sz w:val="22"/>
                <w:szCs w:val="22"/>
              </w:rPr>
              <w:t>Yes</w:t>
            </w:r>
          </w:p>
        </w:tc>
        <w:tc>
          <w:tcPr>
            <w:tcW w:w="1538" w:type="dxa"/>
            <w:vAlign w:val="center"/>
          </w:tcPr>
          <w:p w14:paraId="10F8455F" w14:textId="77777777" w:rsidR="00BA0745" w:rsidRDefault="00000000">
            <w:pPr>
              <w:spacing w:before="120" w:after="120"/>
              <w:jc w:val="center"/>
              <w:rPr>
                <w:sz w:val="22"/>
                <w:szCs w:val="22"/>
              </w:rPr>
            </w:pPr>
            <w:r>
              <w:rPr>
                <w:sz w:val="22"/>
                <w:szCs w:val="22"/>
              </w:rPr>
              <w:t>No</w:t>
            </w:r>
          </w:p>
        </w:tc>
        <w:tc>
          <w:tcPr>
            <w:tcW w:w="2583" w:type="dxa"/>
            <w:vAlign w:val="center"/>
          </w:tcPr>
          <w:p w14:paraId="1F8A1479" w14:textId="77777777" w:rsidR="00BA0745" w:rsidRDefault="00000000">
            <w:pPr>
              <w:spacing w:before="120" w:after="120"/>
              <w:jc w:val="center"/>
              <w:rPr>
                <w:sz w:val="22"/>
                <w:szCs w:val="22"/>
              </w:rPr>
            </w:pPr>
            <w:r>
              <w:rPr>
                <w:sz w:val="22"/>
                <w:szCs w:val="22"/>
              </w:rPr>
              <w:t>Q8.2; Q8.3; Q8.4</w:t>
            </w:r>
          </w:p>
        </w:tc>
      </w:tr>
      <w:tr w:rsidR="00BA0745" w14:paraId="45FBF52B" w14:textId="77777777">
        <w:trPr>
          <w:jc w:val="center"/>
        </w:trPr>
        <w:tc>
          <w:tcPr>
            <w:tcW w:w="1581" w:type="dxa"/>
            <w:tcBorders>
              <w:bottom w:val="single" w:sz="4" w:space="0" w:color="000000"/>
            </w:tcBorders>
            <w:vAlign w:val="center"/>
          </w:tcPr>
          <w:p w14:paraId="2930A818" w14:textId="77777777" w:rsidR="00BA0745" w:rsidRDefault="00000000">
            <w:pPr>
              <w:spacing w:before="120" w:after="120"/>
              <w:jc w:val="center"/>
              <w:rPr>
                <w:sz w:val="22"/>
                <w:szCs w:val="22"/>
              </w:rPr>
            </w:pPr>
            <w:r>
              <w:rPr>
                <w:sz w:val="22"/>
                <w:szCs w:val="22"/>
              </w:rPr>
              <w:t>Customer service</w:t>
            </w:r>
          </w:p>
        </w:tc>
        <w:tc>
          <w:tcPr>
            <w:tcW w:w="2314" w:type="dxa"/>
            <w:tcBorders>
              <w:bottom w:val="single" w:sz="4" w:space="0" w:color="000000"/>
            </w:tcBorders>
            <w:vAlign w:val="center"/>
          </w:tcPr>
          <w:p w14:paraId="4AAD5D43" w14:textId="77777777" w:rsidR="00BA0745" w:rsidRDefault="00000000">
            <w:pPr>
              <w:spacing w:before="120" w:after="120"/>
              <w:jc w:val="center"/>
              <w:rPr>
                <w:sz w:val="22"/>
                <w:szCs w:val="22"/>
              </w:rPr>
            </w:pPr>
            <w:r>
              <w:rPr>
                <w:sz w:val="22"/>
                <w:szCs w:val="22"/>
              </w:rPr>
              <w:t>Q9.1</w:t>
            </w:r>
          </w:p>
        </w:tc>
        <w:tc>
          <w:tcPr>
            <w:tcW w:w="1344" w:type="dxa"/>
            <w:tcBorders>
              <w:bottom w:val="single" w:sz="4" w:space="0" w:color="000000"/>
            </w:tcBorders>
            <w:vAlign w:val="center"/>
          </w:tcPr>
          <w:p w14:paraId="77DFA42F" w14:textId="77777777" w:rsidR="00BA0745" w:rsidRDefault="00000000">
            <w:pPr>
              <w:spacing w:before="120" w:after="120"/>
              <w:jc w:val="center"/>
              <w:rPr>
                <w:sz w:val="22"/>
                <w:szCs w:val="22"/>
              </w:rPr>
            </w:pPr>
            <w:r>
              <w:rPr>
                <w:sz w:val="22"/>
                <w:szCs w:val="22"/>
              </w:rPr>
              <w:t>Yes</w:t>
            </w:r>
          </w:p>
        </w:tc>
        <w:tc>
          <w:tcPr>
            <w:tcW w:w="1538" w:type="dxa"/>
            <w:tcBorders>
              <w:bottom w:val="single" w:sz="4" w:space="0" w:color="000000"/>
            </w:tcBorders>
            <w:vAlign w:val="center"/>
          </w:tcPr>
          <w:p w14:paraId="59AA9EE7" w14:textId="77777777" w:rsidR="00BA0745" w:rsidRDefault="00000000">
            <w:pPr>
              <w:spacing w:before="120" w:after="120"/>
              <w:jc w:val="center"/>
              <w:rPr>
                <w:sz w:val="22"/>
                <w:szCs w:val="22"/>
              </w:rPr>
            </w:pPr>
            <w:r>
              <w:rPr>
                <w:sz w:val="22"/>
                <w:szCs w:val="22"/>
              </w:rPr>
              <w:t>No</w:t>
            </w:r>
          </w:p>
        </w:tc>
        <w:tc>
          <w:tcPr>
            <w:tcW w:w="2583" w:type="dxa"/>
            <w:tcBorders>
              <w:bottom w:val="single" w:sz="4" w:space="0" w:color="000000"/>
            </w:tcBorders>
            <w:vAlign w:val="center"/>
          </w:tcPr>
          <w:p w14:paraId="019ED91E" w14:textId="77777777" w:rsidR="00BA0745" w:rsidRDefault="00000000">
            <w:pPr>
              <w:spacing w:before="120" w:after="120"/>
              <w:jc w:val="center"/>
              <w:rPr>
                <w:sz w:val="22"/>
                <w:szCs w:val="22"/>
              </w:rPr>
            </w:pPr>
            <w:r>
              <w:rPr>
                <w:sz w:val="22"/>
                <w:szCs w:val="22"/>
              </w:rPr>
              <w:t>Q9.2; Q9.3; Q9.4</w:t>
            </w:r>
          </w:p>
        </w:tc>
      </w:tr>
    </w:tbl>
    <w:p w14:paraId="6DF93EF9" w14:textId="77777777" w:rsidR="00BA0745" w:rsidRDefault="00000000">
      <w:pPr>
        <w:spacing w:before="120" w:after="120"/>
        <w:jc w:val="both"/>
        <w:rPr>
          <w:sz w:val="22"/>
          <w:szCs w:val="22"/>
        </w:rPr>
      </w:pPr>
      <w:r>
        <w:rPr>
          <w:sz w:val="22"/>
          <w:szCs w:val="22"/>
        </w:rPr>
        <w:t>This crosswalk is the main anti-circularity screen. It separates broad outcome-construction items from diagnostic service-support predictors. For example, Q4.1 was used to represent the reliability domain in the WSQS outcome and was therefore excluded from the predictor set, while Q4.2, Q4.3, and Q4.4 were retained as diagnostic reliability-related service-support predictors.</w:t>
      </w:r>
    </w:p>
    <w:p w14:paraId="0DF1BF49" w14:textId="77777777" w:rsidR="00BA0745" w:rsidRDefault="00000000">
      <w:pPr>
        <w:spacing w:before="120" w:after="120"/>
        <w:jc w:val="both"/>
        <w:rPr>
          <w:b/>
          <w:bCs/>
          <w:sz w:val="22"/>
          <w:szCs w:val="22"/>
        </w:rPr>
      </w:pPr>
      <w:r>
        <w:rPr>
          <w:b/>
          <w:bCs/>
          <w:sz w:val="22"/>
          <w:szCs w:val="22"/>
        </w:rPr>
        <w:t>S1.3. Measurement-structure diagnostics</w:t>
      </w:r>
    </w:p>
    <w:p w14:paraId="0E440B7F" w14:textId="15994CFD" w:rsidR="00BA0745" w:rsidRDefault="00000000">
      <w:pPr>
        <w:spacing w:before="120" w:after="120"/>
        <w:jc w:val="both"/>
        <w:rPr>
          <w:sz w:val="22"/>
          <w:szCs w:val="22"/>
        </w:rPr>
      </w:pPr>
      <w:r>
        <w:rPr>
          <w:sz w:val="22"/>
          <w:szCs w:val="22"/>
        </w:rPr>
        <w:t>We used exploratory factor analysis to characterize cross-item similarity, redundancy, and latent response structure among the 32 ordinal survey items spanning the eight WSQS service domains. Categorical responses were harmonized to ordered numerical scales with a consistent direction, such that lower values represented better service conditions or lower burden</w:t>
      </w:r>
      <w:r w:rsidR="00500622">
        <w:rPr>
          <w:sz w:val="22"/>
          <w:szCs w:val="22"/>
        </w:rPr>
        <w:t>,</w:t>
      </w:r>
      <w:r>
        <w:rPr>
          <w:sz w:val="22"/>
          <w:szCs w:val="22"/>
        </w:rPr>
        <w:t xml:space="preserve"> and higher values represented worse service conditions or greater burden. Responses representing lack of knowledge, structural non-applicability, or conditions outside the relevant ordinal response scale were retained as missing rather than assigned artificial service-quality values. Pairwise Spearman correlations were used to characterize cross-item similarity because the underlying measures were primarily ordinal.</w:t>
      </w:r>
    </w:p>
    <w:p w14:paraId="6379AE8C" w14:textId="77777777" w:rsidR="00BA0745" w:rsidRDefault="00000000">
      <w:pPr>
        <w:spacing w:before="120" w:after="120"/>
        <w:jc w:val="both"/>
        <w:rPr>
          <w:sz w:val="22"/>
          <w:szCs w:val="22"/>
        </w:rPr>
      </w:pPr>
      <w:r>
        <w:rPr>
          <w:sz w:val="22"/>
          <w:szCs w:val="22"/>
        </w:rPr>
        <w:t>Sampling adequacy and overall factorability were assessed using the Kaiser–Meyer–Olkin statistic and Bartlett’s test of sphericity. The number of empirical factors was evaluated using parallel analysis, comparing observed correlation-matrix eigenvalues with the 95th percentile of eigenvalues obtained from independently permuted comparison datasets. Exploratory factor analysis was subsequently estimated using minimum-residual extraction with oblimin rotation because the underlying dimensions of household water-service experience were expected to correlate.</w:t>
      </w:r>
    </w:p>
    <w:p w14:paraId="4E2A1F87" w14:textId="77777777" w:rsidR="00BA0745" w:rsidRDefault="00000000">
      <w:pPr>
        <w:spacing w:before="120" w:after="120"/>
        <w:jc w:val="both"/>
        <w:rPr>
          <w:sz w:val="22"/>
          <w:szCs w:val="22"/>
        </w:rPr>
      </w:pPr>
      <w:r>
        <w:rPr>
          <w:sz w:val="22"/>
          <w:szCs w:val="22"/>
        </w:rPr>
        <w:t>For diagnostic interpretation, an item was classified as having no salient loading when its largest absolute factor loading was below 0.30. Cross-loading was identified when an item had absolute loadings of at least 0.30 on two or more factors, and cross-loading was considered potentially problematic when the difference between the two largest absolute loadings was below 0.15. Pairwise absolute Spearman correlations of at least 0.80 were flagged as high similarity and correlations of at least 0.90 as potential redundancy. Cronbach’s alpha was calculated as a supplementary measure of item-set coherence. In addition to the broader 32-item diagnostic set, we calculated alpha across the eight CORE-8 construction indicators using complete observed responses, with the existing median-imputed measurement matrix used as a sensitivity analysis. Because WSQS is specified as a multidimensional service-quality composite rather than a unidimensional reflective scale, we interpreted these statistics descriptively and did not use them to define the domain structure. These diagnostics were not used to remove conceptually relevant operational indicators, redefine the eight WSQS domains, select the eight CORE-8 construction items, or estimate WSQS weights. This distinction is important because several survey measures represent complementary operational or conditional service characteristics rather than interchangeable reflective indicators of a single latent construct.</w:t>
      </w:r>
    </w:p>
    <w:p w14:paraId="410862BF" w14:textId="77777777" w:rsidR="00BA0745" w:rsidRDefault="00000000">
      <w:pPr>
        <w:spacing w:before="120" w:after="120"/>
        <w:jc w:val="both"/>
        <w:rPr>
          <w:sz w:val="22"/>
          <w:szCs w:val="22"/>
        </w:rPr>
      </w:pPr>
      <w:r>
        <w:rPr>
          <w:sz w:val="22"/>
          <w:szCs w:val="22"/>
        </w:rPr>
        <w:t xml:space="preserve">The 32-item diagnostic set showed strong factorability and substantial overall item-set coherence (KMO = 0.937; Bartlett’s χ²(496) = 40,065.6, p &lt; 0.001; Cronbach’s α = 0.850). Parallel analysis supported retention of six empirical factors rather than a one-to-one reproduction of the eight conceptually specified WSQS domains. The clearest item clusters were defined by (i) sensory acceptability, (ii) provider responsiveness, (iii) operational performance, (iv) access burden, (v) seasonal variability, and (vi) contingency-related conditions. Only one item met the prespecified cross-loading criterion, no cross-loading was classified as </w:t>
      </w:r>
      <w:r>
        <w:rPr>
          <w:sz w:val="22"/>
          <w:szCs w:val="22"/>
        </w:rPr>
        <w:lastRenderedPageBreak/>
        <w:t>problematic, and no item pair exceeded |ρ| = 0.80. Thirteen items had primary absolute loadings below 0.30, concentrated mainly among operational or conditional indicators. Together, these results indicate a multidimensional empirical response structure with limited redundancy and little substantial factor ambiguity, consistent with the broader item set capturing related but non-interchangeable dimensions of household water-service experience.</w:t>
      </w:r>
    </w:p>
    <w:p w14:paraId="79C11805" w14:textId="77777777" w:rsidR="00BA0745" w:rsidRDefault="00000000">
      <w:pPr>
        <w:spacing w:before="120" w:after="120"/>
        <w:jc w:val="both"/>
        <w:rPr>
          <w:sz w:val="22"/>
          <w:szCs w:val="22"/>
        </w:rPr>
      </w:pPr>
      <w:r>
        <w:rPr>
          <w:sz w:val="22"/>
          <w:szCs w:val="22"/>
        </w:rPr>
        <w:t>As a separate coherence diagnostic of the primary WSQS construction, the eight CORE-8 domain indicators had a Cronbach’s α of 0.757 (95% bootstrap CI, 0.747–0.767) among households with complete responses across all eight indicators. Standardized α was 0.766, with a mean inter-item Pearson correlation of 0.290 and mean inter-item Spearman correlation of 0.315. Results were effectively unchanged when the same calculation was applied to the existing median-imputed measurement matrix (α = 0.756; 95% bootstrap CI, 0.746–0.766). The near-identical complete-case and imputed estimates indicate that the observed coherence was not sensitive to the limited item-level missingness addressed in the broader measurement-diagnostics workflow.</w:t>
      </w:r>
    </w:p>
    <w:p w14:paraId="7FC36176" w14:textId="77777777" w:rsidR="00BA0745" w:rsidRDefault="00000000">
      <w:pPr>
        <w:spacing w:before="120" w:after="120"/>
        <w:jc w:val="both"/>
        <w:rPr>
          <w:sz w:val="22"/>
          <w:szCs w:val="22"/>
        </w:rPr>
      </w:pPr>
      <w:r>
        <w:rPr>
          <w:sz w:val="22"/>
          <w:szCs w:val="22"/>
        </w:rPr>
        <w:t>Removal of individual CORE-8 domain indicators produced α values ranging from 0.712 to 0.760. Thus, no individual domain materially accounted for the overall coefficient. Removal of affordability produced only a negligible increase in α, from 0.757 to 0.760, whereas removal of each of the remaining domains reduced the coefficient. These results provide complementary evidence of moderate cross-domain coherence among the eight conceptually distinct WSQS components while remaining consistent with the multidimensional structure identified by the broader factor analysis. Accordingly, the reliability statistics support aggregating related service-quality dimensions within CORE-8 rather than evidence that WSQS represents a single underlying latent construct.</w:t>
      </w:r>
    </w:p>
    <w:p w14:paraId="057EF06B" w14:textId="77777777" w:rsidR="00BA0745" w:rsidRDefault="00000000">
      <w:pPr>
        <w:spacing w:before="120" w:after="120"/>
        <w:jc w:val="both"/>
        <w:rPr>
          <w:sz w:val="22"/>
          <w:szCs w:val="22"/>
        </w:rPr>
      </w:pPr>
      <w:r>
        <w:rPr>
          <w:b/>
          <w:bCs/>
          <w:sz w:val="22"/>
          <w:szCs w:val="22"/>
        </w:rPr>
        <w:t xml:space="preserve">Supplementary Figure S1. </w:t>
      </w:r>
      <w:r>
        <w:rPr>
          <w:sz w:val="22"/>
          <w:szCs w:val="22"/>
        </w:rPr>
        <w:t>Factor diagnostics among WSQS-related survey items.</w:t>
      </w:r>
    </w:p>
    <w:p w14:paraId="71D9F8C8" w14:textId="77777777" w:rsidR="00BA0745" w:rsidRDefault="00000000">
      <w:pPr>
        <w:spacing w:before="120" w:after="120"/>
        <w:jc w:val="both"/>
        <w:rPr>
          <w:sz w:val="22"/>
          <w:szCs w:val="22"/>
        </w:rPr>
      </w:pPr>
      <w:r>
        <w:rPr>
          <w:noProof/>
          <w:sz w:val="22"/>
          <w:szCs w:val="22"/>
        </w:rPr>
        <w:drawing>
          <wp:inline distT="0" distB="0" distL="0" distR="0" wp14:anchorId="343301FB" wp14:editId="23DFCD48">
            <wp:extent cx="5943600" cy="3835400"/>
            <wp:effectExtent l="0" t="0" r="0" b="0"/>
            <wp:docPr id="173559666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6"/>
                    <a:srcRect/>
                    <a:stretch>
                      <a:fillRect/>
                    </a:stretch>
                  </pic:blipFill>
                  <pic:spPr>
                    <a:xfrm>
                      <a:off x="0" y="0"/>
                      <a:ext cx="5943600" cy="3835400"/>
                    </a:xfrm>
                    <a:prstGeom prst="rect">
                      <a:avLst/>
                    </a:prstGeom>
                    <a:ln/>
                  </pic:spPr>
                </pic:pic>
              </a:graphicData>
            </a:graphic>
          </wp:inline>
        </w:drawing>
      </w:r>
    </w:p>
    <w:p w14:paraId="522A0E89" w14:textId="77777777" w:rsidR="00BA0745" w:rsidRDefault="00BA0745">
      <w:pPr>
        <w:spacing w:before="120" w:after="120"/>
        <w:jc w:val="both"/>
        <w:rPr>
          <w:b/>
          <w:bCs/>
          <w:sz w:val="22"/>
          <w:szCs w:val="22"/>
        </w:rPr>
      </w:pPr>
    </w:p>
    <w:p w14:paraId="327C7D9B" w14:textId="77777777" w:rsidR="00BA0745" w:rsidRDefault="00000000">
      <w:pPr>
        <w:spacing w:before="120" w:after="120"/>
        <w:jc w:val="both"/>
        <w:rPr>
          <w:b/>
          <w:bCs/>
          <w:sz w:val="22"/>
          <w:szCs w:val="22"/>
        </w:rPr>
      </w:pPr>
      <w:r>
        <w:rPr>
          <w:b/>
          <w:bCs/>
          <w:sz w:val="22"/>
          <w:szCs w:val="22"/>
        </w:rPr>
        <w:t xml:space="preserve">Supplementary Table S3. </w:t>
      </w:r>
      <w:r>
        <w:rPr>
          <w:sz w:val="22"/>
          <w:szCs w:val="22"/>
        </w:rPr>
        <w:t>Overall measurement diagnostics.</w:t>
      </w:r>
    </w:p>
    <w:tbl>
      <w:tblPr>
        <w:tblStyle w:val="af2"/>
        <w:tblW w:w="9360" w:type="dxa"/>
        <w:tblLayout w:type="fixed"/>
        <w:tblLook w:val="0400" w:firstRow="0" w:lastRow="0" w:firstColumn="0" w:lastColumn="0" w:noHBand="0" w:noVBand="1"/>
      </w:tblPr>
      <w:tblGrid>
        <w:gridCol w:w="2680"/>
        <w:gridCol w:w="3080"/>
        <w:gridCol w:w="3600"/>
      </w:tblGrid>
      <w:tr w:rsidR="00BA0745" w14:paraId="5FD7E672" w14:textId="77777777">
        <w:trPr>
          <w:trHeight w:val="441"/>
        </w:trPr>
        <w:tc>
          <w:tcPr>
            <w:tcW w:w="2680" w:type="dxa"/>
            <w:tcBorders>
              <w:top w:val="single" w:sz="4" w:space="0" w:color="000000"/>
              <w:bottom w:val="single" w:sz="4" w:space="0" w:color="000000"/>
            </w:tcBorders>
            <w:vAlign w:val="center"/>
          </w:tcPr>
          <w:p w14:paraId="6CEB62FF" w14:textId="77777777" w:rsidR="00BA0745" w:rsidRDefault="00000000">
            <w:pPr>
              <w:jc w:val="center"/>
              <w:rPr>
                <w:color w:val="000000"/>
                <w:sz w:val="22"/>
                <w:szCs w:val="22"/>
              </w:rPr>
            </w:pPr>
            <w:r>
              <w:rPr>
                <w:color w:val="000000"/>
                <w:sz w:val="22"/>
                <w:szCs w:val="22"/>
              </w:rPr>
              <w:lastRenderedPageBreak/>
              <w:t>Diagnostic</w:t>
            </w:r>
          </w:p>
        </w:tc>
        <w:tc>
          <w:tcPr>
            <w:tcW w:w="3080" w:type="dxa"/>
            <w:tcBorders>
              <w:top w:val="single" w:sz="4" w:space="0" w:color="000000"/>
              <w:bottom w:val="single" w:sz="4" w:space="0" w:color="000000"/>
            </w:tcBorders>
            <w:vAlign w:val="center"/>
          </w:tcPr>
          <w:p w14:paraId="1D41B99D" w14:textId="77777777" w:rsidR="00BA0745" w:rsidRDefault="00000000">
            <w:pPr>
              <w:jc w:val="center"/>
              <w:rPr>
                <w:color w:val="000000"/>
                <w:sz w:val="22"/>
                <w:szCs w:val="22"/>
              </w:rPr>
            </w:pPr>
            <w:r>
              <w:rPr>
                <w:color w:val="000000"/>
                <w:sz w:val="22"/>
                <w:szCs w:val="22"/>
              </w:rPr>
              <w:t>Result</w:t>
            </w:r>
          </w:p>
        </w:tc>
        <w:tc>
          <w:tcPr>
            <w:tcW w:w="3600" w:type="dxa"/>
            <w:tcBorders>
              <w:top w:val="single" w:sz="4" w:space="0" w:color="000000"/>
              <w:bottom w:val="single" w:sz="4" w:space="0" w:color="000000"/>
            </w:tcBorders>
            <w:vAlign w:val="center"/>
          </w:tcPr>
          <w:p w14:paraId="7D7A81F1" w14:textId="77777777" w:rsidR="00BA0745" w:rsidRDefault="00000000">
            <w:pPr>
              <w:jc w:val="center"/>
              <w:rPr>
                <w:color w:val="000000"/>
                <w:sz w:val="22"/>
                <w:szCs w:val="22"/>
              </w:rPr>
            </w:pPr>
            <w:r>
              <w:rPr>
                <w:color w:val="000000"/>
                <w:sz w:val="22"/>
                <w:szCs w:val="22"/>
              </w:rPr>
              <w:t>Interpretation</w:t>
            </w:r>
          </w:p>
        </w:tc>
      </w:tr>
      <w:tr w:rsidR="00BA0745" w14:paraId="11E7B045" w14:textId="77777777">
        <w:trPr>
          <w:trHeight w:val="300"/>
        </w:trPr>
        <w:tc>
          <w:tcPr>
            <w:tcW w:w="2680" w:type="dxa"/>
            <w:vAlign w:val="center"/>
          </w:tcPr>
          <w:p w14:paraId="78B092D4" w14:textId="77777777" w:rsidR="00BA0745" w:rsidRDefault="00000000">
            <w:pPr>
              <w:jc w:val="center"/>
              <w:rPr>
                <w:color w:val="111111"/>
                <w:sz w:val="22"/>
                <w:szCs w:val="22"/>
              </w:rPr>
            </w:pPr>
            <w:r>
              <w:rPr>
                <w:color w:val="111111"/>
                <w:sz w:val="22"/>
                <w:szCs w:val="22"/>
              </w:rPr>
              <w:t>Items analyzed</w:t>
            </w:r>
          </w:p>
        </w:tc>
        <w:tc>
          <w:tcPr>
            <w:tcW w:w="3080" w:type="dxa"/>
            <w:vAlign w:val="center"/>
          </w:tcPr>
          <w:p w14:paraId="28FDD30A" w14:textId="77777777" w:rsidR="00BA0745" w:rsidRDefault="00000000">
            <w:pPr>
              <w:jc w:val="center"/>
              <w:rPr>
                <w:color w:val="111111"/>
                <w:sz w:val="22"/>
                <w:szCs w:val="22"/>
              </w:rPr>
            </w:pPr>
            <w:r>
              <w:rPr>
                <w:color w:val="111111"/>
                <w:sz w:val="22"/>
                <w:szCs w:val="22"/>
              </w:rPr>
              <w:t>32</w:t>
            </w:r>
          </w:p>
        </w:tc>
        <w:tc>
          <w:tcPr>
            <w:tcW w:w="3600" w:type="dxa"/>
            <w:vAlign w:val="center"/>
          </w:tcPr>
          <w:p w14:paraId="2C96026C" w14:textId="77777777" w:rsidR="00BA0745" w:rsidRDefault="00000000">
            <w:pPr>
              <w:jc w:val="center"/>
              <w:rPr>
                <w:color w:val="111111"/>
                <w:sz w:val="22"/>
                <w:szCs w:val="22"/>
              </w:rPr>
            </w:pPr>
            <w:r>
              <w:rPr>
                <w:color w:val="111111"/>
                <w:sz w:val="22"/>
                <w:szCs w:val="22"/>
              </w:rPr>
              <w:t>All requested WSQS-related items had adequate data and variation</w:t>
            </w:r>
          </w:p>
        </w:tc>
      </w:tr>
      <w:tr w:rsidR="00BA0745" w14:paraId="32341AFB" w14:textId="77777777">
        <w:trPr>
          <w:trHeight w:val="300"/>
        </w:trPr>
        <w:tc>
          <w:tcPr>
            <w:tcW w:w="2680" w:type="dxa"/>
            <w:vAlign w:val="center"/>
          </w:tcPr>
          <w:p w14:paraId="0062020A" w14:textId="77777777" w:rsidR="00BA0745" w:rsidRDefault="00000000">
            <w:pPr>
              <w:jc w:val="center"/>
              <w:rPr>
                <w:color w:val="111111"/>
                <w:sz w:val="22"/>
                <w:szCs w:val="22"/>
              </w:rPr>
            </w:pPr>
            <w:r>
              <w:rPr>
                <w:color w:val="111111"/>
                <w:sz w:val="22"/>
                <w:szCs w:val="22"/>
              </w:rPr>
              <w:t>Overall KMO</w:t>
            </w:r>
          </w:p>
        </w:tc>
        <w:tc>
          <w:tcPr>
            <w:tcW w:w="3080" w:type="dxa"/>
            <w:vAlign w:val="center"/>
          </w:tcPr>
          <w:p w14:paraId="4AF4EB3C" w14:textId="77777777" w:rsidR="00BA0745" w:rsidRDefault="00000000">
            <w:pPr>
              <w:jc w:val="center"/>
              <w:rPr>
                <w:color w:val="111111"/>
                <w:sz w:val="22"/>
                <w:szCs w:val="22"/>
              </w:rPr>
            </w:pPr>
            <w:r>
              <w:rPr>
                <w:color w:val="111111"/>
                <w:sz w:val="22"/>
                <w:szCs w:val="22"/>
              </w:rPr>
              <w:t>0.937</w:t>
            </w:r>
          </w:p>
        </w:tc>
        <w:tc>
          <w:tcPr>
            <w:tcW w:w="3600" w:type="dxa"/>
            <w:vAlign w:val="center"/>
          </w:tcPr>
          <w:p w14:paraId="30F14014" w14:textId="77777777" w:rsidR="00BA0745" w:rsidRDefault="00000000">
            <w:pPr>
              <w:jc w:val="center"/>
              <w:rPr>
                <w:color w:val="111111"/>
                <w:sz w:val="22"/>
                <w:szCs w:val="22"/>
              </w:rPr>
            </w:pPr>
            <w:r>
              <w:rPr>
                <w:color w:val="111111"/>
                <w:sz w:val="22"/>
                <w:szCs w:val="22"/>
              </w:rPr>
              <w:t>Excellent sampling adequacy</w:t>
            </w:r>
          </w:p>
        </w:tc>
      </w:tr>
      <w:tr w:rsidR="00BA0745" w14:paraId="718BB2F7" w14:textId="77777777">
        <w:trPr>
          <w:trHeight w:val="300"/>
        </w:trPr>
        <w:tc>
          <w:tcPr>
            <w:tcW w:w="2680" w:type="dxa"/>
            <w:vAlign w:val="center"/>
          </w:tcPr>
          <w:p w14:paraId="13FBCF40" w14:textId="77777777" w:rsidR="00BA0745" w:rsidRDefault="00000000">
            <w:pPr>
              <w:jc w:val="center"/>
              <w:rPr>
                <w:color w:val="111111"/>
                <w:sz w:val="22"/>
                <w:szCs w:val="22"/>
              </w:rPr>
            </w:pPr>
            <w:r>
              <w:rPr>
                <w:color w:val="111111"/>
                <w:sz w:val="22"/>
                <w:szCs w:val="22"/>
              </w:rPr>
              <w:t>Bartlett’s test of sphericity</w:t>
            </w:r>
          </w:p>
        </w:tc>
        <w:tc>
          <w:tcPr>
            <w:tcW w:w="3080" w:type="dxa"/>
            <w:vAlign w:val="center"/>
          </w:tcPr>
          <w:p w14:paraId="3E4A8957" w14:textId="77777777" w:rsidR="00BA0745" w:rsidRDefault="00000000">
            <w:pPr>
              <w:jc w:val="center"/>
              <w:rPr>
                <w:color w:val="111111"/>
                <w:sz w:val="22"/>
                <w:szCs w:val="22"/>
              </w:rPr>
            </w:pPr>
            <w:r>
              <w:rPr>
                <w:color w:val="111111"/>
                <w:sz w:val="22"/>
                <w:szCs w:val="22"/>
              </w:rPr>
              <w:t>χ² (496) = 40,065.6; p &lt; 0.001</w:t>
            </w:r>
          </w:p>
        </w:tc>
        <w:tc>
          <w:tcPr>
            <w:tcW w:w="3600" w:type="dxa"/>
            <w:vAlign w:val="center"/>
          </w:tcPr>
          <w:p w14:paraId="4C83A632" w14:textId="77777777" w:rsidR="00BA0745" w:rsidRDefault="00000000">
            <w:pPr>
              <w:jc w:val="center"/>
              <w:rPr>
                <w:color w:val="111111"/>
                <w:sz w:val="22"/>
                <w:szCs w:val="22"/>
              </w:rPr>
            </w:pPr>
            <w:r>
              <w:rPr>
                <w:color w:val="111111"/>
                <w:sz w:val="22"/>
                <w:szCs w:val="22"/>
              </w:rPr>
              <w:t>The correlation structure supports factor analysis</w:t>
            </w:r>
          </w:p>
        </w:tc>
      </w:tr>
      <w:tr w:rsidR="00BA0745" w14:paraId="44B9313E" w14:textId="77777777">
        <w:trPr>
          <w:trHeight w:val="300"/>
        </w:trPr>
        <w:tc>
          <w:tcPr>
            <w:tcW w:w="2680" w:type="dxa"/>
            <w:vAlign w:val="center"/>
          </w:tcPr>
          <w:p w14:paraId="175D8FAA" w14:textId="77777777" w:rsidR="00BA0745" w:rsidRDefault="00000000">
            <w:pPr>
              <w:jc w:val="center"/>
              <w:rPr>
                <w:color w:val="111111"/>
                <w:sz w:val="22"/>
                <w:szCs w:val="22"/>
              </w:rPr>
            </w:pPr>
            <w:r>
              <w:rPr>
                <w:color w:val="111111"/>
                <w:sz w:val="22"/>
                <w:szCs w:val="22"/>
              </w:rPr>
              <w:t>Factors retained by parallel analysis</w:t>
            </w:r>
          </w:p>
        </w:tc>
        <w:tc>
          <w:tcPr>
            <w:tcW w:w="3080" w:type="dxa"/>
            <w:vAlign w:val="center"/>
          </w:tcPr>
          <w:p w14:paraId="7B5D2FD1" w14:textId="77777777" w:rsidR="00BA0745" w:rsidRDefault="00000000">
            <w:pPr>
              <w:jc w:val="center"/>
              <w:rPr>
                <w:color w:val="111111"/>
                <w:sz w:val="22"/>
                <w:szCs w:val="22"/>
              </w:rPr>
            </w:pPr>
            <w:r>
              <w:rPr>
                <w:color w:val="111111"/>
                <w:sz w:val="22"/>
                <w:szCs w:val="22"/>
              </w:rPr>
              <w:t>6</w:t>
            </w:r>
          </w:p>
        </w:tc>
        <w:tc>
          <w:tcPr>
            <w:tcW w:w="3600" w:type="dxa"/>
            <w:vAlign w:val="center"/>
          </w:tcPr>
          <w:p w14:paraId="41005492" w14:textId="77777777" w:rsidR="00BA0745" w:rsidRDefault="00000000">
            <w:pPr>
              <w:jc w:val="center"/>
              <w:rPr>
                <w:color w:val="111111"/>
                <w:sz w:val="22"/>
                <w:szCs w:val="22"/>
              </w:rPr>
            </w:pPr>
            <w:r>
              <w:rPr>
                <w:color w:val="111111"/>
                <w:sz w:val="22"/>
                <w:szCs w:val="22"/>
              </w:rPr>
              <w:t>Supports multidimensional latent organization</w:t>
            </w:r>
          </w:p>
        </w:tc>
      </w:tr>
      <w:tr w:rsidR="00BA0745" w14:paraId="72240E3B" w14:textId="77777777">
        <w:trPr>
          <w:trHeight w:val="300"/>
        </w:trPr>
        <w:tc>
          <w:tcPr>
            <w:tcW w:w="2680" w:type="dxa"/>
            <w:vAlign w:val="center"/>
          </w:tcPr>
          <w:p w14:paraId="0FA2E6F3" w14:textId="77777777" w:rsidR="00BA0745" w:rsidRDefault="00000000">
            <w:pPr>
              <w:jc w:val="center"/>
              <w:rPr>
                <w:color w:val="111111"/>
                <w:sz w:val="22"/>
                <w:szCs w:val="22"/>
              </w:rPr>
            </w:pPr>
            <w:r>
              <w:rPr>
                <w:color w:val="111111"/>
                <w:sz w:val="22"/>
                <w:szCs w:val="22"/>
              </w:rPr>
              <w:t>Overall Cronbach’s α</w:t>
            </w:r>
          </w:p>
        </w:tc>
        <w:tc>
          <w:tcPr>
            <w:tcW w:w="3080" w:type="dxa"/>
            <w:vAlign w:val="center"/>
          </w:tcPr>
          <w:p w14:paraId="7782C06E" w14:textId="77777777" w:rsidR="00BA0745" w:rsidRDefault="00000000">
            <w:pPr>
              <w:jc w:val="center"/>
              <w:rPr>
                <w:color w:val="111111"/>
                <w:sz w:val="22"/>
                <w:szCs w:val="22"/>
              </w:rPr>
            </w:pPr>
            <w:r>
              <w:rPr>
                <w:color w:val="111111"/>
                <w:sz w:val="22"/>
                <w:szCs w:val="22"/>
              </w:rPr>
              <w:t>0.850</w:t>
            </w:r>
          </w:p>
        </w:tc>
        <w:tc>
          <w:tcPr>
            <w:tcW w:w="3600" w:type="dxa"/>
            <w:vAlign w:val="center"/>
          </w:tcPr>
          <w:p w14:paraId="6E1D3917" w14:textId="77777777" w:rsidR="00BA0745" w:rsidRDefault="00000000">
            <w:pPr>
              <w:jc w:val="center"/>
              <w:rPr>
                <w:color w:val="111111"/>
                <w:sz w:val="22"/>
                <w:szCs w:val="22"/>
              </w:rPr>
            </w:pPr>
            <w:r>
              <w:rPr>
                <w:color w:val="111111"/>
                <w:sz w:val="22"/>
                <w:szCs w:val="22"/>
              </w:rPr>
              <w:t>Substantial overall item-set coherence</w:t>
            </w:r>
          </w:p>
        </w:tc>
      </w:tr>
      <w:tr w:rsidR="00BA0745" w14:paraId="2E5C62B0" w14:textId="77777777">
        <w:trPr>
          <w:trHeight w:val="300"/>
        </w:trPr>
        <w:tc>
          <w:tcPr>
            <w:tcW w:w="2680" w:type="dxa"/>
            <w:vAlign w:val="center"/>
          </w:tcPr>
          <w:p w14:paraId="6C42D668" w14:textId="77777777" w:rsidR="00BA0745" w:rsidRDefault="00000000">
            <w:pPr>
              <w:jc w:val="center"/>
              <w:rPr>
                <w:color w:val="111111"/>
                <w:sz w:val="22"/>
                <w:szCs w:val="22"/>
              </w:rPr>
            </w:pPr>
            <w:sdt>
              <w:sdtPr>
                <w:tag w:val="goog_rdk_0"/>
                <w:id w:val="-1783431096"/>
              </w:sdtPr>
              <w:sdtContent>
                <w:r>
                  <w:rPr>
                    <w:rFonts w:ascii="Cardo" w:eastAsia="Cardo" w:hAnsi="Cardo" w:cs="Cardo"/>
                    <w:color w:val="111111"/>
                    <w:sz w:val="22"/>
                    <w:szCs w:val="22"/>
                  </w:rPr>
                  <w:t>High-correlation pairs, |ρ| ≥ 0.80</w:t>
                </w:r>
              </w:sdtContent>
            </w:sdt>
          </w:p>
        </w:tc>
        <w:tc>
          <w:tcPr>
            <w:tcW w:w="3080" w:type="dxa"/>
            <w:vAlign w:val="center"/>
          </w:tcPr>
          <w:p w14:paraId="5B28400D" w14:textId="77777777" w:rsidR="00BA0745" w:rsidRDefault="00000000">
            <w:pPr>
              <w:jc w:val="center"/>
              <w:rPr>
                <w:color w:val="111111"/>
                <w:sz w:val="22"/>
                <w:szCs w:val="22"/>
              </w:rPr>
            </w:pPr>
            <w:r>
              <w:rPr>
                <w:color w:val="111111"/>
                <w:sz w:val="22"/>
                <w:szCs w:val="22"/>
              </w:rPr>
              <w:t>0</w:t>
            </w:r>
          </w:p>
        </w:tc>
        <w:tc>
          <w:tcPr>
            <w:tcW w:w="3600" w:type="dxa"/>
            <w:vAlign w:val="center"/>
          </w:tcPr>
          <w:p w14:paraId="322E1EB2" w14:textId="77777777" w:rsidR="00BA0745" w:rsidRDefault="00000000">
            <w:pPr>
              <w:jc w:val="center"/>
              <w:rPr>
                <w:color w:val="111111"/>
                <w:sz w:val="22"/>
                <w:szCs w:val="22"/>
              </w:rPr>
            </w:pPr>
            <w:r>
              <w:rPr>
                <w:color w:val="111111"/>
                <w:sz w:val="22"/>
                <w:szCs w:val="22"/>
              </w:rPr>
              <w:t>No evidence of excessive pairwise similarity</w:t>
            </w:r>
          </w:p>
        </w:tc>
      </w:tr>
      <w:tr w:rsidR="00BA0745" w14:paraId="2DC295AD" w14:textId="77777777">
        <w:trPr>
          <w:trHeight w:val="300"/>
        </w:trPr>
        <w:tc>
          <w:tcPr>
            <w:tcW w:w="2680" w:type="dxa"/>
            <w:vAlign w:val="center"/>
          </w:tcPr>
          <w:p w14:paraId="2942D37B" w14:textId="77777777" w:rsidR="00BA0745" w:rsidRDefault="00000000">
            <w:pPr>
              <w:jc w:val="center"/>
              <w:rPr>
                <w:color w:val="111111"/>
                <w:sz w:val="22"/>
                <w:szCs w:val="22"/>
              </w:rPr>
            </w:pPr>
            <w:sdt>
              <w:sdtPr>
                <w:tag w:val="goog_rdk_1"/>
                <w:id w:val="-2000703394"/>
              </w:sdtPr>
              <w:sdtContent>
                <w:r>
                  <w:rPr>
                    <w:rFonts w:ascii="Cardo" w:eastAsia="Cardo" w:hAnsi="Cardo" w:cs="Cardo"/>
                    <w:color w:val="111111"/>
                    <w:sz w:val="22"/>
                    <w:szCs w:val="22"/>
                  </w:rPr>
                  <w:t>Potentially redundant pairs, |ρ| ≥ 0.90</w:t>
                </w:r>
              </w:sdtContent>
            </w:sdt>
          </w:p>
        </w:tc>
        <w:tc>
          <w:tcPr>
            <w:tcW w:w="3080" w:type="dxa"/>
            <w:vAlign w:val="center"/>
          </w:tcPr>
          <w:p w14:paraId="03B7CB7C" w14:textId="77777777" w:rsidR="00BA0745" w:rsidRDefault="00000000">
            <w:pPr>
              <w:jc w:val="center"/>
              <w:rPr>
                <w:color w:val="111111"/>
                <w:sz w:val="22"/>
                <w:szCs w:val="22"/>
              </w:rPr>
            </w:pPr>
            <w:r>
              <w:rPr>
                <w:color w:val="111111"/>
                <w:sz w:val="22"/>
                <w:szCs w:val="22"/>
              </w:rPr>
              <w:t>0</w:t>
            </w:r>
          </w:p>
        </w:tc>
        <w:tc>
          <w:tcPr>
            <w:tcW w:w="3600" w:type="dxa"/>
            <w:vAlign w:val="center"/>
          </w:tcPr>
          <w:p w14:paraId="3D06178F" w14:textId="77777777" w:rsidR="00BA0745" w:rsidRDefault="00000000">
            <w:pPr>
              <w:jc w:val="center"/>
              <w:rPr>
                <w:color w:val="111111"/>
                <w:sz w:val="22"/>
                <w:szCs w:val="22"/>
              </w:rPr>
            </w:pPr>
            <w:r>
              <w:rPr>
                <w:color w:val="111111"/>
                <w:sz w:val="22"/>
                <w:szCs w:val="22"/>
              </w:rPr>
              <w:t>No evidence of duplicate item content</w:t>
            </w:r>
          </w:p>
        </w:tc>
      </w:tr>
      <w:tr w:rsidR="00BA0745" w14:paraId="7207421C" w14:textId="77777777">
        <w:trPr>
          <w:trHeight w:val="300"/>
        </w:trPr>
        <w:tc>
          <w:tcPr>
            <w:tcW w:w="2680" w:type="dxa"/>
            <w:vAlign w:val="center"/>
          </w:tcPr>
          <w:p w14:paraId="1CF4E7B0" w14:textId="77777777" w:rsidR="00BA0745" w:rsidRDefault="00000000">
            <w:pPr>
              <w:jc w:val="center"/>
              <w:rPr>
                <w:color w:val="111111"/>
                <w:sz w:val="22"/>
                <w:szCs w:val="22"/>
              </w:rPr>
            </w:pPr>
            <w:r>
              <w:rPr>
                <w:color w:val="111111"/>
                <w:sz w:val="22"/>
                <w:szCs w:val="22"/>
              </w:rPr>
              <w:t>Cross-loading items</w:t>
            </w:r>
          </w:p>
        </w:tc>
        <w:tc>
          <w:tcPr>
            <w:tcW w:w="3080" w:type="dxa"/>
            <w:vAlign w:val="center"/>
          </w:tcPr>
          <w:p w14:paraId="7A691C9B" w14:textId="77777777" w:rsidR="00BA0745" w:rsidRDefault="00000000">
            <w:pPr>
              <w:jc w:val="center"/>
              <w:rPr>
                <w:color w:val="111111"/>
                <w:sz w:val="22"/>
                <w:szCs w:val="22"/>
              </w:rPr>
            </w:pPr>
            <w:r>
              <w:rPr>
                <w:color w:val="111111"/>
                <w:sz w:val="22"/>
                <w:szCs w:val="22"/>
              </w:rPr>
              <w:t>1</w:t>
            </w:r>
          </w:p>
        </w:tc>
        <w:tc>
          <w:tcPr>
            <w:tcW w:w="3600" w:type="dxa"/>
            <w:vAlign w:val="center"/>
          </w:tcPr>
          <w:p w14:paraId="2D7B6610" w14:textId="77777777" w:rsidR="00BA0745" w:rsidRDefault="00000000">
            <w:pPr>
              <w:jc w:val="center"/>
              <w:rPr>
                <w:color w:val="111111"/>
                <w:sz w:val="22"/>
                <w:szCs w:val="22"/>
              </w:rPr>
            </w:pPr>
            <w:r>
              <w:rPr>
                <w:color w:val="111111"/>
                <w:sz w:val="22"/>
                <w:szCs w:val="22"/>
              </w:rPr>
              <w:t>Limited overlap across retained factors</w:t>
            </w:r>
          </w:p>
        </w:tc>
      </w:tr>
      <w:tr w:rsidR="00BA0745" w14:paraId="5C275636" w14:textId="77777777">
        <w:trPr>
          <w:trHeight w:val="300"/>
        </w:trPr>
        <w:tc>
          <w:tcPr>
            <w:tcW w:w="2680" w:type="dxa"/>
            <w:vAlign w:val="center"/>
          </w:tcPr>
          <w:p w14:paraId="1B802542" w14:textId="77777777" w:rsidR="00BA0745" w:rsidRDefault="00000000">
            <w:pPr>
              <w:jc w:val="center"/>
              <w:rPr>
                <w:color w:val="111111"/>
                <w:sz w:val="22"/>
                <w:szCs w:val="22"/>
              </w:rPr>
            </w:pPr>
            <w:r>
              <w:rPr>
                <w:color w:val="111111"/>
                <w:sz w:val="22"/>
                <w:szCs w:val="22"/>
              </w:rPr>
              <w:t>Problematic cross-loadings</w:t>
            </w:r>
          </w:p>
        </w:tc>
        <w:tc>
          <w:tcPr>
            <w:tcW w:w="3080" w:type="dxa"/>
            <w:vAlign w:val="center"/>
          </w:tcPr>
          <w:p w14:paraId="1E221CD6" w14:textId="77777777" w:rsidR="00BA0745" w:rsidRDefault="00000000">
            <w:pPr>
              <w:jc w:val="center"/>
              <w:rPr>
                <w:color w:val="111111"/>
                <w:sz w:val="22"/>
                <w:szCs w:val="22"/>
              </w:rPr>
            </w:pPr>
            <w:r>
              <w:rPr>
                <w:color w:val="111111"/>
                <w:sz w:val="22"/>
                <w:szCs w:val="22"/>
              </w:rPr>
              <w:t>0</w:t>
            </w:r>
          </w:p>
        </w:tc>
        <w:tc>
          <w:tcPr>
            <w:tcW w:w="3600" w:type="dxa"/>
            <w:vAlign w:val="center"/>
          </w:tcPr>
          <w:p w14:paraId="1DB8F8A3" w14:textId="77777777" w:rsidR="00BA0745" w:rsidRDefault="00000000">
            <w:pPr>
              <w:jc w:val="center"/>
              <w:rPr>
                <w:color w:val="111111"/>
                <w:sz w:val="22"/>
                <w:szCs w:val="22"/>
              </w:rPr>
            </w:pPr>
            <w:r>
              <w:rPr>
                <w:color w:val="111111"/>
                <w:sz w:val="22"/>
                <w:szCs w:val="22"/>
              </w:rPr>
              <w:t>No substantial factor ambiguity</w:t>
            </w:r>
          </w:p>
        </w:tc>
      </w:tr>
      <w:tr w:rsidR="00BA0745" w14:paraId="5E572575" w14:textId="77777777">
        <w:trPr>
          <w:trHeight w:val="300"/>
        </w:trPr>
        <w:tc>
          <w:tcPr>
            <w:tcW w:w="2680" w:type="dxa"/>
            <w:tcBorders>
              <w:bottom w:val="single" w:sz="4" w:space="0" w:color="000000"/>
            </w:tcBorders>
            <w:vAlign w:val="center"/>
          </w:tcPr>
          <w:p w14:paraId="6C233D04" w14:textId="77777777" w:rsidR="00BA0745" w:rsidRDefault="00000000">
            <w:pPr>
              <w:jc w:val="center"/>
              <w:rPr>
                <w:color w:val="111111"/>
                <w:sz w:val="22"/>
                <w:szCs w:val="22"/>
              </w:rPr>
            </w:pPr>
            <w:r>
              <w:rPr>
                <w:color w:val="111111"/>
                <w:sz w:val="22"/>
                <w:szCs w:val="22"/>
              </w:rPr>
              <w:t>Weak primary loadings, |λ| &lt; 0.30</w:t>
            </w:r>
          </w:p>
        </w:tc>
        <w:tc>
          <w:tcPr>
            <w:tcW w:w="3080" w:type="dxa"/>
            <w:tcBorders>
              <w:bottom w:val="single" w:sz="4" w:space="0" w:color="000000"/>
            </w:tcBorders>
            <w:vAlign w:val="center"/>
          </w:tcPr>
          <w:p w14:paraId="1EE8B5C5" w14:textId="77777777" w:rsidR="00BA0745" w:rsidRDefault="00000000">
            <w:pPr>
              <w:jc w:val="center"/>
              <w:rPr>
                <w:color w:val="111111"/>
                <w:sz w:val="22"/>
                <w:szCs w:val="22"/>
              </w:rPr>
            </w:pPr>
            <w:r>
              <w:rPr>
                <w:color w:val="111111"/>
                <w:sz w:val="22"/>
                <w:szCs w:val="22"/>
              </w:rPr>
              <w:t>13</w:t>
            </w:r>
          </w:p>
        </w:tc>
        <w:tc>
          <w:tcPr>
            <w:tcW w:w="3600" w:type="dxa"/>
            <w:tcBorders>
              <w:bottom w:val="single" w:sz="4" w:space="0" w:color="000000"/>
            </w:tcBorders>
            <w:vAlign w:val="center"/>
          </w:tcPr>
          <w:p w14:paraId="60920F05" w14:textId="77777777" w:rsidR="00BA0745" w:rsidRDefault="00000000">
            <w:pPr>
              <w:jc w:val="center"/>
              <w:rPr>
                <w:color w:val="111111"/>
                <w:sz w:val="22"/>
                <w:szCs w:val="22"/>
              </w:rPr>
            </w:pPr>
            <w:r>
              <w:rPr>
                <w:color w:val="111111"/>
                <w:sz w:val="22"/>
                <w:szCs w:val="22"/>
              </w:rPr>
              <w:t>Mainly operational or conditional indicators</w:t>
            </w:r>
          </w:p>
        </w:tc>
      </w:tr>
    </w:tbl>
    <w:p w14:paraId="5044CFE5" w14:textId="77777777" w:rsidR="00BA0745" w:rsidRDefault="00BA0745">
      <w:pPr>
        <w:spacing w:before="120" w:after="120"/>
        <w:jc w:val="both"/>
        <w:rPr>
          <w:b/>
          <w:bCs/>
          <w:sz w:val="22"/>
          <w:szCs w:val="22"/>
        </w:rPr>
      </w:pPr>
    </w:p>
    <w:p w14:paraId="7AE86E96" w14:textId="77777777" w:rsidR="00BA0745" w:rsidRDefault="00000000">
      <w:pPr>
        <w:spacing w:before="120" w:after="120"/>
        <w:jc w:val="both"/>
        <w:rPr>
          <w:b/>
          <w:bCs/>
          <w:sz w:val="22"/>
          <w:szCs w:val="22"/>
        </w:rPr>
      </w:pPr>
      <w:r>
        <w:rPr>
          <w:b/>
          <w:bCs/>
          <w:sz w:val="22"/>
          <w:szCs w:val="22"/>
        </w:rPr>
        <w:t>Supplementary Table S4.</w:t>
      </w:r>
      <w:r>
        <w:rPr>
          <w:sz w:val="22"/>
          <w:szCs w:val="22"/>
        </w:rPr>
        <w:t xml:space="preserve"> Internal coherence of the eight CORE-8 WSQS domain indicators.</w:t>
      </w:r>
    </w:p>
    <w:tbl>
      <w:tblPr>
        <w:tblStyle w:val="af3"/>
        <w:tblW w:w="8079" w:type="dxa"/>
        <w:tblLayout w:type="fixed"/>
        <w:tblLook w:val="0400" w:firstRow="0" w:lastRow="0" w:firstColumn="0" w:lastColumn="0" w:noHBand="0" w:noVBand="1"/>
      </w:tblPr>
      <w:tblGrid>
        <w:gridCol w:w="2598"/>
        <w:gridCol w:w="2980"/>
        <w:gridCol w:w="2501"/>
      </w:tblGrid>
      <w:tr w:rsidR="00BA0745" w14:paraId="21FEA1AC" w14:textId="77777777">
        <w:trPr>
          <w:tblHeader/>
        </w:trPr>
        <w:tc>
          <w:tcPr>
            <w:tcW w:w="2598" w:type="dxa"/>
            <w:tcBorders>
              <w:top w:val="single" w:sz="4" w:space="0" w:color="000000"/>
              <w:bottom w:val="single" w:sz="4" w:space="0" w:color="000000"/>
            </w:tcBorders>
            <w:vAlign w:val="center"/>
          </w:tcPr>
          <w:p w14:paraId="41E76DFF" w14:textId="77777777" w:rsidR="00BA0745" w:rsidRDefault="00000000">
            <w:pPr>
              <w:jc w:val="center"/>
              <w:rPr>
                <w:sz w:val="22"/>
                <w:szCs w:val="22"/>
              </w:rPr>
            </w:pPr>
            <w:r>
              <w:rPr>
                <w:sz w:val="22"/>
                <w:szCs w:val="22"/>
              </w:rPr>
              <w:t>Diagnostic</w:t>
            </w:r>
          </w:p>
        </w:tc>
        <w:tc>
          <w:tcPr>
            <w:tcW w:w="2980" w:type="dxa"/>
            <w:tcBorders>
              <w:top w:val="single" w:sz="4" w:space="0" w:color="000000"/>
              <w:bottom w:val="single" w:sz="4" w:space="0" w:color="000000"/>
            </w:tcBorders>
            <w:vAlign w:val="center"/>
          </w:tcPr>
          <w:p w14:paraId="6673B311" w14:textId="77777777" w:rsidR="00BA0745" w:rsidRDefault="00000000">
            <w:pPr>
              <w:jc w:val="center"/>
              <w:rPr>
                <w:sz w:val="22"/>
                <w:szCs w:val="22"/>
              </w:rPr>
            </w:pPr>
            <w:r>
              <w:rPr>
                <w:sz w:val="22"/>
                <w:szCs w:val="22"/>
              </w:rPr>
              <w:t>Observed complete-case analysis</w:t>
            </w:r>
          </w:p>
        </w:tc>
        <w:tc>
          <w:tcPr>
            <w:tcW w:w="2501" w:type="dxa"/>
            <w:tcBorders>
              <w:top w:val="single" w:sz="4" w:space="0" w:color="000000"/>
              <w:bottom w:val="single" w:sz="4" w:space="0" w:color="000000"/>
            </w:tcBorders>
            <w:vAlign w:val="center"/>
          </w:tcPr>
          <w:p w14:paraId="7FA96E6F" w14:textId="77777777" w:rsidR="00BA0745" w:rsidRDefault="00000000">
            <w:pPr>
              <w:jc w:val="center"/>
              <w:rPr>
                <w:sz w:val="22"/>
                <w:szCs w:val="22"/>
              </w:rPr>
            </w:pPr>
            <w:r>
              <w:rPr>
                <w:sz w:val="22"/>
                <w:szCs w:val="22"/>
              </w:rPr>
              <w:t>Median-imputed sensitivity</w:t>
            </w:r>
          </w:p>
        </w:tc>
      </w:tr>
      <w:tr w:rsidR="00BA0745" w14:paraId="78E01934" w14:textId="77777777">
        <w:tc>
          <w:tcPr>
            <w:tcW w:w="2598" w:type="dxa"/>
            <w:vAlign w:val="center"/>
          </w:tcPr>
          <w:p w14:paraId="408CF503" w14:textId="77777777" w:rsidR="00BA0745" w:rsidRDefault="00000000">
            <w:pPr>
              <w:jc w:val="center"/>
              <w:rPr>
                <w:sz w:val="22"/>
                <w:szCs w:val="22"/>
              </w:rPr>
            </w:pPr>
            <w:r>
              <w:rPr>
                <w:sz w:val="22"/>
                <w:szCs w:val="22"/>
              </w:rPr>
              <w:t>Cronbach’s α</w:t>
            </w:r>
          </w:p>
        </w:tc>
        <w:tc>
          <w:tcPr>
            <w:tcW w:w="2980" w:type="dxa"/>
            <w:vAlign w:val="center"/>
          </w:tcPr>
          <w:p w14:paraId="7AA05066" w14:textId="77777777" w:rsidR="00BA0745" w:rsidRDefault="00000000">
            <w:pPr>
              <w:jc w:val="center"/>
              <w:rPr>
                <w:sz w:val="22"/>
                <w:szCs w:val="22"/>
              </w:rPr>
            </w:pPr>
            <w:r>
              <w:rPr>
                <w:sz w:val="22"/>
                <w:szCs w:val="22"/>
              </w:rPr>
              <w:t>0.757</w:t>
            </w:r>
          </w:p>
        </w:tc>
        <w:tc>
          <w:tcPr>
            <w:tcW w:w="2501" w:type="dxa"/>
            <w:vAlign w:val="center"/>
          </w:tcPr>
          <w:p w14:paraId="733950DD" w14:textId="77777777" w:rsidR="00BA0745" w:rsidRDefault="00000000">
            <w:pPr>
              <w:jc w:val="center"/>
              <w:rPr>
                <w:sz w:val="22"/>
                <w:szCs w:val="22"/>
              </w:rPr>
            </w:pPr>
            <w:r>
              <w:rPr>
                <w:sz w:val="22"/>
                <w:szCs w:val="22"/>
              </w:rPr>
              <w:t>0.756</w:t>
            </w:r>
          </w:p>
        </w:tc>
      </w:tr>
      <w:tr w:rsidR="00BA0745" w14:paraId="5F525B0C" w14:textId="77777777">
        <w:tc>
          <w:tcPr>
            <w:tcW w:w="2598" w:type="dxa"/>
            <w:vAlign w:val="center"/>
          </w:tcPr>
          <w:p w14:paraId="4833E7E3" w14:textId="77777777" w:rsidR="00BA0745" w:rsidRDefault="00000000">
            <w:pPr>
              <w:jc w:val="center"/>
              <w:rPr>
                <w:sz w:val="22"/>
                <w:szCs w:val="22"/>
              </w:rPr>
            </w:pPr>
            <w:r>
              <w:rPr>
                <w:sz w:val="22"/>
                <w:szCs w:val="22"/>
              </w:rPr>
              <w:t>95% bootstrap CI</w:t>
            </w:r>
          </w:p>
        </w:tc>
        <w:tc>
          <w:tcPr>
            <w:tcW w:w="2980" w:type="dxa"/>
            <w:vAlign w:val="center"/>
          </w:tcPr>
          <w:p w14:paraId="0A53BD05" w14:textId="77777777" w:rsidR="00BA0745" w:rsidRDefault="00000000">
            <w:pPr>
              <w:jc w:val="center"/>
              <w:rPr>
                <w:sz w:val="22"/>
                <w:szCs w:val="22"/>
              </w:rPr>
            </w:pPr>
            <w:r>
              <w:rPr>
                <w:sz w:val="22"/>
                <w:szCs w:val="22"/>
              </w:rPr>
              <w:t>0.747–0.767</w:t>
            </w:r>
          </w:p>
        </w:tc>
        <w:tc>
          <w:tcPr>
            <w:tcW w:w="2501" w:type="dxa"/>
            <w:vAlign w:val="center"/>
          </w:tcPr>
          <w:p w14:paraId="49871C38" w14:textId="77777777" w:rsidR="00BA0745" w:rsidRDefault="00000000">
            <w:pPr>
              <w:jc w:val="center"/>
              <w:rPr>
                <w:sz w:val="22"/>
                <w:szCs w:val="22"/>
              </w:rPr>
            </w:pPr>
            <w:r>
              <w:rPr>
                <w:sz w:val="22"/>
                <w:szCs w:val="22"/>
              </w:rPr>
              <w:t>0.746–0.766</w:t>
            </w:r>
          </w:p>
        </w:tc>
      </w:tr>
      <w:tr w:rsidR="00BA0745" w14:paraId="25CED768" w14:textId="77777777">
        <w:tc>
          <w:tcPr>
            <w:tcW w:w="2598" w:type="dxa"/>
            <w:vAlign w:val="center"/>
          </w:tcPr>
          <w:p w14:paraId="757BB8DE" w14:textId="77777777" w:rsidR="00BA0745" w:rsidRDefault="00000000">
            <w:pPr>
              <w:jc w:val="center"/>
              <w:rPr>
                <w:sz w:val="22"/>
                <w:szCs w:val="22"/>
              </w:rPr>
            </w:pPr>
            <w:r>
              <w:rPr>
                <w:sz w:val="22"/>
                <w:szCs w:val="22"/>
              </w:rPr>
              <w:t>Standardized α</w:t>
            </w:r>
          </w:p>
        </w:tc>
        <w:tc>
          <w:tcPr>
            <w:tcW w:w="2980" w:type="dxa"/>
            <w:vAlign w:val="center"/>
          </w:tcPr>
          <w:p w14:paraId="267010DD" w14:textId="77777777" w:rsidR="00BA0745" w:rsidRDefault="00000000">
            <w:pPr>
              <w:jc w:val="center"/>
              <w:rPr>
                <w:sz w:val="22"/>
                <w:szCs w:val="22"/>
              </w:rPr>
            </w:pPr>
            <w:r>
              <w:rPr>
                <w:sz w:val="22"/>
                <w:szCs w:val="22"/>
              </w:rPr>
              <w:t>0.766</w:t>
            </w:r>
          </w:p>
        </w:tc>
        <w:tc>
          <w:tcPr>
            <w:tcW w:w="2501" w:type="dxa"/>
            <w:vAlign w:val="center"/>
          </w:tcPr>
          <w:p w14:paraId="3443BDA3" w14:textId="77777777" w:rsidR="00BA0745" w:rsidRDefault="00000000">
            <w:pPr>
              <w:jc w:val="center"/>
              <w:rPr>
                <w:sz w:val="22"/>
                <w:szCs w:val="22"/>
              </w:rPr>
            </w:pPr>
            <w:r>
              <w:rPr>
                <w:sz w:val="22"/>
                <w:szCs w:val="22"/>
              </w:rPr>
              <w:t>0.766</w:t>
            </w:r>
          </w:p>
        </w:tc>
      </w:tr>
      <w:tr w:rsidR="00BA0745" w14:paraId="14E723CE" w14:textId="77777777">
        <w:tc>
          <w:tcPr>
            <w:tcW w:w="2598" w:type="dxa"/>
            <w:vAlign w:val="center"/>
          </w:tcPr>
          <w:p w14:paraId="0B2A654F" w14:textId="77777777" w:rsidR="00BA0745" w:rsidRDefault="00000000">
            <w:pPr>
              <w:jc w:val="center"/>
              <w:rPr>
                <w:sz w:val="22"/>
                <w:szCs w:val="22"/>
              </w:rPr>
            </w:pPr>
            <w:r>
              <w:rPr>
                <w:sz w:val="22"/>
                <w:szCs w:val="22"/>
              </w:rPr>
              <w:t xml:space="preserve">Mean inter-item Pearson </w:t>
            </w:r>
            <w:r>
              <w:rPr>
                <w:i/>
                <w:iCs/>
                <w:sz w:val="22"/>
                <w:szCs w:val="22"/>
              </w:rPr>
              <w:t>r</w:t>
            </w:r>
          </w:p>
        </w:tc>
        <w:tc>
          <w:tcPr>
            <w:tcW w:w="2980" w:type="dxa"/>
            <w:vAlign w:val="center"/>
          </w:tcPr>
          <w:p w14:paraId="747D47D6" w14:textId="77777777" w:rsidR="00BA0745" w:rsidRDefault="00000000">
            <w:pPr>
              <w:jc w:val="center"/>
              <w:rPr>
                <w:sz w:val="22"/>
                <w:szCs w:val="22"/>
              </w:rPr>
            </w:pPr>
            <w:r>
              <w:rPr>
                <w:sz w:val="22"/>
                <w:szCs w:val="22"/>
              </w:rPr>
              <w:t>0.290</w:t>
            </w:r>
          </w:p>
        </w:tc>
        <w:tc>
          <w:tcPr>
            <w:tcW w:w="2501" w:type="dxa"/>
            <w:vAlign w:val="center"/>
          </w:tcPr>
          <w:p w14:paraId="0539C92B" w14:textId="77777777" w:rsidR="00BA0745" w:rsidRDefault="00000000">
            <w:pPr>
              <w:jc w:val="center"/>
              <w:rPr>
                <w:sz w:val="22"/>
                <w:szCs w:val="22"/>
              </w:rPr>
            </w:pPr>
            <w:r>
              <w:rPr>
                <w:sz w:val="22"/>
                <w:szCs w:val="22"/>
              </w:rPr>
              <w:t>0.290</w:t>
            </w:r>
          </w:p>
        </w:tc>
      </w:tr>
      <w:tr w:rsidR="00BA0745" w14:paraId="2DD7281E" w14:textId="77777777">
        <w:tc>
          <w:tcPr>
            <w:tcW w:w="2598" w:type="dxa"/>
            <w:tcBorders>
              <w:bottom w:val="single" w:sz="4" w:space="0" w:color="000000"/>
            </w:tcBorders>
            <w:vAlign w:val="center"/>
          </w:tcPr>
          <w:p w14:paraId="02555D9F" w14:textId="77777777" w:rsidR="00BA0745" w:rsidRDefault="00000000">
            <w:pPr>
              <w:jc w:val="center"/>
              <w:rPr>
                <w:sz w:val="22"/>
                <w:szCs w:val="22"/>
              </w:rPr>
            </w:pPr>
            <w:r>
              <w:rPr>
                <w:sz w:val="22"/>
                <w:szCs w:val="22"/>
              </w:rPr>
              <w:t>Mean inter-item Spearman ρ</w:t>
            </w:r>
          </w:p>
        </w:tc>
        <w:tc>
          <w:tcPr>
            <w:tcW w:w="2980" w:type="dxa"/>
            <w:tcBorders>
              <w:bottom w:val="single" w:sz="4" w:space="0" w:color="000000"/>
            </w:tcBorders>
            <w:vAlign w:val="center"/>
          </w:tcPr>
          <w:p w14:paraId="1FF550B0" w14:textId="77777777" w:rsidR="00BA0745" w:rsidRDefault="00000000">
            <w:pPr>
              <w:jc w:val="center"/>
              <w:rPr>
                <w:sz w:val="22"/>
                <w:szCs w:val="22"/>
              </w:rPr>
            </w:pPr>
            <w:r>
              <w:rPr>
                <w:sz w:val="22"/>
                <w:szCs w:val="22"/>
              </w:rPr>
              <w:t>0.315</w:t>
            </w:r>
          </w:p>
        </w:tc>
        <w:tc>
          <w:tcPr>
            <w:tcW w:w="2501" w:type="dxa"/>
            <w:tcBorders>
              <w:bottom w:val="single" w:sz="4" w:space="0" w:color="000000"/>
            </w:tcBorders>
            <w:vAlign w:val="center"/>
          </w:tcPr>
          <w:p w14:paraId="21254510" w14:textId="77777777" w:rsidR="00BA0745" w:rsidRDefault="00000000">
            <w:pPr>
              <w:jc w:val="center"/>
              <w:rPr>
                <w:sz w:val="22"/>
                <w:szCs w:val="22"/>
              </w:rPr>
            </w:pPr>
            <w:r>
              <w:rPr>
                <w:sz w:val="22"/>
                <w:szCs w:val="22"/>
              </w:rPr>
              <w:t>0.314</w:t>
            </w:r>
          </w:p>
        </w:tc>
      </w:tr>
    </w:tbl>
    <w:p w14:paraId="322ACE4E" w14:textId="77777777" w:rsidR="00BA0745" w:rsidRDefault="00000000">
      <w:pPr>
        <w:spacing w:before="120" w:after="120"/>
        <w:jc w:val="both"/>
        <w:rPr>
          <w:b/>
          <w:bCs/>
          <w:sz w:val="22"/>
          <w:szCs w:val="22"/>
        </w:rPr>
      </w:pPr>
      <w:r>
        <w:rPr>
          <w:b/>
          <w:bCs/>
          <w:sz w:val="22"/>
          <w:szCs w:val="22"/>
        </w:rPr>
        <w:t>Note.</w:t>
      </w:r>
      <w:r>
        <w:rPr>
          <w:sz w:val="22"/>
          <w:szCs w:val="22"/>
        </w:rPr>
        <w:t xml:space="preserve"> Cronbach’s α is reported as a descriptive measure of cross-domain coherence among the eight CORE-8 WSQS domain indicators rather than as evidence of a unidimensional reflective scale. The median-imputed sensitivity uses the same imputed measurement matrix used for the broader measurement-structure diagnostics.</w:t>
      </w:r>
    </w:p>
    <w:p w14:paraId="2F396426" w14:textId="77777777" w:rsidR="00BA0745" w:rsidRDefault="00000000">
      <w:pPr>
        <w:spacing w:before="120" w:after="120"/>
        <w:jc w:val="both"/>
        <w:rPr>
          <w:b/>
          <w:bCs/>
          <w:sz w:val="22"/>
          <w:szCs w:val="22"/>
        </w:rPr>
      </w:pPr>
      <w:r>
        <w:rPr>
          <w:b/>
          <w:bCs/>
          <w:sz w:val="22"/>
          <w:szCs w:val="22"/>
        </w:rPr>
        <w:t xml:space="preserve">Supplementary Table S5. </w:t>
      </w:r>
      <w:r>
        <w:rPr>
          <w:sz w:val="22"/>
          <w:szCs w:val="22"/>
        </w:rPr>
        <w:t>Overall measurement diagnostics.</w:t>
      </w:r>
    </w:p>
    <w:p w14:paraId="47C3C92A" w14:textId="77777777" w:rsidR="00BA0745" w:rsidRDefault="00BA0745">
      <w:pPr>
        <w:spacing w:before="120" w:after="120"/>
        <w:jc w:val="both"/>
        <w:rPr>
          <w:b/>
          <w:bCs/>
          <w:sz w:val="22"/>
          <w:szCs w:val="22"/>
        </w:rPr>
      </w:pPr>
    </w:p>
    <w:tbl>
      <w:tblPr>
        <w:tblStyle w:val="af4"/>
        <w:tblW w:w="9360" w:type="dxa"/>
        <w:tblLayout w:type="fixed"/>
        <w:tblLook w:val="0400" w:firstRow="0" w:lastRow="0" w:firstColumn="0" w:lastColumn="0" w:noHBand="0" w:noVBand="1"/>
      </w:tblPr>
      <w:tblGrid>
        <w:gridCol w:w="2297"/>
        <w:gridCol w:w="1591"/>
        <w:gridCol w:w="1138"/>
        <w:gridCol w:w="1233"/>
        <w:gridCol w:w="1270"/>
        <w:gridCol w:w="1831"/>
      </w:tblGrid>
      <w:tr w:rsidR="00BA0745" w14:paraId="666D4166" w14:textId="77777777">
        <w:tc>
          <w:tcPr>
            <w:tcW w:w="2297" w:type="dxa"/>
            <w:tcBorders>
              <w:top w:val="single" w:sz="4" w:space="0" w:color="000000"/>
              <w:bottom w:val="single" w:sz="4" w:space="0" w:color="000000"/>
            </w:tcBorders>
            <w:vAlign w:val="center"/>
          </w:tcPr>
          <w:p w14:paraId="3D093569" w14:textId="77777777" w:rsidR="00BA0745" w:rsidRDefault="00000000">
            <w:pPr>
              <w:jc w:val="center"/>
              <w:rPr>
                <w:sz w:val="22"/>
                <w:szCs w:val="22"/>
              </w:rPr>
            </w:pPr>
            <w:r>
              <w:rPr>
                <w:sz w:val="22"/>
                <w:szCs w:val="22"/>
              </w:rPr>
              <w:t>Item</w:t>
            </w:r>
          </w:p>
        </w:tc>
        <w:tc>
          <w:tcPr>
            <w:tcW w:w="1591" w:type="dxa"/>
            <w:tcBorders>
              <w:top w:val="single" w:sz="4" w:space="0" w:color="000000"/>
              <w:bottom w:val="single" w:sz="4" w:space="0" w:color="000000"/>
            </w:tcBorders>
            <w:vAlign w:val="center"/>
          </w:tcPr>
          <w:p w14:paraId="2552DF3A" w14:textId="77777777" w:rsidR="00BA0745" w:rsidRDefault="00000000">
            <w:pPr>
              <w:jc w:val="center"/>
              <w:rPr>
                <w:sz w:val="22"/>
                <w:szCs w:val="22"/>
              </w:rPr>
            </w:pPr>
            <w:r>
              <w:rPr>
                <w:sz w:val="22"/>
                <w:szCs w:val="22"/>
              </w:rPr>
              <w:t>Conceptual domain</w:t>
            </w:r>
          </w:p>
        </w:tc>
        <w:tc>
          <w:tcPr>
            <w:tcW w:w="1138" w:type="dxa"/>
            <w:tcBorders>
              <w:top w:val="single" w:sz="4" w:space="0" w:color="000000"/>
              <w:bottom w:val="single" w:sz="4" w:space="0" w:color="000000"/>
            </w:tcBorders>
            <w:vAlign w:val="center"/>
          </w:tcPr>
          <w:p w14:paraId="774A84FD" w14:textId="77777777" w:rsidR="00BA0745" w:rsidRDefault="00000000">
            <w:pPr>
              <w:jc w:val="center"/>
              <w:rPr>
                <w:sz w:val="22"/>
                <w:szCs w:val="22"/>
              </w:rPr>
            </w:pPr>
            <w:r>
              <w:rPr>
                <w:sz w:val="22"/>
                <w:szCs w:val="22"/>
              </w:rPr>
              <w:t>Primary factor</w:t>
            </w:r>
          </w:p>
        </w:tc>
        <w:tc>
          <w:tcPr>
            <w:tcW w:w="1233" w:type="dxa"/>
            <w:tcBorders>
              <w:top w:val="single" w:sz="4" w:space="0" w:color="000000"/>
              <w:bottom w:val="single" w:sz="4" w:space="0" w:color="000000"/>
            </w:tcBorders>
            <w:vAlign w:val="center"/>
          </w:tcPr>
          <w:p w14:paraId="00DCE4B6" w14:textId="77777777" w:rsidR="00BA0745" w:rsidRDefault="00000000">
            <w:pPr>
              <w:jc w:val="center"/>
              <w:rPr>
                <w:sz w:val="22"/>
                <w:szCs w:val="22"/>
              </w:rPr>
            </w:pPr>
            <w:r>
              <w:rPr>
                <w:sz w:val="22"/>
                <w:szCs w:val="22"/>
              </w:rPr>
              <w:t>Primary loading</w:t>
            </w:r>
          </w:p>
        </w:tc>
        <w:tc>
          <w:tcPr>
            <w:tcW w:w="1270" w:type="dxa"/>
            <w:tcBorders>
              <w:top w:val="single" w:sz="4" w:space="0" w:color="000000"/>
              <w:bottom w:val="single" w:sz="4" w:space="0" w:color="000000"/>
            </w:tcBorders>
            <w:vAlign w:val="center"/>
          </w:tcPr>
          <w:p w14:paraId="353EC4E7" w14:textId="77777777" w:rsidR="00BA0745" w:rsidRDefault="00000000">
            <w:pPr>
              <w:jc w:val="center"/>
              <w:rPr>
                <w:sz w:val="22"/>
                <w:szCs w:val="22"/>
              </w:rPr>
            </w:pPr>
            <w:r>
              <w:rPr>
                <w:sz w:val="22"/>
                <w:szCs w:val="22"/>
              </w:rPr>
              <w:t>Communality</w:t>
            </w:r>
          </w:p>
        </w:tc>
        <w:tc>
          <w:tcPr>
            <w:tcW w:w="1831" w:type="dxa"/>
            <w:tcBorders>
              <w:top w:val="single" w:sz="4" w:space="0" w:color="000000"/>
              <w:bottom w:val="single" w:sz="4" w:space="0" w:color="000000"/>
            </w:tcBorders>
            <w:vAlign w:val="center"/>
          </w:tcPr>
          <w:p w14:paraId="4414A0E5" w14:textId="77777777" w:rsidR="00BA0745" w:rsidRDefault="00000000">
            <w:pPr>
              <w:jc w:val="center"/>
              <w:rPr>
                <w:sz w:val="22"/>
                <w:szCs w:val="22"/>
              </w:rPr>
            </w:pPr>
            <w:r>
              <w:rPr>
                <w:sz w:val="22"/>
                <w:szCs w:val="22"/>
              </w:rPr>
              <w:t>Loading classification</w:t>
            </w:r>
          </w:p>
        </w:tc>
      </w:tr>
      <w:tr w:rsidR="00BA0745" w14:paraId="173AE086" w14:textId="77777777">
        <w:tc>
          <w:tcPr>
            <w:tcW w:w="2297" w:type="dxa"/>
            <w:vAlign w:val="center"/>
          </w:tcPr>
          <w:p w14:paraId="0872E43D" w14:textId="77777777" w:rsidR="00BA0745" w:rsidRDefault="00000000">
            <w:pPr>
              <w:jc w:val="center"/>
              <w:rPr>
                <w:sz w:val="22"/>
                <w:szCs w:val="22"/>
              </w:rPr>
            </w:pPr>
            <w:r>
              <w:rPr>
                <w:sz w:val="22"/>
                <w:szCs w:val="22"/>
              </w:rPr>
              <w:t>Water taste</w:t>
            </w:r>
          </w:p>
        </w:tc>
        <w:tc>
          <w:tcPr>
            <w:tcW w:w="1591" w:type="dxa"/>
            <w:vAlign w:val="center"/>
          </w:tcPr>
          <w:p w14:paraId="3AAAA724" w14:textId="77777777" w:rsidR="00BA0745" w:rsidRDefault="00000000">
            <w:pPr>
              <w:jc w:val="center"/>
              <w:rPr>
                <w:sz w:val="22"/>
                <w:szCs w:val="22"/>
              </w:rPr>
            </w:pPr>
            <w:r>
              <w:rPr>
                <w:sz w:val="22"/>
                <w:szCs w:val="22"/>
              </w:rPr>
              <w:t>Acceptability</w:t>
            </w:r>
          </w:p>
        </w:tc>
        <w:tc>
          <w:tcPr>
            <w:tcW w:w="1138" w:type="dxa"/>
            <w:vAlign w:val="center"/>
          </w:tcPr>
          <w:p w14:paraId="3FDAE5A6" w14:textId="77777777" w:rsidR="00BA0745" w:rsidRDefault="00000000">
            <w:pPr>
              <w:jc w:val="center"/>
              <w:rPr>
                <w:sz w:val="22"/>
                <w:szCs w:val="22"/>
              </w:rPr>
            </w:pPr>
            <w:r>
              <w:rPr>
                <w:sz w:val="22"/>
                <w:szCs w:val="22"/>
              </w:rPr>
              <w:t>F1</w:t>
            </w:r>
          </w:p>
        </w:tc>
        <w:tc>
          <w:tcPr>
            <w:tcW w:w="1233" w:type="dxa"/>
            <w:vAlign w:val="center"/>
          </w:tcPr>
          <w:p w14:paraId="4BA8D56A" w14:textId="77777777" w:rsidR="00BA0745" w:rsidRDefault="00000000">
            <w:pPr>
              <w:jc w:val="center"/>
              <w:rPr>
                <w:sz w:val="22"/>
                <w:szCs w:val="22"/>
              </w:rPr>
            </w:pPr>
            <w:r>
              <w:rPr>
                <w:sz w:val="22"/>
                <w:szCs w:val="22"/>
              </w:rPr>
              <w:t>0.821</w:t>
            </w:r>
          </w:p>
        </w:tc>
        <w:tc>
          <w:tcPr>
            <w:tcW w:w="1270" w:type="dxa"/>
            <w:vAlign w:val="center"/>
          </w:tcPr>
          <w:p w14:paraId="2710219F" w14:textId="77777777" w:rsidR="00BA0745" w:rsidRDefault="00000000">
            <w:pPr>
              <w:jc w:val="center"/>
              <w:rPr>
                <w:sz w:val="22"/>
                <w:szCs w:val="22"/>
              </w:rPr>
            </w:pPr>
            <w:r>
              <w:rPr>
                <w:sz w:val="22"/>
                <w:szCs w:val="22"/>
              </w:rPr>
              <w:t>0.677</w:t>
            </w:r>
          </w:p>
        </w:tc>
        <w:tc>
          <w:tcPr>
            <w:tcW w:w="1831" w:type="dxa"/>
            <w:vAlign w:val="center"/>
          </w:tcPr>
          <w:p w14:paraId="30E689A2" w14:textId="77777777" w:rsidR="00BA0745" w:rsidRDefault="00000000">
            <w:pPr>
              <w:jc w:val="center"/>
              <w:rPr>
                <w:sz w:val="22"/>
                <w:szCs w:val="22"/>
              </w:rPr>
            </w:pPr>
            <w:r>
              <w:rPr>
                <w:sz w:val="22"/>
                <w:szCs w:val="22"/>
              </w:rPr>
              <w:t>Salient primary loading</w:t>
            </w:r>
          </w:p>
        </w:tc>
      </w:tr>
      <w:tr w:rsidR="00BA0745" w14:paraId="64ED083B" w14:textId="77777777">
        <w:tc>
          <w:tcPr>
            <w:tcW w:w="2297" w:type="dxa"/>
            <w:vAlign w:val="center"/>
          </w:tcPr>
          <w:p w14:paraId="48C431E5" w14:textId="77777777" w:rsidR="00BA0745" w:rsidRDefault="00000000">
            <w:pPr>
              <w:jc w:val="center"/>
              <w:rPr>
                <w:sz w:val="22"/>
                <w:szCs w:val="22"/>
              </w:rPr>
            </w:pPr>
            <w:r>
              <w:rPr>
                <w:sz w:val="22"/>
                <w:szCs w:val="22"/>
              </w:rPr>
              <w:t>Water odor</w:t>
            </w:r>
          </w:p>
        </w:tc>
        <w:tc>
          <w:tcPr>
            <w:tcW w:w="1591" w:type="dxa"/>
            <w:vAlign w:val="center"/>
          </w:tcPr>
          <w:p w14:paraId="29BB0764" w14:textId="77777777" w:rsidR="00BA0745" w:rsidRDefault="00000000">
            <w:pPr>
              <w:jc w:val="center"/>
              <w:rPr>
                <w:sz w:val="22"/>
                <w:szCs w:val="22"/>
              </w:rPr>
            </w:pPr>
            <w:r>
              <w:rPr>
                <w:sz w:val="22"/>
                <w:szCs w:val="22"/>
              </w:rPr>
              <w:t>Acceptability</w:t>
            </w:r>
          </w:p>
        </w:tc>
        <w:tc>
          <w:tcPr>
            <w:tcW w:w="1138" w:type="dxa"/>
            <w:vAlign w:val="center"/>
          </w:tcPr>
          <w:p w14:paraId="07176212" w14:textId="77777777" w:rsidR="00BA0745" w:rsidRDefault="00000000">
            <w:pPr>
              <w:jc w:val="center"/>
              <w:rPr>
                <w:sz w:val="22"/>
                <w:szCs w:val="22"/>
              </w:rPr>
            </w:pPr>
            <w:r>
              <w:rPr>
                <w:sz w:val="22"/>
                <w:szCs w:val="22"/>
              </w:rPr>
              <w:t>F1</w:t>
            </w:r>
          </w:p>
        </w:tc>
        <w:tc>
          <w:tcPr>
            <w:tcW w:w="1233" w:type="dxa"/>
            <w:vAlign w:val="center"/>
          </w:tcPr>
          <w:p w14:paraId="2719FEBE" w14:textId="77777777" w:rsidR="00BA0745" w:rsidRDefault="00000000">
            <w:pPr>
              <w:jc w:val="center"/>
              <w:rPr>
                <w:sz w:val="22"/>
                <w:szCs w:val="22"/>
              </w:rPr>
            </w:pPr>
            <w:r>
              <w:rPr>
                <w:sz w:val="22"/>
                <w:szCs w:val="22"/>
              </w:rPr>
              <w:t>0.665</w:t>
            </w:r>
          </w:p>
        </w:tc>
        <w:tc>
          <w:tcPr>
            <w:tcW w:w="1270" w:type="dxa"/>
            <w:vAlign w:val="center"/>
          </w:tcPr>
          <w:p w14:paraId="2B4E8D53" w14:textId="77777777" w:rsidR="00BA0745" w:rsidRDefault="00000000">
            <w:pPr>
              <w:jc w:val="center"/>
              <w:rPr>
                <w:sz w:val="22"/>
                <w:szCs w:val="22"/>
              </w:rPr>
            </w:pPr>
            <w:r>
              <w:rPr>
                <w:sz w:val="22"/>
                <w:szCs w:val="22"/>
              </w:rPr>
              <w:t>0.448</w:t>
            </w:r>
          </w:p>
        </w:tc>
        <w:tc>
          <w:tcPr>
            <w:tcW w:w="1831" w:type="dxa"/>
            <w:vAlign w:val="center"/>
          </w:tcPr>
          <w:p w14:paraId="7F907BDF" w14:textId="77777777" w:rsidR="00BA0745" w:rsidRDefault="00000000">
            <w:pPr>
              <w:jc w:val="center"/>
              <w:rPr>
                <w:sz w:val="22"/>
                <w:szCs w:val="22"/>
              </w:rPr>
            </w:pPr>
            <w:r>
              <w:rPr>
                <w:sz w:val="22"/>
                <w:szCs w:val="22"/>
              </w:rPr>
              <w:t>Salient primary loading</w:t>
            </w:r>
          </w:p>
        </w:tc>
      </w:tr>
      <w:tr w:rsidR="00BA0745" w14:paraId="535CEF87" w14:textId="77777777">
        <w:tc>
          <w:tcPr>
            <w:tcW w:w="2297" w:type="dxa"/>
            <w:vAlign w:val="center"/>
          </w:tcPr>
          <w:p w14:paraId="7461A0C3" w14:textId="77777777" w:rsidR="00BA0745" w:rsidRDefault="00000000">
            <w:pPr>
              <w:jc w:val="center"/>
              <w:rPr>
                <w:sz w:val="22"/>
                <w:szCs w:val="22"/>
              </w:rPr>
            </w:pPr>
            <w:r>
              <w:rPr>
                <w:sz w:val="22"/>
                <w:szCs w:val="22"/>
              </w:rPr>
              <w:t>Water appearance</w:t>
            </w:r>
          </w:p>
        </w:tc>
        <w:tc>
          <w:tcPr>
            <w:tcW w:w="1591" w:type="dxa"/>
            <w:vAlign w:val="center"/>
          </w:tcPr>
          <w:p w14:paraId="6061572B" w14:textId="77777777" w:rsidR="00BA0745" w:rsidRDefault="00000000">
            <w:pPr>
              <w:jc w:val="center"/>
              <w:rPr>
                <w:sz w:val="22"/>
                <w:szCs w:val="22"/>
              </w:rPr>
            </w:pPr>
            <w:r>
              <w:rPr>
                <w:sz w:val="22"/>
                <w:szCs w:val="22"/>
              </w:rPr>
              <w:t>Acceptability</w:t>
            </w:r>
          </w:p>
        </w:tc>
        <w:tc>
          <w:tcPr>
            <w:tcW w:w="1138" w:type="dxa"/>
            <w:vAlign w:val="center"/>
          </w:tcPr>
          <w:p w14:paraId="1159EFE7" w14:textId="77777777" w:rsidR="00BA0745" w:rsidRDefault="00000000">
            <w:pPr>
              <w:jc w:val="center"/>
              <w:rPr>
                <w:sz w:val="22"/>
                <w:szCs w:val="22"/>
              </w:rPr>
            </w:pPr>
            <w:r>
              <w:rPr>
                <w:sz w:val="22"/>
                <w:szCs w:val="22"/>
              </w:rPr>
              <w:t>F1</w:t>
            </w:r>
          </w:p>
        </w:tc>
        <w:tc>
          <w:tcPr>
            <w:tcW w:w="1233" w:type="dxa"/>
            <w:vAlign w:val="center"/>
          </w:tcPr>
          <w:p w14:paraId="42553E3F" w14:textId="77777777" w:rsidR="00BA0745" w:rsidRDefault="00000000">
            <w:pPr>
              <w:jc w:val="center"/>
              <w:rPr>
                <w:sz w:val="22"/>
                <w:szCs w:val="22"/>
              </w:rPr>
            </w:pPr>
            <w:r>
              <w:rPr>
                <w:sz w:val="22"/>
                <w:szCs w:val="22"/>
              </w:rPr>
              <w:t>0.648</w:t>
            </w:r>
          </w:p>
        </w:tc>
        <w:tc>
          <w:tcPr>
            <w:tcW w:w="1270" w:type="dxa"/>
            <w:vAlign w:val="center"/>
          </w:tcPr>
          <w:p w14:paraId="5B41BBBF" w14:textId="77777777" w:rsidR="00BA0745" w:rsidRDefault="00000000">
            <w:pPr>
              <w:jc w:val="center"/>
              <w:rPr>
                <w:sz w:val="22"/>
                <w:szCs w:val="22"/>
              </w:rPr>
            </w:pPr>
            <w:r>
              <w:rPr>
                <w:sz w:val="22"/>
                <w:szCs w:val="22"/>
              </w:rPr>
              <w:t>0.430</w:t>
            </w:r>
          </w:p>
        </w:tc>
        <w:tc>
          <w:tcPr>
            <w:tcW w:w="1831" w:type="dxa"/>
            <w:vAlign w:val="center"/>
          </w:tcPr>
          <w:p w14:paraId="03CC6575" w14:textId="77777777" w:rsidR="00BA0745" w:rsidRDefault="00000000">
            <w:pPr>
              <w:jc w:val="center"/>
              <w:rPr>
                <w:sz w:val="22"/>
                <w:szCs w:val="22"/>
              </w:rPr>
            </w:pPr>
            <w:r>
              <w:rPr>
                <w:sz w:val="22"/>
                <w:szCs w:val="22"/>
              </w:rPr>
              <w:t>Salient primary loading</w:t>
            </w:r>
          </w:p>
        </w:tc>
      </w:tr>
      <w:tr w:rsidR="00BA0745" w14:paraId="06460A63" w14:textId="77777777">
        <w:tc>
          <w:tcPr>
            <w:tcW w:w="2297" w:type="dxa"/>
            <w:vAlign w:val="center"/>
          </w:tcPr>
          <w:p w14:paraId="2F5DE676" w14:textId="77777777" w:rsidR="00BA0745" w:rsidRDefault="00000000">
            <w:pPr>
              <w:jc w:val="center"/>
              <w:rPr>
                <w:sz w:val="22"/>
                <w:szCs w:val="22"/>
              </w:rPr>
            </w:pPr>
            <w:r>
              <w:rPr>
                <w:sz w:val="22"/>
                <w:szCs w:val="22"/>
              </w:rPr>
              <w:t>Water clarity</w:t>
            </w:r>
          </w:p>
        </w:tc>
        <w:tc>
          <w:tcPr>
            <w:tcW w:w="1591" w:type="dxa"/>
            <w:vAlign w:val="center"/>
          </w:tcPr>
          <w:p w14:paraId="405EFD3B" w14:textId="77777777" w:rsidR="00BA0745" w:rsidRDefault="00000000">
            <w:pPr>
              <w:jc w:val="center"/>
              <w:rPr>
                <w:sz w:val="22"/>
                <w:szCs w:val="22"/>
              </w:rPr>
            </w:pPr>
            <w:r>
              <w:rPr>
                <w:sz w:val="22"/>
                <w:szCs w:val="22"/>
              </w:rPr>
              <w:t>Quality</w:t>
            </w:r>
          </w:p>
        </w:tc>
        <w:tc>
          <w:tcPr>
            <w:tcW w:w="1138" w:type="dxa"/>
            <w:vAlign w:val="center"/>
          </w:tcPr>
          <w:p w14:paraId="17259B66" w14:textId="77777777" w:rsidR="00BA0745" w:rsidRDefault="00000000">
            <w:pPr>
              <w:jc w:val="center"/>
              <w:rPr>
                <w:sz w:val="22"/>
                <w:szCs w:val="22"/>
              </w:rPr>
            </w:pPr>
            <w:r>
              <w:rPr>
                <w:sz w:val="22"/>
                <w:szCs w:val="22"/>
              </w:rPr>
              <w:t>F1</w:t>
            </w:r>
          </w:p>
        </w:tc>
        <w:tc>
          <w:tcPr>
            <w:tcW w:w="1233" w:type="dxa"/>
            <w:vAlign w:val="center"/>
          </w:tcPr>
          <w:p w14:paraId="18C75F2A" w14:textId="77777777" w:rsidR="00BA0745" w:rsidRDefault="00000000">
            <w:pPr>
              <w:jc w:val="center"/>
              <w:rPr>
                <w:sz w:val="22"/>
                <w:szCs w:val="22"/>
              </w:rPr>
            </w:pPr>
            <w:r>
              <w:rPr>
                <w:sz w:val="22"/>
                <w:szCs w:val="22"/>
              </w:rPr>
              <w:t>0.278</w:t>
            </w:r>
          </w:p>
        </w:tc>
        <w:tc>
          <w:tcPr>
            <w:tcW w:w="1270" w:type="dxa"/>
            <w:vAlign w:val="center"/>
          </w:tcPr>
          <w:p w14:paraId="339A9032" w14:textId="77777777" w:rsidR="00BA0745" w:rsidRDefault="00000000">
            <w:pPr>
              <w:jc w:val="center"/>
              <w:rPr>
                <w:sz w:val="22"/>
                <w:szCs w:val="22"/>
              </w:rPr>
            </w:pPr>
            <w:r>
              <w:rPr>
                <w:sz w:val="22"/>
                <w:szCs w:val="22"/>
              </w:rPr>
              <w:t>0.160</w:t>
            </w:r>
          </w:p>
        </w:tc>
        <w:tc>
          <w:tcPr>
            <w:tcW w:w="1831" w:type="dxa"/>
            <w:vAlign w:val="center"/>
          </w:tcPr>
          <w:p w14:paraId="4B9AA202" w14:textId="77777777" w:rsidR="00BA0745" w:rsidRDefault="00000000">
            <w:pPr>
              <w:jc w:val="center"/>
              <w:rPr>
                <w:sz w:val="22"/>
                <w:szCs w:val="22"/>
              </w:rPr>
            </w:pPr>
            <w:r>
              <w:rPr>
                <w:sz w:val="22"/>
                <w:szCs w:val="22"/>
              </w:rPr>
              <w:t>No salient loading</w:t>
            </w:r>
          </w:p>
        </w:tc>
      </w:tr>
      <w:tr w:rsidR="00BA0745" w14:paraId="6260753A" w14:textId="77777777">
        <w:tc>
          <w:tcPr>
            <w:tcW w:w="2297" w:type="dxa"/>
            <w:vAlign w:val="center"/>
          </w:tcPr>
          <w:p w14:paraId="48091B68" w14:textId="77777777" w:rsidR="00BA0745" w:rsidRDefault="00000000">
            <w:pPr>
              <w:jc w:val="center"/>
              <w:rPr>
                <w:sz w:val="22"/>
                <w:szCs w:val="22"/>
              </w:rPr>
            </w:pPr>
            <w:r>
              <w:rPr>
                <w:sz w:val="22"/>
                <w:szCs w:val="22"/>
              </w:rPr>
              <w:t>Complaint resolution</w:t>
            </w:r>
          </w:p>
        </w:tc>
        <w:tc>
          <w:tcPr>
            <w:tcW w:w="1591" w:type="dxa"/>
            <w:vAlign w:val="center"/>
          </w:tcPr>
          <w:p w14:paraId="206D3B67" w14:textId="77777777" w:rsidR="00BA0745" w:rsidRDefault="00000000">
            <w:pPr>
              <w:jc w:val="center"/>
              <w:rPr>
                <w:sz w:val="22"/>
                <w:szCs w:val="22"/>
              </w:rPr>
            </w:pPr>
            <w:r>
              <w:rPr>
                <w:sz w:val="22"/>
                <w:szCs w:val="22"/>
              </w:rPr>
              <w:t>Customer service</w:t>
            </w:r>
          </w:p>
        </w:tc>
        <w:tc>
          <w:tcPr>
            <w:tcW w:w="1138" w:type="dxa"/>
            <w:vAlign w:val="center"/>
          </w:tcPr>
          <w:p w14:paraId="198C90FF" w14:textId="77777777" w:rsidR="00BA0745" w:rsidRDefault="00000000">
            <w:pPr>
              <w:jc w:val="center"/>
              <w:rPr>
                <w:sz w:val="22"/>
                <w:szCs w:val="22"/>
              </w:rPr>
            </w:pPr>
            <w:r>
              <w:rPr>
                <w:sz w:val="22"/>
                <w:szCs w:val="22"/>
              </w:rPr>
              <w:t>F2</w:t>
            </w:r>
          </w:p>
        </w:tc>
        <w:tc>
          <w:tcPr>
            <w:tcW w:w="1233" w:type="dxa"/>
            <w:vAlign w:val="center"/>
          </w:tcPr>
          <w:p w14:paraId="40A3516A" w14:textId="77777777" w:rsidR="00BA0745" w:rsidRDefault="00000000">
            <w:pPr>
              <w:jc w:val="center"/>
              <w:rPr>
                <w:sz w:val="22"/>
                <w:szCs w:val="22"/>
              </w:rPr>
            </w:pPr>
            <w:r>
              <w:rPr>
                <w:sz w:val="22"/>
                <w:szCs w:val="22"/>
              </w:rPr>
              <w:t>0.648</w:t>
            </w:r>
          </w:p>
        </w:tc>
        <w:tc>
          <w:tcPr>
            <w:tcW w:w="1270" w:type="dxa"/>
            <w:vAlign w:val="center"/>
          </w:tcPr>
          <w:p w14:paraId="547733FC" w14:textId="77777777" w:rsidR="00BA0745" w:rsidRDefault="00000000">
            <w:pPr>
              <w:jc w:val="center"/>
              <w:rPr>
                <w:sz w:val="22"/>
                <w:szCs w:val="22"/>
              </w:rPr>
            </w:pPr>
            <w:r>
              <w:rPr>
                <w:sz w:val="22"/>
                <w:szCs w:val="22"/>
              </w:rPr>
              <w:t>0.429</w:t>
            </w:r>
          </w:p>
        </w:tc>
        <w:tc>
          <w:tcPr>
            <w:tcW w:w="1831" w:type="dxa"/>
            <w:vAlign w:val="center"/>
          </w:tcPr>
          <w:p w14:paraId="7C123AA3" w14:textId="77777777" w:rsidR="00BA0745" w:rsidRDefault="00000000">
            <w:pPr>
              <w:jc w:val="center"/>
              <w:rPr>
                <w:sz w:val="22"/>
                <w:szCs w:val="22"/>
              </w:rPr>
            </w:pPr>
            <w:r>
              <w:rPr>
                <w:sz w:val="22"/>
                <w:szCs w:val="22"/>
              </w:rPr>
              <w:t>Salient primary loading</w:t>
            </w:r>
          </w:p>
        </w:tc>
      </w:tr>
      <w:tr w:rsidR="00BA0745" w14:paraId="267068AB" w14:textId="77777777">
        <w:tc>
          <w:tcPr>
            <w:tcW w:w="2297" w:type="dxa"/>
            <w:vAlign w:val="center"/>
          </w:tcPr>
          <w:p w14:paraId="297E0F35" w14:textId="77777777" w:rsidR="00BA0745" w:rsidRDefault="00000000">
            <w:pPr>
              <w:jc w:val="center"/>
              <w:rPr>
                <w:sz w:val="22"/>
                <w:szCs w:val="22"/>
              </w:rPr>
            </w:pPr>
            <w:proofErr w:type="gramStart"/>
            <w:r>
              <w:rPr>
                <w:sz w:val="22"/>
                <w:szCs w:val="22"/>
              </w:rPr>
              <w:lastRenderedPageBreak/>
              <w:t>Provider</w:t>
            </w:r>
            <w:proofErr w:type="gramEnd"/>
            <w:r>
              <w:rPr>
                <w:sz w:val="22"/>
                <w:szCs w:val="22"/>
              </w:rPr>
              <w:t xml:space="preserve"> contact ease</w:t>
            </w:r>
          </w:p>
        </w:tc>
        <w:tc>
          <w:tcPr>
            <w:tcW w:w="1591" w:type="dxa"/>
            <w:vAlign w:val="center"/>
          </w:tcPr>
          <w:p w14:paraId="641A35A0" w14:textId="77777777" w:rsidR="00BA0745" w:rsidRDefault="00000000">
            <w:pPr>
              <w:jc w:val="center"/>
              <w:rPr>
                <w:sz w:val="22"/>
                <w:szCs w:val="22"/>
              </w:rPr>
            </w:pPr>
            <w:r>
              <w:rPr>
                <w:sz w:val="22"/>
                <w:szCs w:val="22"/>
              </w:rPr>
              <w:t>Customer service</w:t>
            </w:r>
          </w:p>
        </w:tc>
        <w:tc>
          <w:tcPr>
            <w:tcW w:w="1138" w:type="dxa"/>
            <w:vAlign w:val="center"/>
          </w:tcPr>
          <w:p w14:paraId="5C881F01" w14:textId="77777777" w:rsidR="00BA0745" w:rsidRDefault="00000000">
            <w:pPr>
              <w:jc w:val="center"/>
              <w:rPr>
                <w:sz w:val="22"/>
                <w:szCs w:val="22"/>
              </w:rPr>
            </w:pPr>
            <w:r>
              <w:rPr>
                <w:sz w:val="22"/>
                <w:szCs w:val="22"/>
              </w:rPr>
              <w:t>F2</w:t>
            </w:r>
          </w:p>
        </w:tc>
        <w:tc>
          <w:tcPr>
            <w:tcW w:w="1233" w:type="dxa"/>
            <w:vAlign w:val="center"/>
          </w:tcPr>
          <w:p w14:paraId="6D1A4812" w14:textId="77777777" w:rsidR="00BA0745" w:rsidRDefault="00000000">
            <w:pPr>
              <w:jc w:val="center"/>
              <w:rPr>
                <w:sz w:val="22"/>
                <w:szCs w:val="22"/>
              </w:rPr>
            </w:pPr>
            <w:r>
              <w:rPr>
                <w:sz w:val="22"/>
                <w:szCs w:val="22"/>
              </w:rPr>
              <w:t>0.547</w:t>
            </w:r>
          </w:p>
        </w:tc>
        <w:tc>
          <w:tcPr>
            <w:tcW w:w="1270" w:type="dxa"/>
            <w:vAlign w:val="center"/>
          </w:tcPr>
          <w:p w14:paraId="244BCB29" w14:textId="77777777" w:rsidR="00BA0745" w:rsidRDefault="00000000">
            <w:pPr>
              <w:jc w:val="center"/>
              <w:rPr>
                <w:sz w:val="22"/>
                <w:szCs w:val="22"/>
              </w:rPr>
            </w:pPr>
            <w:r>
              <w:rPr>
                <w:sz w:val="22"/>
                <w:szCs w:val="22"/>
              </w:rPr>
              <w:t>0.354</w:t>
            </w:r>
          </w:p>
        </w:tc>
        <w:tc>
          <w:tcPr>
            <w:tcW w:w="1831" w:type="dxa"/>
            <w:vAlign w:val="center"/>
          </w:tcPr>
          <w:p w14:paraId="0ABD97AC" w14:textId="77777777" w:rsidR="00BA0745" w:rsidRDefault="00000000">
            <w:pPr>
              <w:jc w:val="center"/>
              <w:rPr>
                <w:sz w:val="22"/>
                <w:szCs w:val="22"/>
              </w:rPr>
            </w:pPr>
            <w:r>
              <w:rPr>
                <w:sz w:val="22"/>
                <w:szCs w:val="22"/>
              </w:rPr>
              <w:t>Salient primary loading</w:t>
            </w:r>
          </w:p>
        </w:tc>
      </w:tr>
      <w:tr w:rsidR="00BA0745" w14:paraId="2CC60691" w14:textId="77777777">
        <w:tc>
          <w:tcPr>
            <w:tcW w:w="2297" w:type="dxa"/>
            <w:vAlign w:val="center"/>
          </w:tcPr>
          <w:p w14:paraId="416C3107" w14:textId="77777777" w:rsidR="00BA0745" w:rsidRDefault="00000000">
            <w:pPr>
              <w:jc w:val="center"/>
              <w:rPr>
                <w:sz w:val="22"/>
                <w:szCs w:val="22"/>
              </w:rPr>
            </w:pPr>
            <w:r>
              <w:rPr>
                <w:sz w:val="22"/>
                <w:szCs w:val="22"/>
              </w:rPr>
              <w:t>Provider customer service</w:t>
            </w:r>
          </w:p>
        </w:tc>
        <w:tc>
          <w:tcPr>
            <w:tcW w:w="1591" w:type="dxa"/>
            <w:vAlign w:val="center"/>
          </w:tcPr>
          <w:p w14:paraId="6EA1A944" w14:textId="77777777" w:rsidR="00BA0745" w:rsidRDefault="00000000">
            <w:pPr>
              <w:jc w:val="center"/>
              <w:rPr>
                <w:sz w:val="22"/>
                <w:szCs w:val="22"/>
              </w:rPr>
            </w:pPr>
            <w:r>
              <w:rPr>
                <w:sz w:val="22"/>
                <w:szCs w:val="22"/>
              </w:rPr>
              <w:t>Customer service</w:t>
            </w:r>
          </w:p>
        </w:tc>
        <w:tc>
          <w:tcPr>
            <w:tcW w:w="1138" w:type="dxa"/>
            <w:vAlign w:val="center"/>
          </w:tcPr>
          <w:p w14:paraId="4AE779BB" w14:textId="77777777" w:rsidR="00BA0745" w:rsidRDefault="00000000">
            <w:pPr>
              <w:jc w:val="center"/>
              <w:rPr>
                <w:sz w:val="22"/>
                <w:szCs w:val="22"/>
              </w:rPr>
            </w:pPr>
            <w:r>
              <w:rPr>
                <w:sz w:val="22"/>
                <w:szCs w:val="22"/>
              </w:rPr>
              <w:t>F2</w:t>
            </w:r>
          </w:p>
        </w:tc>
        <w:tc>
          <w:tcPr>
            <w:tcW w:w="1233" w:type="dxa"/>
            <w:vAlign w:val="center"/>
          </w:tcPr>
          <w:p w14:paraId="2D35E7A8" w14:textId="77777777" w:rsidR="00BA0745" w:rsidRDefault="00000000">
            <w:pPr>
              <w:jc w:val="center"/>
              <w:rPr>
                <w:sz w:val="22"/>
                <w:szCs w:val="22"/>
              </w:rPr>
            </w:pPr>
            <w:r>
              <w:rPr>
                <w:sz w:val="22"/>
                <w:szCs w:val="22"/>
              </w:rPr>
              <w:t>0.516</w:t>
            </w:r>
          </w:p>
        </w:tc>
        <w:tc>
          <w:tcPr>
            <w:tcW w:w="1270" w:type="dxa"/>
            <w:vAlign w:val="center"/>
          </w:tcPr>
          <w:p w14:paraId="0804E104" w14:textId="77777777" w:rsidR="00BA0745" w:rsidRDefault="00000000">
            <w:pPr>
              <w:jc w:val="center"/>
              <w:rPr>
                <w:sz w:val="22"/>
                <w:szCs w:val="22"/>
              </w:rPr>
            </w:pPr>
            <w:r>
              <w:rPr>
                <w:sz w:val="22"/>
                <w:szCs w:val="22"/>
              </w:rPr>
              <w:t>0.381</w:t>
            </w:r>
          </w:p>
        </w:tc>
        <w:tc>
          <w:tcPr>
            <w:tcW w:w="1831" w:type="dxa"/>
            <w:vAlign w:val="center"/>
          </w:tcPr>
          <w:p w14:paraId="3E3906C8" w14:textId="77777777" w:rsidR="00BA0745" w:rsidRDefault="00000000">
            <w:pPr>
              <w:jc w:val="center"/>
              <w:rPr>
                <w:sz w:val="22"/>
                <w:szCs w:val="22"/>
              </w:rPr>
            </w:pPr>
            <w:r>
              <w:rPr>
                <w:sz w:val="22"/>
                <w:szCs w:val="22"/>
              </w:rPr>
              <w:t>Cross-loading</w:t>
            </w:r>
          </w:p>
        </w:tc>
      </w:tr>
      <w:tr w:rsidR="00BA0745" w14:paraId="76CB1F98" w14:textId="77777777">
        <w:tc>
          <w:tcPr>
            <w:tcW w:w="2297" w:type="dxa"/>
            <w:vAlign w:val="center"/>
          </w:tcPr>
          <w:p w14:paraId="43F6AF55" w14:textId="77777777" w:rsidR="00BA0745" w:rsidRDefault="00000000">
            <w:pPr>
              <w:jc w:val="center"/>
              <w:rPr>
                <w:sz w:val="22"/>
                <w:szCs w:val="22"/>
              </w:rPr>
            </w:pPr>
            <w:r>
              <w:rPr>
                <w:sz w:val="22"/>
                <w:szCs w:val="22"/>
              </w:rPr>
              <w:t>Peak-time shortages</w:t>
            </w:r>
          </w:p>
        </w:tc>
        <w:tc>
          <w:tcPr>
            <w:tcW w:w="1591" w:type="dxa"/>
            <w:vAlign w:val="center"/>
          </w:tcPr>
          <w:p w14:paraId="69B134BB" w14:textId="77777777" w:rsidR="00BA0745" w:rsidRDefault="00000000">
            <w:pPr>
              <w:jc w:val="center"/>
              <w:rPr>
                <w:sz w:val="22"/>
                <w:szCs w:val="22"/>
              </w:rPr>
            </w:pPr>
            <w:r>
              <w:rPr>
                <w:sz w:val="22"/>
                <w:szCs w:val="22"/>
              </w:rPr>
              <w:t>Quantity</w:t>
            </w:r>
          </w:p>
        </w:tc>
        <w:tc>
          <w:tcPr>
            <w:tcW w:w="1138" w:type="dxa"/>
            <w:vAlign w:val="center"/>
          </w:tcPr>
          <w:p w14:paraId="4E40D681" w14:textId="77777777" w:rsidR="00BA0745" w:rsidRDefault="00000000">
            <w:pPr>
              <w:jc w:val="center"/>
              <w:rPr>
                <w:sz w:val="22"/>
                <w:szCs w:val="22"/>
              </w:rPr>
            </w:pPr>
            <w:r>
              <w:rPr>
                <w:sz w:val="22"/>
                <w:szCs w:val="22"/>
              </w:rPr>
              <w:t>F2</w:t>
            </w:r>
          </w:p>
        </w:tc>
        <w:tc>
          <w:tcPr>
            <w:tcW w:w="1233" w:type="dxa"/>
            <w:vAlign w:val="center"/>
          </w:tcPr>
          <w:p w14:paraId="2871F446" w14:textId="77777777" w:rsidR="00BA0745" w:rsidRDefault="00000000">
            <w:pPr>
              <w:jc w:val="center"/>
              <w:rPr>
                <w:sz w:val="22"/>
                <w:szCs w:val="22"/>
              </w:rPr>
            </w:pPr>
            <w:r>
              <w:rPr>
                <w:sz w:val="22"/>
                <w:szCs w:val="22"/>
              </w:rPr>
              <w:t>0.267</w:t>
            </w:r>
          </w:p>
        </w:tc>
        <w:tc>
          <w:tcPr>
            <w:tcW w:w="1270" w:type="dxa"/>
            <w:vAlign w:val="center"/>
          </w:tcPr>
          <w:p w14:paraId="36B4DA00" w14:textId="77777777" w:rsidR="00BA0745" w:rsidRDefault="00000000">
            <w:pPr>
              <w:jc w:val="center"/>
              <w:rPr>
                <w:sz w:val="22"/>
                <w:szCs w:val="22"/>
              </w:rPr>
            </w:pPr>
            <w:r>
              <w:rPr>
                <w:sz w:val="22"/>
                <w:szCs w:val="22"/>
              </w:rPr>
              <w:t>0.157</w:t>
            </w:r>
          </w:p>
        </w:tc>
        <w:tc>
          <w:tcPr>
            <w:tcW w:w="1831" w:type="dxa"/>
            <w:vAlign w:val="center"/>
          </w:tcPr>
          <w:p w14:paraId="531C1128" w14:textId="77777777" w:rsidR="00BA0745" w:rsidRDefault="00000000">
            <w:pPr>
              <w:jc w:val="center"/>
              <w:rPr>
                <w:sz w:val="22"/>
                <w:szCs w:val="22"/>
              </w:rPr>
            </w:pPr>
            <w:r>
              <w:rPr>
                <w:sz w:val="22"/>
                <w:szCs w:val="22"/>
              </w:rPr>
              <w:t>No salient loading</w:t>
            </w:r>
          </w:p>
        </w:tc>
      </w:tr>
      <w:tr w:rsidR="00BA0745" w14:paraId="452E5A49" w14:textId="77777777">
        <w:tc>
          <w:tcPr>
            <w:tcW w:w="2297" w:type="dxa"/>
            <w:vAlign w:val="center"/>
          </w:tcPr>
          <w:p w14:paraId="6987F1EB" w14:textId="77777777" w:rsidR="00BA0745" w:rsidRDefault="00000000">
            <w:pPr>
              <w:jc w:val="center"/>
              <w:rPr>
                <w:sz w:val="22"/>
                <w:szCs w:val="22"/>
              </w:rPr>
            </w:pPr>
            <w:r>
              <w:rPr>
                <w:sz w:val="22"/>
                <w:szCs w:val="22"/>
              </w:rPr>
              <w:t>Weekly water volume</w:t>
            </w:r>
          </w:p>
        </w:tc>
        <w:tc>
          <w:tcPr>
            <w:tcW w:w="1591" w:type="dxa"/>
            <w:vAlign w:val="center"/>
          </w:tcPr>
          <w:p w14:paraId="1F58AD33" w14:textId="77777777" w:rsidR="00BA0745" w:rsidRDefault="00000000">
            <w:pPr>
              <w:jc w:val="center"/>
              <w:rPr>
                <w:sz w:val="22"/>
                <w:szCs w:val="22"/>
              </w:rPr>
            </w:pPr>
            <w:r>
              <w:rPr>
                <w:sz w:val="22"/>
                <w:szCs w:val="22"/>
              </w:rPr>
              <w:t>Quantity</w:t>
            </w:r>
          </w:p>
        </w:tc>
        <w:tc>
          <w:tcPr>
            <w:tcW w:w="1138" w:type="dxa"/>
            <w:vAlign w:val="center"/>
          </w:tcPr>
          <w:p w14:paraId="27F9356D" w14:textId="77777777" w:rsidR="00BA0745" w:rsidRDefault="00000000">
            <w:pPr>
              <w:jc w:val="center"/>
              <w:rPr>
                <w:sz w:val="22"/>
                <w:szCs w:val="22"/>
              </w:rPr>
            </w:pPr>
            <w:r>
              <w:rPr>
                <w:sz w:val="22"/>
                <w:szCs w:val="22"/>
              </w:rPr>
              <w:t>F2</w:t>
            </w:r>
          </w:p>
        </w:tc>
        <w:tc>
          <w:tcPr>
            <w:tcW w:w="1233" w:type="dxa"/>
            <w:vAlign w:val="center"/>
          </w:tcPr>
          <w:p w14:paraId="1E835D68" w14:textId="77777777" w:rsidR="00BA0745" w:rsidRDefault="00000000">
            <w:pPr>
              <w:jc w:val="center"/>
              <w:rPr>
                <w:sz w:val="22"/>
                <w:szCs w:val="22"/>
              </w:rPr>
            </w:pPr>
            <w:sdt>
              <w:sdtPr>
                <w:tag w:val="goog_rdk_2"/>
                <w:id w:val="734887499"/>
              </w:sdtPr>
              <w:sdtContent>
                <w:r>
                  <w:rPr>
                    <w:rFonts w:ascii="Gungsuh" w:eastAsia="Gungsuh" w:hAnsi="Gungsuh" w:cs="Gungsuh"/>
                    <w:sz w:val="22"/>
                    <w:szCs w:val="22"/>
                  </w:rPr>
                  <w:t>−0.247</w:t>
                </w:r>
              </w:sdtContent>
            </w:sdt>
          </w:p>
        </w:tc>
        <w:tc>
          <w:tcPr>
            <w:tcW w:w="1270" w:type="dxa"/>
            <w:vAlign w:val="center"/>
          </w:tcPr>
          <w:p w14:paraId="30A32B36" w14:textId="77777777" w:rsidR="00BA0745" w:rsidRDefault="00000000">
            <w:pPr>
              <w:jc w:val="center"/>
              <w:rPr>
                <w:sz w:val="22"/>
                <w:szCs w:val="22"/>
              </w:rPr>
            </w:pPr>
            <w:r>
              <w:rPr>
                <w:sz w:val="22"/>
                <w:szCs w:val="22"/>
              </w:rPr>
              <w:t>0.084</w:t>
            </w:r>
          </w:p>
        </w:tc>
        <w:tc>
          <w:tcPr>
            <w:tcW w:w="1831" w:type="dxa"/>
            <w:vAlign w:val="center"/>
          </w:tcPr>
          <w:p w14:paraId="7EBD7494" w14:textId="77777777" w:rsidR="00BA0745" w:rsidRDefault="00000000">
            <w:pPr>
              <w:jc w:val="center"/>
              <w:rPr>
                <w:sz w:val="22"/>
                <w:szCs w:val="22"/>
              </w:rPr>
            </w:pPr>
            <w:r>
              <w:rPr>
                <w:sz w:val="22"/>
                <w:szCs w:val="22"/>
              </w:rPr>
              <w:t>No salient loading</w:t>
            </w:r>
          </w:p>
        </w:tc>
      </w:tr>
      <w:tr w:rsidR="00BA0745" w14:paraId="11D46938" w14:textId="77777777">
        <w:tc>
          <w:tcPr>
            <w:tcW w:w="2297" w:type="dxa"/>
            <w:vAlign w:val="center"/>
          </w:tcPr>
          <w:p w14:paraId="1E4A7A6A" w14:textId="77777777" w:rsidR="00BA0745" w:rsidRDefault="00000000">
            <w:pPr>
              <w:jc w:val="center"/>
              <w:rPr>
                <w:sz w:val="22"/>
                <w:szCs w:val="22"/>
              </w:rPr>
            </w:pPr>
            <w:r>
              <w:rPr>
                <w:sz w:val="22"/>
                <w:szCs w:val="22"/>
              </w:rPr>
              <w:t>Quality change over time</w:t>
            </w:r>
          </w:p>
        </w:tc>
        <w:tc>
          <w:tcPr>
            <w:tcW w:w="1591" w:type="dxa"/>
            <w:vAlign w:val="center"/>
          </w:tcPr>
          <w:p w14:paraId="2A46EA75" w14:textId="77777777" w:rsidR="00BA0745" w:rsidRDefault="00000000">
            <w:pPr>
              <w:jc w:val="center"/>
              <w:rPr>
                <w:sz w:val="22"/>
                <w:szCs w:val="22"/>
              </w:rPr>
            </w:pPr>
            <w:r>
              <w:rPr>
                <w:sz w:val="22"/>
                <w:szCs w:val="22"/>
              </w:rPr>
              <w:t>Quality</w:t>
            </w:r>
          </w:p>
        </w:tc>
        <w:tc>
          <w:tcPr>
            <w:tcW w:w="1138" w:type="dxa"/>
            <w:vAlign w:val="center"/>
          </w:tcPr>
          <w:p w14:paraId="7D9D5BF3" w14:textId="77777777" w:rsidR="00BA0745" w:rsidRDefault="00000000">
            <w:pPr>
              <w:jc w:val="center"/>
              <w:rPr>
                <w:sz w:val="22"/>
                <w:szCs w:val="22"/>
              </w:rPr>
            </w:pPr>
            <w:r>
              <w:rPr>
                <w:sz w:val="22"/>
                <w:szCs w:val="22"/>
              </w:rPr>
              <w:t>F2</w:t>
            </w:r>
          </w:p>
        </w:tc>
        <w:tc>
          <w:tcPr>
            <w:tcW w:w="1233" w:type="dxa"/>
            <w:vAlign w:val="center"/>
          </w:tcPr>
          <w:p w14:paraId="18DD6421" w14:textId="77777777" w:rsidR="00BA0745" w:rsidRDefault="00000000">
            <w:pPr>
              <w:jc w:val="center"/>
              <w:rPr>
                <w:sz w:val="22"/>
                <w:szCs w:val="22"/>
              </w:rPr>
            </w:pPr>
            <w:r>
              <w:rPr>
                <w:sz w:val="22"/>
                <w:szCs w:val="22"/>
              </w:rPr>
              <w:t>0.246</w:t>
            </w:r>
          </w:p>
        </w:tc>
        <w:tc>
          <w:tcPr>
            <w:tcW w:w="1270" w:type="dxa"/>
            <w:vAlign w:val="center"/>
          </w:tcPr>
          <w:p w14:paraId="0056FA38" w14:textId="77777777" w:rsidR="00BA0745" w:rsidRDefault="00000000">
            <w:pPr>
              <w:jc w:val="center"/>
              <w:rPr>
                <w:sz w:val="22"/>
                <w:szCs w:val="22"/>
              </w:rPr>
            </w:pPr>
            <w:r>
              <w:rPr>
                <w:sz w:val="22"/>
                <w:szCs w:val="22"/>
              </w:rPr>
              <w:t>0.117</w:t>
            </w:r>
          </w:p>
        </w:tc>
        <w:tc>
          <w:tcPr>
            <w:tcW w:w="1831" w:type="dxa"/>
            <w:vAlign w:val="center"/>
          </w:tcPr>
          <w:p w14:paraId="23C9DA9C" w14:textId="77777777" w:rsidR="00BA0745" w:rsidRDefault="00000000">
            <w:pPr>
              <w:jc w:val="center"/>
              <w:rPr>
                <w:sz w:val="22"/>
                <w:szCs w:val="22"/>
              </w:rPr>
            </w:pPr>
            <w:r>
              <w:rPr>
                <w:sz w:val="22"/>
                <w:szCs w:val="22"/>
              </w:rPr>
              <w:t>No salient loading</w:t>
            </w:r>
          </w:p>
        </w:tc>
      </w:tr>
      <w:tr w:rsidR="00BA0745" w14:paraId="0337E632" w14:textId="77777777">
        <w:tc>
          <w:tcPr>
            <w:tcW w:w="2297" w:type="dxa"/>
            <w:vAlign w:val="center"/>
          </w:tcPr>
          <w:p w14:paraId="1CD54357" w14:textId="77777777" w:rsidR="00BA0745" w:rsidRDefault="00000000">
            <w:pPr>
              <w:jc w:val="center"/>
              <w:rPr>
                <w:sz w:val="22"/>
                <w:szCs w:val="22"/>
              </w:rPr>
            </w:pPr>
            <w:r>
              <w:rPr>
                <w:sz w:val="22"/>
                <w:szCs w:val="22"/>
              </w:rPr>
              <w:t>Quantity sufficiency</w:t>
            </w:r>
          </w:p>
        </w:tc>
        <w:tc>
          <w:tcPr>
            <w:tcW w:w="1591" w:type="dxa"/>
            <w:vAlign w:val="center"/>
          </w:tcPr>
          <w:p w14:paraId="3C852AB6" w14:textId="77777777" w:rsidR="00BA0745" w:rsidRDefault="00000000">
            <w:pPr>
              <w:jc w:val="center"/>
              <w:rPr>
                <w:sz w:val="22"/>
                <w:szCs w:val="22"/>
              </w:rPr>
            </w:pPr>
            <w:r>
              <w:rPr>
                <w:sz w:val="22"/>
                <w:szCs w:val="22"/>
              </w:rPr>
              <w:t>Quantity</w:t>
            </w:r>
          </w:p>
        </w:tc>
        <w:tc>
          <w:tcPr>
            <w:tcW w:w="1138" w:type="dxa"/>
            <w:vAlign w:val="center"/>
          </w:tcPr>
          <w:p w14:paraId="5BC4543E" w14:textId="77777777" w:rsidR="00BA0745" w:rsidRDefault="00000000">
            <w:pPr>
              <w:jc w:val="center"/>
              <w:rPr>
                <w:sz w:val="22"/>
                <w:szCs w:val="22"/>
              </w:rPr>
            </w:pPr>
            <w:r>
              <w:rPr>
                <w:sz w:val="22"/>
                <w:szCs w:val="22"/>
              </w:rPr>
              <w:t>F2</w:t>
            </w:r>
          </w:p>
        </w:tc>
        <w:tc>
          <w:tcPr>
            <w:tcW w:w="1233" w:type="dxa"/>
            <w:vAlign w:val="center"/>
          </w:tcPr>
          <w:p w14:paraId="15E0BD58" w14:textId="77777777" w:rsidR="00BA0745" w:rsidRDefault="00000000">
            <w:pPr>
              <w:jc w:val="center"/>
              <w:rPr>
                <w:sz w:val="22"/>
                <w:szCs w:val="22"/>
              </w:rPr>
            </w:pPr>
            <w:r>
              <w:rPr>
                <w:sz w:val="22"/>
                <w:szCs w:val="22"/>
              </w:rPr>
              <w:t>0.244</w:t>
            </w:r>
          </w:p>
        </w:tc>
        <w:tc>
          <w:tcPr>
            <w:tcW w:w="1270" w:type="dxa"/>
            <w:vAlign w:val="center"/>
          </w:tcPr>
          <w:p w14:paraId="69CCA53E" w14:textId="77777777" w:rsidR="00BA0745" w:rsidRDefault="00000000">
            <w:pPr>
              <w:jc w:val="center"/>
              <w:rPr>
                <w:sz w:val="22"/>
                <w:szCs w:val="22"/>
              </w:rPr>
            </w:pPr>
            <w:r>
              <w:rPr>
                <w:sz w:val="22"/>
                <w:szCs w:val="22"/>
              </w:rPr>
              <w:t>0.144</w:t>
            </w:r>
          </w:p>
        </w:tc>
        <w:tc>
          <w:tcPr>
            <w:tcW w:w="1831" w:type="dxa"/>
            <w:vAlign w:val="center"/>
          </w:tcPr>
          <w:p w14:paraId="6AEC3847" w14:textId="77777777" w:rsidR="00BA0745" w:rsidRDefault="00000000">
            <w:pPr>
              <w:jc w:val="center"/>
              <w:rPr>
                <w:sz w:val="22"/>
                <w:szCs w:val="22"/>
              </w:rPr>
            </w:pPr>
            <w:r>
              <w:rPr>
                <w:sz w:val="22"/>
                <w:szCs w:val="22"/>
              </w:rPr>
              <w:t>No salient loading</w:t>
            </w:r>
          </w:p>
        </w:tc>
      </w:tr>
      <w:tr w:rsidR="00BA0745" w14:paraId="5ADC400E" w14:textId="77777777">
        <w:tc>
          <w:tcPr>
            <w:tcW w:w="2297" w:type="dxa"/>
            <w:vAlign w:val="center"/>
          </w:tcPr>
          <w:p w14:paraId="1286BCF2" w14:textId="77777777" w:rsidR="00BA0745" w:rsidRDefault="00000000">
            <w:pPr>
              <w:jc w:val="center"/>
              <w:rPr>
                <w:sz w:val="22"/>
                <w:szCs w:val="22"/>
              </w:rPr>
            </w:pPr>
            <w:r>
              <w:rPr>
                <w:sz w:val="22"/>
                <w:szCs w:val="22"/>
              </w:rPr>
              <w:t>Supply reliability</w:t>
            </w:r>
          </w:p>
        </w:tc>
        <w:tc>
          <w:tcPr>
            <w:tcW w:w="1591" w:type="dxa"/>
            <w:vAlign w:val="center"/>
          </w:tcPr>
          <w:p w14:paraId="560B4CE8" w14:textId="77777777" w:rsidR="00BA0745" w:rsidRDefault="00000000">
            <w:pPr>
              <w:jc w:val="center"/>
              <w:rPr>
                <w:sz w:val="22"/>
                <w:szCs w:val="22"/>
              </w:rPr>
            </w:pPr>
            <w:r>
              <w:rPr>
                <w:sz w:val="22"/>
                <w:szCs w:val="22"/>
              </w:rPr>
              <w:t>Reliability</w:t>
            </w:r>
          </w:p>
        </w:tc>
        <w:tc>
          <w:tcPr>
            <w:tcW w:w="1138" w:type="dxa"/>
            <w:vAlign w:val="center"/>
          </w:tcPr>
          <w:p w14:paraId="0A924B95" w14:textId="77777777" w:rsidR="00BA0745" w:rsidRDefault="00000000">
            <w:pPr>
              <w:jc w:val="center"/>
              <w:rPr>
                <w:sz w:val="22"/>
                <w:szCs w:val="22"/>
              </w:rPr>
            </w:pPr>
            <w:r>
              <w:rPr>
                <w:sz w:val="22"/>
                <w:szCs w:val="22"/>
              </w:rPr>
              <w:t>F3</w:t>
            </w:r>
          </w:p>
        </w:tc>
        <w:tc>
          <w:tcPr>
            <w:tcW w:w="1233" w:type="dxa"/>
            <w:vAlign w:val="center"/>
          </w:tcPr>
          <w:p w14:paraId="296A4ACD" w14:textId="77777777" w:rsidR="00BA0745" w:rsidRDefault="00000000">
            <w:pPr>
              <w:jc w:val="center"/>
              <w:rPr>
                <w:sz w:val="22"/>
                <w:szCs w:val="22"/>
              </w:rPr>
            </w:pPr>
            <w:r>
              <w:rPr>
                <w:sz w:val="22"/>
                <w:szCs w:val="22"/>
              </w:rPr>
              <w:t>0.494</w:t>
            </w:r>
          </w:p>
        </w:tc>
        <w:tc>
          <w:tcPr>
            <w:tcW w:w="1270" w:type="dxa"/>
            <w:vAlign w:val="center"/>
          </w:tcPr>
          <w:p w14:paraId="6DC472BC" w14:textId="77777777" w:rsidR="00BA0745" w:rsidRDefault="00000000">
            <w:pPr>
              <w:jc w:val="center"/>
              <w:rPr>
                <w:sz w:val="22"/>
                <w:szCs w:val="22"/>
              </w:rPr>
            </w:pPr>
            <w:r>
              <w:rPr>
                <w:sz w:val="22"/>
                <w:szCs w:val="22"/>
              </w:rPr>
              <w:t>0.288</w:t>
            </w:r>
          </w:p>
        </w:tc>
        <w:tc>
          <w:tcPr>
            <w:tcW w:w="1831" w:type="dxa"/>
            <w:vAlign w:val="center"/>
          </w:tcPr>
          <w:p w14:paraId="24729574" w14:textId="77777777" w:rsidR="00BA0745" w:rsidRDefault="00000000">
            <w:pPr>
              <w:jc w:val="center"/>
              <w:rPr>
                <w:sz w:val="22"/>
                <w:szCs w:val="22"/>
              </w:rPr>
            </w:pPr>
            <w:r>
              <w:rPr>
                <w:sz w:val="22"/>
                <w:szCs w:val="22"/>
              </w:rPr>
              <w:t>Salient primary loading</w:t>
            </w:r>
          </w:p>
        </w:tc>
      </w:tr>
      <w:tr w:rsidR="00BA0745" w14:paraId="519286AD" w14:textId="77777777">
        <w:tc>
          <w:tcPr>
            <w:tcW w:w="2297" w:type="dxa"/>
            <w:vAlign w:val="center"/>
          </w:tcPr>
          <w:p w14:paraId="4E924CC6" w14:textId="77777777" w:rsidR="00BA0745" w:rsidRDefault="00000000">
            <w:pPr>
              <w:jc w:val="center"/>
              <w:rPr>
                <w:sz w:val="22"/>
                <w:szCs w:val="22"/>
              </w:rPr>
            </w:pPr>
            <w:r>
              <w:rPr>
                <w:sz w:val="22"/>
                <w:szCs w:val="22"/>
              </w:rPr>
              <w:t>System efficiency</w:t>
            </w:r>
          </w:p>
        </w:tc>
        <w:tc>
          <w:tcPr>
            <w:tcW w:w="1591" w:type="dxa"/>
            <w:vAlign w:val="center"/>
          </w:tcPr>
          <w:p w14:paraId="5D983327" w14:textId="77777777" w:rsidR="00BA0745" w:rsidRDefault="00000000">
            <w:pPr>
              <w:jc w:val="center"/>
              <w:rPr>
                <w:sz w:val="22"/>
                <w:szCs w:val="22"/>
              </w:rPr>
            </w:pPr>
            <w:r>
              <w:rPr>
                <w:sz w:val="22"/>
                <w:szCs w:val="22"/>
              </w:rPr>
              <w:t>Efficiency</w:t>
            </w:r>
          </w:p>
        </w:tc>
        <w:tc>
          <w:tcPr>
            <w:tcW w:w="1138" w:type="dxa"/>
            <w:vAlign w:val="center"/>
          </w:tcPr>
          <w:p w14:paraId="32EF363C" w14:textId="77777777" w:rsidR="00BA0745" w:rsidRDefault="00000000">
            <w:pPr>
              <w:jc w:val="center"/>
              <w:rPr>
                <w:sz w:val="22"/>
                <w:szCs w:val="22"/>
              </w:rPr>
            </w:pPr>
            <w:r>
              <w:rPr>
                <w:sz w:val="22"/>
                <w:szCs w:val="22"/>
              </w:rPr>
              <w:t>F3</w:t>
            </w:r>
          </w:p>
        </w:tc>
        <w:tc>
          <w:tcPr>
            <w:tcW w:w="1233" w:type="dxa"/>
            <w:vAlign w:val="center"/>
          </w:tcPr>
          <w:p w14:paraId="1E007830" w14:textId="77777777" w:rsidR="00BA0745" w:rsidRDefault="00000000">
            <w:pPr>
              <w:jc w:val="center"/>
              <w:rPr>
                <w:sz w:val="22"/>
                <w:szCs w:val="22"/>
              </w:rPr>
            </w:pPr>
            <w:r>
              <w:rPr>
                <w:sz w:val="22"/>
                <w:szCs w:val="22"/>
              </w:rPr>
              <w:t>0.484</w:t>
            </w:r>
          </w:p>
        </w:tc>
        <w:tc>
          <w:tcPr>
            <w:tcW w:w="1270" w:type="dxa"/>
            <w:vAlign w:val="center"/>
          </w:tcPr>
          <w:p w14:paraId="130F7B7E" w14:textId="77777777" w:rsidR="00BA0745" w:rsidRDefault="00000000">
            <w:pPr>
              <w:jc w:val="center"/>
              <w:rPr>
                <w:sz w:val="22"/>
                <w:szCs w:val="22"/>
              </w:rPr>
            </w:pPr>
            <w:r>
              <w:rPr>
                <w:sz w:val="22"/>
                <w:szCs w:val="22"/>
              </w:rPr>
              <w:t>0.273</w:t>
            </w:r>
          </w:p>
        </w:tc>
        <w:tc>
          <w:tcPr>
            <w:tcW w:w="1831" w:type="dxa"/>
            <w:vAlign w:val="center"/>
          </w:tcPr>
          <w:p w14:paraId="54015123" w14:textId="77777777" w:rsidR="00BA0745" w:rsidRDefault="00000000">
            <w:pPr>
              <w:jc w:val="center"/>
              <w:rPr>
                <w:sz w:val="22"/>
                <w:szCs w:val="22"/>
              </w:rPr>
            </w:pPr>
            <w:r>
              <w:rPr>
                <w:sz w:val="22"/>
                <w:szCs w:val="22"/>
              </w:rPr>
              <w:t>Salient primary loading</w:t>
            </w:r>
          </w:p>
        </w:tc>
      </w:tr>
      <w:tr w:rsidR="00BA0745" w14:paraId="3063661B" w14:textId="77777777">
        <w:tc>
          <w:tcPr>
            <w:tcW w:w="2297" w:type="dxa"/>
            <w:vAlign w:val="center"/>
          </w:tcPr>
          <w:p w14:paraId="7D458851" w14:textId="77777777" w:rsidR="00BA0745" w:rsidRDefault="00000000">
            <w:pPr>
              <w:jc w:val="center"/>
              <w:rPr>
                <w:sz w:val="22"/>
                <w:szCs w:val="22"/>
              </w:rPr>
            </w:pPr>
            <w:r>
              <w:rPr>
                <w:sz w:val="22"/>
                <w:szCs w:val="22"/>
              </w:rPr>
              <w:t>Primary-supply accessibility</w:t>
            </w:r>
          </w:p>
        </w:tc>
        <w:tc>
          <w:tcPr>
            <w:tcW w:w="1591" w:type="dxa"/>
            <w:vAlign w:val="center"/>
          </w:tcPr>
          <w:p w14:paraId="6F8B73B9" w14:textId="77777777" w:rsidR="00BA0745" w:rsidRDefault="00000000">
            <w:pPr>
              <w:jc w:val="center"/>
              <w:rPr>
                <w:sz w:val="22"/>
                <w:szCs w:val="22"/>
              </w:rPr>
            </w:pPr>
            <w:r>
              <w:rPr>
                <w:sz w:val="22"/>
                <w:szCs w:val="22"/>
              </w:rPr>
              <w:t>Access</w:t>
            </w:r>
          </w:p>
        </w:tc>
        <w:tc>
          <w:tcPr>
            <w:tcW w:w="1138" w:type="dxa"/>
            <w:vAlign w:val="center"/>
          </w:tcPr>
          <w:p w14:paraId="53E37A6A" w14:textId="77777777" w:rsidR="00BA0745" w:rsidRDefault="00000000">
            <w:pPr>
              <w:jc w:val="center"/>
              <w:rPr>
                <w:sz w:val="22"/>
                <w:szCs w:val="22"/>
              </w:rPr>
            </w:pPr>
            <w:r>
              <w:rPr>
                <w:sz w:val="22"/>
                <w:szCs w:val="22"/>
              </w:rPr>
              <w:t>F3</w:t>
            </w:r>
          </w:p>
        </w:tc>
        <w:tc>
          <w:tcPr>
            <w:tcW w:w="1233" w:type="dxa"/>
            <w:vAlign w:val="center"/>
          </w:tcPr>
          <w:p w14:paraId="58DC183C" w14:textId="77777777" w:rsidR="00BA0745" w:rsidRDefault="00000000">
            <w:pPr>
              <w:jc w:val="center"/>
              <w:rPr>
                <w:sz w:val="22"/>
                <w:szCs w:val="22"/>
              </w:rPr>
            </w:pPr>
            <w:r>
              <w:rPr>
                <w:sz w:val="22"/>
                <w:szCs w:val="22"/>
              </w:rPr>
              <w:t>0.434</w:t>
            </w:r>
          </w:p>
        </w:tc>
        <w:tc>
          <w:tcPr>
            <w:tcW w:w="1270" w:type="dxa"/>
            <w:vAlign w:val="center"/>
          </w:tcPr>
          <w:p w14:paraId="0E9AACF0" w14:textId="77777777" w:rsidR="00BA0745" w:rsidRDefault="00000000">
            <w:pPr>
              <w:jc w:val="center"/>
              <w:rPr>
                <w:sz w:val="22"/>
                <w:szCs w:val="22"/>
              </w:rPr>
            </w:pPr>
            <w:r>
              <w:rPr>
                <w:sz w:val="22"/>
                <w:szCs w:val="22"/>
              </w:rPr>
              <w:t>0.227</w:t>
            </w:r>
          </w:p>
        </w:tc>
        <w:tc>
          <w:tcPr>
            <w:tcW w:w="1831" w:type="dxa"/>
            <w:vAlign w:val="center"/>
          </w:tcPr>
          <w:p w14:paraId="5EE91F52" w14:textId="77777777" w:rsidR="00BA0745" w:rsidRDefault="00000000">
            <w:pPr>
              <w:jc w:val="center"/>
              <w:rPr>
                <w:sz w:val="22"/>
                <w:szCs w:val="22"/>
              </w:rPr>
            </w:pPr>
            <w:r>
              <w:rPr>
                <w:sz w:val="22"/>
                <w:szCs w:val="22"/>
              </w:rPr>
              <w:t>Salient primary loading</w:t>
            </w:r>
          </w:p>
        </w:tc>
      </w:tr>
      <w:tr w:rsidR="00BA0745" w14:paraId="0AD58D28" w14:textId="77777777">
        <w:tc>
          <w:tcPr>
            <w:tcW w:w="2297" w:type="dxa"/>
            <w:vAlign w:val="center"/>
          </w:tcPr>
          <w:p w14:paraId="7050E110" w14:textId="77777777" w:rsidR="00BA0745" w:rsidRDefault="00000000">
            <w:pPr>
              <w:jc w:val="center"/>
              <w:rPr>
                <w:sz w:val="22"/>
                <w:szCs w:val="22"/>
              </w:rPr>
            </w:pPr>
            <w:r>
              <w:rPr>
                <w:sz w:val="22"/>
                <w:szCs w:val="22"/>
              </w:rPr>
              <w:t>Perceived water quality</w:t>
            </w:r>
          </w:p>
        </w:tc>
        <w:tc>
          <w:tcPr>
            <w:tcW w:w="1591" w:type="dxa"/>
            <w:vAlign w:val="center"/>
          </w:tcPr>
          <w:p w14:paraId="69D7190C" w14:textId="77777777" w:rsidR="00BA0745" w:rsidRDefault="00000000">
            <w:pPr>
              <w:jc w:val="center"/>
              <w:rPr>
                <w:sz w:val="22"/>
                <w:szCs w:val="22"/>
              </w:rPr>
            </w:pPr>
            <w:r>
              <w:rPr>
                <w:sz w:val="22"/>
                <w:szCs w:val="22"/>
              </w:rPr>
              <w:t>Quality</w:t>
            </w:r>
          </w:p>
        </w:tc>
        <w:tc>
          <w:tcPr>
            <w:tcW w:w="1138" w:type="dxa"/>
            <w:vAlign w:val="center"/>
          </w:tcPr>
          <w:p w14:paraId="7BE8D352" w14:textId="77777777" w:rsidR="00BA0745" w:rsidRDefault="00000000">
            <w:pPr>
              <w:jc w:val="center"/>
              <w:rPr>
                <w:sz w:val="22"/>
                <w:szCs w:val="22"/>
              </w:rPr>
            </w:pPr>
            <w:r>
              <w:rPr>
                <w:sz w:val="22"/>
                <w:szCs w:val="22"/>
              </w:rPr>
              <w:t>F3</w:t>
            </w:r>
          </w:p>
        </w:tc>
        <w:tc>
          <w:tcPr>
            <w:tcW w:w="1233" w:type="dxa"/>
            <w:vAlign w:val="center"/>
          </w:tcPr>
          <w:p w14:paraId="2DFFFB8F" w14:textId="77777777" w:rsidR="00BA0745" w:rsidRDefault="00000000">
            <w:pPr>
              <w:jc w:val="center"/>
              <w:rPr>
                <w:sz w:val="22"/>
                <w:szCs w:val="22"/>
              </w:rPr>
            </w:pPr>
            <w:r>
              <w:rPr>
                <w:sz w:val="22"/>
                <w:szCs w:val="22"/>
              </w:rPr>
              <w:t>0.430</w:t>
            </w:r>
          </w:p>
        </w:tc>
        <w:tc>
          <w:tcPr>
            <w:tcW w:w="1270" w:type="dxa"/>
            <w:vAlign w:val="center"/>
          </w:tcPr>
          <w:p w14:paraId="50625FB6" w14:textId="77777777" w:rsidR="00BA0745" w:rsidRDefault="00000000">
            <w:pPr>
              <w:jc w:val="center"/>
              <w:rPr>
                <w:sz w:val="22"/>
                <w:szCs w:val="22"/>
              </w:rPr>
            </w:pPr>
            <w:r>
              <w:rPr>
                <w:sz w:val="22"/>
                <w:szCs w:val="22"/>
              </w:rPr>
              <w:t>0.321</w:t>
            </w:r>
          </w:p>
        </w:tc>
        <w:tc>
          <w:tcPr>
            <w:tcW w:w="1831" w:type="dxa"/>
            <w:vAlign w:val="center"/>
          </w:tcPr>
          <w:p w14:paraId="68FE9CE3" w14:textId="77777777" w:rsidR="00BA0745" w:rsidRDefault="00000000">
            <w:pPr>
              <w:jc w:val="center"/>
              <w:rPr>
                <w:sz w:val="22"/>
                <w:szCs w:val="22"/>
              </w:rPr>
            </w:pPr>
            <w:r>
              <w:rPr>
                <w:sz w:val="22"/>
                <w:szCs w:val="22"/>
              </w:rPr>
              <w:t>Salient primary loading</w:t>
            </w:r>
          </w:p>
        </w:tc>
      </w:tr>
      <w:tr w:rsidR="00BA0745" w14:paraId="6C7642E1" w14:textId="77777777">
        <w:tc>
          <w:tcPr>
            <w:tcW w:w="2297" w:type="dxa"/>
            <w:vAlign w:val="center"/>
          </w:tcPr>
          <w:p w14:paraId="3D94DF18" w14:textId="77777777" w:rsidR="00BA0745" w:rsidRDefault="00000000">
            <w:pPr>
              <w:jc w:val="center"/>
              <w:rPr>
                <w:sz w:val="22"/>
                <w:szCs w:val="22"/>
              </w:rPr>
            </w:pPr>
            <w:r>
              <w:rPr>
                <w:sz w:val="22"/>
                <w:szCs w:val="22"/>
              </w:rPr>
              <w:t>Overall service acceptability</w:t>
            </w:r>
          </w:p>
        </w:tc>
        <w:tc>
          <w:tcPr>
            <w:tcW w:w="1591" w:type="dxa"/>
            <w:vAlign w:val="center"/>
          </w:tcPr>
          <w:p w14:paraId="133F71F7" w14:textId="77777777" w:rsidR="00BA0745" w:rsidRDefault="00000000">
            <w:pPr>
              <w:jc w:val="center"/>
              <w:rPr>
                <w:sz w:val="22"/>
                <w:szCs w:val="22"/>
              </w:rPr>
            </w:pPr>
            <w:r>
              <w:rPr>
                <w:sz w:val="22"/>
                <w:szCs w:val="22"/>
              </w:rPr>
              <w:t>Acceptability</w:t>
            </w:r>
          </w:p>
        </w:tc>
        <w:tc>
          <w:tcPr>
            <w:tcW w:w="1138" w:type="dxa"/>
            <w:vAlign w:val="center"/>
          </w:tcPr>
          <w:p w14:paraId="0403C6D5" w14:textId="77777777" w:rsidR="00BA0745" w:rsidRDefault="00000000">
            <w:pPr>
              <w:jc w:val="center"/>
              <w:rPr>
                <w:sz w:val="22"/>
                <w:szCs w:val="22"/>
              </w:rPr>
            </w:pPr>
            <w:r>
              <w:rPr>
                <w:sz w:val="22"/>
                <w:szCs w:val="22"/>
              </w:rPr>
              <w:t>F3</w:t>
            </w:r>
          </w:p>
        </w:tc>
        <w:tc>
          <w:tcPr>
            <w:tcW w:w="1233" w:type="dxa"/>
            <w:vAlign w:val="center"/>
          </w:tcPr>
          <w:p w14:paraId="1FEF9267" w14:textId="77777777" w:rsidR="00BA0745" w:rsidRDefault="00000000">
            <w:pPr>
              <w:jc w:val="center"/>
              <w:rPr>
                <w:sz w:val="22"/>
                <w:szCs w:val="22"/>
              </w:rPr>
            </w:pPr>
            <w:r>
              <w:rPr>
                <w:sz w:val="22"/>
                <w:szCs w:val="22"/>
              </w:rPr>
              <w:t>0.342</w:t>
            </w:r>
          </w:p>
        </w:tc>
        <w:tc>
          <w:tcPr>
            <w:tcW w:w="1270" w:type="dxa"/>
            <w:vAlign w:val="center"/>
          </w:tcPr>
          <w:p w14:paraId="44D035A9" w14:textId="77777777" w:rsidR="00BA0745" w:rsidRDefault="00000000">
            <w:pPr>
              <w:jc w:val="center"/>
              <w:rPr>
                <w:sz w:val="22"/>
                <w:szCs w:val="22"/>
              </w:rPr>
            </w:pPr>
            <w:r>
              <w:rPr>
                <w:sz w:val="22"/>
                <w:szCs w:val="22"/>
              </w:rPr>
              <w:t>0.171</w:t>
            </w:r>
          </w:p>
        </w:tc>
        <w:tc>
          <w:tcPr>
            <w:tcW w:w="1831" w:type="dxa"/>
            <w:vAlign w:val="center"/>
          </w:tcPr>
          <w:p w14:paraId="02A76FBC" w14:textId="77777777" w:rsidR="00BA0745" w:rsidRDefault="00000000">
            <w:pPr>
              <w:jc w:val="center"/>
              <w:rPr>
                <w:sz w:val="22"/>
                <w:szCs w:val="22"/>
              </w:rPr>
            </w:pPr>
            <w:r>
              <w:rPr>
                <w:sz w:val="22"/>
                <w:szCs w:val="22"/>
              </w:rPr>
              <w:t>Salient primary loading</w:t>
            </w:r>
          </w:p>
        </w:tc>
      </w:tr>
      <w:tr w:rsidR="00BA0745" w14:paraId="2F19E865" w14:textId="77777777">
        <w:tc>
          <w:tcPr>
            <w:tcW w:w="2297" w:type="dxa"/>
            <w:vAlign w:val="center"/>
          </w:tcPr>
          <w:p w14:paraId="0FF0ABCD" w14:textId="77777777" w:rsidR="00BA0745" w:rsidRDefault="00000000">
            <w:pPr>
              <w:jc w:val="center"/>
              <w:rPr>
                <w:sz w:val="22"/>
                <w:szCs w:val="22"/>
              </w:rPr>
            </w:pPr>
            <w:r>
              <w:rPr>
                <w:sz w:val="22"/>
                <w:szCs w:val="22"/>
              </w:rPr>
              <w:t>Affordability</w:t>
            </w:r>
          </w:p>
        </w:tc>
        <w:tc>
          <w:tcPr>
            <w:tcW w:w="1591" w:type="dxa"/>
            <w:vAlign w:val="center"/>
          </w:tcPr>
          <w:p w14:paraId="1EFB9DD5" w14:textId="77777777" w:rsidR="00BA0745" w:rsidRDefault="00000000">
            <w:pPr>
              <w:jc w:val="center"/>
              <w:rPr>
                <w:sz w:val="22"/>
                <w:szCs w:val="22"/>
              </w:rPr>
            </w:pPr>
            <w:r>
              <w:rPr>
                <w:sz w:val="22"/>
                <w:szCs w:val="22"/>
              </w:rPr>
              <w:t>Affordability</w:t>
            </w:r>
          </w:p>
        </w:tc>
        <w:tc>
          <w:tcPr>
            <w:tcW w:w="1138" w:type="dxa"/>
            <w:vAlign w:val="center"/>
          </w:tcPr>
          <w:p w14:paraId="35E2BD5C" w14:textId="77777777" w:rsidR="00BA0745" w:rsidRDefault="00000000">
            <w:pPr>
              <w:jc w:val="center"/>
              <w:rPr>
                <w:sz w:val="22"/>
                <w:szCs w:val="22"/>
              </w:rPr>
            </w:pPr>
            <w:r>
              <w:rPr>
                <w:sz w:val="22"/>
                <w:szCs w:val="22"/>
              </w:rPr>
              <w:t>F3</w:t>
            </w:r>
          </w:p>
        </w:tc>
        <w:tc>
          <w:tcPr>
            <w:tcW w:w="1233" w:type="dxa"/>
            <w:vAlign w:val="center"/>
          </w:tcPr>
          <w:p w14:paraId="5687491D" w14:textId="77777777" w:rsidR="00BA0745" w:rsidRDefault="00000000">
            <w:pPr>
              <w:jc w:val="center"/>
              <w:rPr>
                <w:sz w:val="22"/>
                <w:szCs w:val="22"/>
              </w:rPr>
            </w:pPr>
            <w:r>
              <w:rPr>
                <w:sz w:val="22"/>
                <w:szCs w:val="22"/>
              </w:rPr>
              <w:t>0.277</w:t>
            </w:r>
          </w:p>
        </w:tc>
        <w:tc>
          <w:tcPr>
            <w:tcW w:w="1270" w:type="dxa"/>
            <w:vAlign w:val="center"/>
          </w:tcPr>
          <w:p w14:paraId="1F0CBD72" w14:textId="77777777" w:rsidR="00BA0745" w:rsidRDefault="00000000">
            <w:pPr>
              <w:jc w:val="center"/>
              <w:rPr>
                <w:sz w:val="22"/>
                <w:szCs w:val="22"/>
              </w:rPr>
            </w:pPr>
            <w:r>
              <w:rPr>
                <w:sz w:val="22"/>
                <w:szCs w:val="22"/>
              </w:rPr>
              <w:t>0.123</w:t>
            </w:r>
          </w:p>
        </w:tc>
        <w:tc>
          <w:tcPr>
            <w:tcW w:w="1831" w:type="dxa"/>
            <w:vAlign w:val="center"/>
          </w:tcPr>
          <w:p w14:paraId="46CC8512" w14:textId="77777777" w:rsidR="00BA0745" w:rsidRDefault="00000000">
            <w:pPr>
              <w:jc w:val="center"/>
              <w:rPr>
                <w:sz w:val="22"/>
                <w:szCs w:val="22"/>
              </w:rPr>
            </w:pPr>
            <w:r>
              <w:rPr>
                <w:sz w:val="22"/>
                <w:szCs w:val="22"/>
              </w:rPr>
              <w:t>No salient loading</w:t>
            </w:r>
          </w:p>
        </w:tc>
      </w:tr>
      <w:tr w:rsidR="00BA0745" w14:paraId="05E09110" w14:textId="77777777">
        <w:tc>
          <w:tcPr>
            <w:tcW w:w="2297" w:type="dxa"/>
            <w:vAlign w:val="center"/>
          </w:tcPr>
          <w:p w14:paraId="0FF530E7" w14:textId="77777777" w:rsidR="00BA0745" w:rsidRDefault="00000000">
            <w:pPr>
              <w:jc w:val="center"/>
              <w:rPr>
                <w:sz w:val="22"/>
                <w:szCs w:val="22"/>
              </w:rPr>
            </w:pPr>
            <w:r>
              <w:rPr>
                <w:sz w:val="22"/>
                <w:szCs w:val="22"/>
              </w:rPr>
              <w:t>Value for money</w:t>
            </w:r>
          </w:p>
        </w:tc>
        <w:tc>
          <w:tcPr>
            <w:tcW w:w="1591" w:type="dxa"/>
            <w:vAlign w:val="center"/>
          </w:tcPr>
          <w:p w14:paraId="4C61C8F6" w14:textId="77777777" w:rsidR="00BA0745" w:rsidRDefault="00000000">
            <w:pPr>
              <w:jc w:val="center"/>
              <w:rPr>
                <w:sz w:val="22"/>
                <w:szCs w:val="22"/>
              </w:rPr>
            </w:pPr>
            <w:r>
              <w:rPr>
                <w:sz w:val="22"/>
                <w:szCs w:val="22"/>
              </w:rPr>
              <w:t>Affordability</w:t>
            </w:r>
          </w:p>
        </w:tc>
        <w:tc>
          <w:tcPr>
            <w:tcW w:w="1138" w:type="dxa"/>
            <w:vAlign w:val="center"/>
          </w:tcPr>
          <w:p w14:paraId="5E67644D" w14:textId="77777777" w:rsidR="00BA0745" w:rsidRDefault="00000000">
            <w:pPr>
              <w:jc w:val="center"/>
              <w:rPr>
                <w:sz w:val="22"/>
                <w:szCs w:val="22"/>
              </w:rPr>
            </w:pPr>
            <w:r>
              <w:rPr>
                <w:sz w:val="22"/>
                <w:szCs w:val="22"/>
              </w:rPr>
              <w:t>F3</w:t>
            </w:r>
          </w:p>
        </w:tc>
        <w:tc>
          <w:tcPr>
            <w:tcW w:w="1233" w:type="dxa"/>
            <w:vAlign w:val="center"/>
          </w:tcPr>
          <w:p w14:paraId="3F7FBD22" w14:textId="77777777" w:rsidR="00BA0745" w:rsidRDefault="00000000">
            <w:pPr>
              <w:jc w:val="center"/>
              <w:rPr>
                <w:sz w:val="22"/>
                <w:szCs w:val="22"/>
              </w:rPr>
            </w:pPr>
            <w:r>
              <w:rPr>
                <w:sz w:val="22"/>
                <w:szCs w:val="22"/>
              </w:rPr>
              <w:t>0.245</w:t>
            </w:r>
          </w:p>
        </w:tc>
        <w:tc>
          <w:tcPr>
            <w:tcW w:w="1270" w:type="dxa"/>
            <w:vAlign w:val="center"/>
          </w:tcPr>
          <w:p w14:paraId="22878F0E" w14:textId="77777777" w:rsidR="00BA0745" w:rsidRDefault="00000000">
            <w:pPr>
              <w:jc w:val="center"/>
              <w:rPr>
                <w:sz w:val="22"/>
                <w:szCs w:val="22"/>
              </w:rPr>
            </w:pPr>
            <w:r>
              <w:rPr>
                <w:sz w:val="22"/>
                <w:szCs w:val="22"/>
              </w:rPr>
              <w:t>0.137</w:t>
            </w:r>
          </w:p>
        </w:tc>
        <w:tc>
          <w:tcPr>
            <w:tcW w:w="1831" w:type="dxa"/>
            <w:vAlign w:val="center"/>
          </w:tcPr>
          <w:p w14:paraId="4587CD6C" w14:textId="77777777" w:rsidR="00BA0745" w:rsidRDefault="00000000">
            <w:pPr>
              <w:jc w:val="center"/>
              <w:rPr>
                <w:sz w:val="22"/>
                <w:szCs w:val="22"/>
              </w:rPr>
            </w:pPr>
            <w:r>
              <w:rPr>
                <w:sz w:val="22"/>
                <w:szCs w:val="22"/>
              </w:rPr>
              <w:t>No salient loading</w:t>
            </w:r>
          </w:p>
        </w:tc>
      </w:tr>
      <w:tr w:rsidR="00BA0745" w14:paraId="563DE596" w14:textId="77777777">
        <w:tc>
          <w:tcPr>
            <w:tcW w:w="2297" w:type="dxa"/>
            <w:vAlign w:val="center"/>
          </w:tcPr>
          <w:p w14:paraId="1329CAB6" w14:textId="77777777" w:rsidR="00BA0745" w:rsidRDefault="00000000">
            <w:pPr>
              <w:jc w:val="center"/>
              <w:rPr>
                <w:sz w:val="22"/>
                <w:szCs w:val="22"/>
              </w:rPr>
            </w:pPr>
            <w:r>
              <w:rPr>
                <w:sz w:val="22"/>
                <w:szCs w:val="22"/>
              </w:rPr>
              <w:t>Water pressure</w:t>
            </w:r>
          </w:p>
        </w:tc>
        <w:tc>
          <w:tcPr>
            <w:tcW w:w="1591" w:type="dxa"/>
            <w:vAlign w:val="center"/>
          </w:tcPr>
          <w:p w14:paraId="45526EED" w14:textId="77777777" w:rsidR="00BA0745" w:rsidRDefault="00000000">
            <w:pPr>
              <w:jc w:val="center"/>
              <w:rPr>
                <w:sz w:val="22"/>
                <w:szCs w:val="22"/>
              </w:rPr>
            </w:pPr>
            <w:r>
              <w:rPr>
                <w:sz w:val="22"/>
                <w:szCs w:val="22"/>
              </w:rPr>
              <w:t>Reliability</w:t>
            </w:r>
          </w:p>
        </w:tc>
        <w:tc>
          <w:tcPr>
            <w:tcW w:w="1138" w:type="dxa"/>
            <w:vAlign w:val="center"/>
          </w:tcPr>
          <w:p w14:paraId="06764687" w14:textId="77777777" w:rsidR="00BA0745" w:rsidRDefault="00000000">
            <w:pPr>
              <w:jc w:val="center"/>
              <w:rPr>
                <w:sz w:val="22"/>
                <w:szCs w:val="22"/>
              </w:rPr>
            </w:pPr>
            <w:r>
              <w:rPr>
                <w:sz w:val="22"/>
                <w:szCs w:val="22"/>
              </w:rPr>
              <w:t>F3</w:t>
            </w:r>
          </w:p>
        </w:tc>
        <w:tc>
          <w:tcPr>
            <w:tcW w:w="1233" w:type="dxa"/>
            <w:vAlign w:val="center"/>
          </w:tcPr>
          <w:p w14:paraId="027C6703" w14:textId="77777777" w:rsidR="00BA0745" w:rsidRDefault="00000000">
            <w:pPr>
              <w:jc w:val="center"/>
              <w:rPr>
                <w:sz w:val="22"/>
                <w:szCs w:val="22"/>
              </w:rPr>
            </w:pPr>
            <w:r>
              <w:rPr>
                <w:sz w:val="22"/>
                <w:szCs w:val="22"/>
              </w:rPr>
              <w:t>0.224</w:t>
            </w:r>
          </w:p>
        </w:tc>
        <w:tc>
          <w:tcPr>
            <w:tcW w:w="1270" w:type="dxa"/>
            <w:vAlign w:val="center"/>
          </w:tcPr>
          <w:p w14:paraId="798899E1" w14:textId="77777777" w:rsidR="00BA0745" w:rsidRDefault="00000000">
            <w:pPr>
              <w:jc w:val="center"/>
              <w:rPr>
                <w:sz w:val="22"/>
                <w:szCs w:val="22"/>
              </w:rPr>
            </w:pPr>
            <w:r>
              <w:rPr>
                <w:sz w:val="22"/>
                <w:szCs w:val="22"/>
              </w:rPr>
              <w:t>0.158</w:t>
            </w:r>
          </w:p>
        </w:tc>
        <w:tc>
          <w:tcPr>
            <w:tcW w:w="1831" w:type="dxa"/>
            <w:vAlign w:val="center"/>
          </w:tcPr>
          <w:p w14:paraId="08844B00" w14:textId="77777777" w:rsidR="00BA0745" w:rsidRDefault="00000000">
            <w:pPr>
              <w:jc w:val="center"/>
              <w:rPr>
                <w:sz w:val="22"/>
                <w:szCs w:val="22"/>
              </w:rPr>
            </w:pPr>
            <w:r>
              <w:rPr>
                <w:sz w:val="22"/>
                <w:szCs w:val="22"/>
              </w:rPr>
              <w:t>No salient loading</w:t>
            </w:r>
          </w:p>
        </w:tc>
      </w:tr>
      <w:tr w:rsidR="00BA0745" w14:paraId="635088A3" w14:textId="77777777">
        <w:tc>
          <w:tcPr>
            <w:tcW w:w="2297" w:type="dxa"/>
            <w:vAlign w:val="center"/>
          </w:tcPr>
          <w:p w14:paraId="1F9D9A3D" w14:textId="77777777" w:rsidR="00BA0745" w:rsidRDefault="00000000">
            <w:pPr>
              <w:jc w:val="center"/>
              <w:rPr>
                <w:sz w:val="22"/>
                <w:szCs w:val="22"/>
              </w:rPr>
            </w:pPr>
            <w:r>
              <w:rPr>
                <w:sz w:val="22"/>
                <w:szCs w:val="22"/>
              </w:rPr>
              <w:t>Travel burden</w:t>
            </w:r>
          </w:p>
        </w:tc>
        <w:tc>
          <w:tcPr>
            <w:tcW w:w="1591" w:type="dxa"/>
            <w:vAlign w:val="center"/>
          </w:tcPr>
          <w:p w14:paraId="7C32DB77" w14:textId="77777777" w:rsidR="00BA0745" w:rsidRDefault="00000000">
            <w:pPr>
              <w:jc w:val="center"/>
              <w:rPr>
                <w:sz w:val="22"/>
                <w:szCs w:val="22"/>
              </w:rPr>
            </w:pPr>
            <w:r>
              <w:rPr>
                <w:sz w:val="22"/>
                <w:szCs w:val="22"/>
              </w:rPr>
              <w:t>Access</w:t>
            </w:r>
          </w:p>
        </w:tc>
        <w:tc>
          <w:tcPr>
            <w:tcW w:w="1138" w:type="dxa"/>
            <w:vAlign w:val="center"/>
          </w:tcPr>
          <w:p w14:paraId="461A651B" w14:textId="77777777" w:rsidR="00BA0745" w:rsidRDefault="00000000">
            <w:pPr>
              <w:jc w:val="center"/>
              <w:rPr>
                <w:sz w:val="22"/>
                <w:szCs w:val="22"/>
              </w:rPr>
            </w:pPr>
            <w:r>
              <w:rPr>
                <w:sz w:val="22"/>
                <w:szCs w:val="22"/>
              </w:rPr>
              <w:t>F4</w:t>
            </w:r>
          </w:p>
        </w:tc>
        <w:tc>
          <w:tcPr>
            <w:tcW w:w="1233" w:type="dxa"/>
            <w:vAlign w:val="center"/>
          </w:tcPr>
          <w:p w14:paraId="7DA5A6D4" w14:textId="77777777" w:rsidR="00BA0745" w:rsidRDefault="00000000">
            <w:pPr>
              <w:jc w:val="center"/>
              <w:rPr>
                <w:sz w:val="22"/>
                <w:szCs w:val="22"/>
              </w:rPr>
            </w:pPr>
            <w:r>
              <w:rPr>
                <w:sz w:val="22"/>
                <w:szCs w:val="22"/>
              </w:rPr>
              <w:t>0.696</w:t>
            </w:r>
          </w:p>
        </w:tc>
        <w:tc>
          <w:tcPr>
            <w:tcW w:w="1270" w:type="dxa"/>
            <w:vAlign w:val="center"/>
          </w:tcPr>
          <w:p w14:paraId="56FE140B" w14:textId="77777777" w:rsidR="00BA0745" w:rsidRDefault="00000000">
            <w:pPr>
              <w:jc w:val="center"/>
              <w:rPr>
                <w:sz w:val="22"/>
                <w:szCs w:val="22"/>
              </w:rPr>
            </w:pPr>
            <w:r>
              <w:rPr>
                <w:sz w:val="22"/>
                <w:szCs w:val="22"/>
              </w:rPr>
              <w:t>0.493</w:t>
            </w:r>
          </w:p>
        </w:tc>
        <w:tc>
          <w:tcPr>
            <w:tcW w:w="1831" w:type="dxa"/>
            <w:vAlign w:val="center"/>
          </w:tcPr>
          <w:p w14:paraId="6C53BB97" w14:textId="77777777" w:rsidR="00BA0745" w:rsidRDefault="00000000">
            <w:pPr>
              <w:jc w:val="center"/>
              <w:rPr>
                <w:sz w:val="22"/>
                <w:szCs w:val="22"/>
              </w:rPr>
            </w:pPr>
            <w:r>
              <w:rPr>
                <w:sz w:val="22"/>
                <w:szCs w:val="22"/>
              </w:rPr>
              <w:t>Salient primary loading</w:t>
            </w:r>
          </w:p>
        </w:tc>
      </w:tr>
      <w:tr w:rsidR="00BA0745" w14:paraId="46BD1ED7" w14:textId="77777777">
        <w:tc>
          <w:tcPr>
            <w:tcW w:w="2297" w:type="dxa"/>
            <w:vAlign w:val="center"/>
          </w:tcPr>
          <w:p w14:paraId="2396CDED" w14:textId="77777777" w:rsidR="00BA0745" w:rsidRDefault="00000000">
            <w:pPr>
              <w:jc w:val="center"/>
              <w:rPr>
                <w:sz w:val="22"/>
                <w:szCs w:val="22"/>
              </w:rPr>
            </w:pPr>
            <w:r>
              <w:rPr>
                <w:sz w:val="22"/>
                <w:szCs w:val="22"/>
              </w:rPr>
              <w:t>Daily access time</w:t>
            </w:r>
          </w:p>
        </w:tc>
        <w:tc>
          <w:tcPr>
            <w:tcW w:w="1591" w:type="dxa"/>
            <w:vAlign w:val="center"/>
          </w:tcPr>
          <w:p w14:paraId="6B66C879" w14:textId="77777777" w:rsidR="00BA0745" w:rsidRDefault="00000000">
            <w:pPr>
              <w:jc w:val="center"/>
              <w:rPr>
                <w:sz w:val="22"/>
                <w:szCs w:val="22"/>
              </w:rPr>
            </w:pPr>
            <w:r>
              <w:rPr>
                <w:sz w:val="22"/>
                <w:szCs w:val="22"/>
              </w:rPr>
              <w:t>Access</w:t>
            </w:r>
          </w:p>
        </w:tc>
        <w:tc>
          <w:tcPr>
            <w:tcW w:w="1138" w:type="dxa"/>
            <w:vAlign w:val="center"/>
          </w:tcPr>
          <w:p w14:paraId="6125BFD1" w14:textId="77777777" w:rsidR="00BA0745" w:rsidRDefault="00000000">
            <w:pPr>
              <w:jc w:val="center"/>
              <w:rPr>
                <w:sz w:val="22"/>
                <w:szCs w:val="22"/>
              </w:rPr>
            </w:pPr>
            <w:r>
              <w:rPr>
                <w:sz w:val="22"/>
                <w:szCs w:val="22"/>
              </w:rPr>
              <w:t>F4</w:t>
            </w:r>
          </w:p>
        </w:tc>
        <w:tc>
          <w:tcPr>
            <w:tcW w:w="1233" w:type="dxa"/>
            <w:vAlign w:val="center"/>
          </w:tcPr>
          <w:p w14:paraId="003CAA7E" w14:textId="77777777" w:rsidR="00BA0745" w:rsidRDefault="00000000">
            <w:pPr>
              <w:jc w:val="center"/>
              <w:rPr>
                <w:sz w:val="22"/>
                <w:szCs w:val="22"/>
              </w:rPr>
            </w:pPr>
            <w:r>
              <w:rPr>
                <w:sz w:val="22"/>
                <w:szCs w:val="22"/>
              </w:rPr>
              <w:t>0.472</w:t>
            </w:r>
          </w:p>
        </w:tc>
        <w:tc>
          <w:tcPr>
            <w:tcW w:w="1270" w:type="dxa"/>
            <w:vAlign w:val="center"/>
          </w:tcPr>
          <w:p w14:paraId="32655707" w14:textId="77777777" w:rsidR="00BA0745" w:rsidRDefault="00000000">
            <w:pPr>
              <w:jc w:val="center"/>
              <w:rPr>
                <w:sz w:val="22"/>
                <w:szCs w:val="22"/>
              </w:rPr>
            </w:pPr>
            <w:r>
              <w:rPr>
                <w:sz w:val="22"/>
                <w:szCs w:val="22"/>
              </w:rPr>
              <w:t>0.246</w:t>
            </w:r>
          </w:p>
        </w:tc>
        <w:tc>
          <w:tcPr>
            <w:tcW w:w="1831" w:type="dxa"/>
            <w:vAlign w:val="center"/>
          </w:tcPr>
          <w:p w14:paraId="74C8644F" w14:textId="77777777" w:rsidR="00BA0745" w:rsidRDefault="00000000">
            <w:pPr>
              <w:jc w:val="center"/>
              <w:rPr>
                <w:sz w:val="22"/>
                <w:szCs w:val="22"/>
              </w:rPr>
            </w:pPr>
            <w:r>
              <w:rPr>
                <w:sz w:val="22"/>
                <w:szCs w:val="22"/>
              </w:rPr>
              <w:t>Salient primary loading</w:t>
            </w:r>
          </w:p>
        </w:tc>
      </w:tr>
      <w:tr w:rsidR="00BA0745" w14:paraId="45563ABC" w14:textId="77777777">
        <w:tc>
          <w:tcPr>
            <w:tcW w:w="2297" w:type="dxa"/>
            <w:vAlign w:val="center"/>
          </w:tcPr>
          <w:p w14:paraId="6054E669" w14:textId="77777777" w:rsidR="00BA0745" w:rsidRDefault="00000000">
            <w:pPr>
              <w:jc w:val="center"/>
              <w:rPr>
                <w:sz w:val="22"/>
                <w:szCs w:val="22"/>
              </w:rPr>
            </w:pPr>
            <w:r>
              <w:rPr>
                <w:sz w:val="22"/>
                <w:szCs w:val="22"/>
              </w:rPr>
              <w:t>Drinking-water expenditure</w:t>
            </w:r>
          </w:p>
        </w:tc>
        <w:tc>
          <w:tcPr>
            <w:tcW w:w="1591" w:type="dxa"/>
            <w:vAlign w:val="center"/>
          </w:tcPr>
          <w:p w14:paraId="34182ED9" w14:textId="77777777" w:rsidR="00BA0745" w:rsidRDefault="00000000">
            <w:pPr>
              <w:jc w:val="center"/>
              <w:rPr>
                <w:sz w:val="22"/>
                <w:szCs w:val="22"/>
              </w:rPr>
            </w:pPr>
            <w:r>
              <w:rPr>
                <w:sz w:val="22"/>
                <w:szCs w:val="22"/>
              </w:rPr>
              <w:t>Affordability</w:t>
            </w:r>
          </w:p>
        </w:tc>
        <w:tc>
          <w:tcPr>
            <w:tcW w:w="1138" w:type="dxa"/>
            <w:vAlign w:val="center"/>
          </w:tcPr>
          <w:p w14:paraId="1ECA1978" w14:textId="77777777" w:rsidR="00BA0745" w:rsidRDefault="00000000">
            <w:pPr>
              <w:jc w:val="center"/>
              <w:rPr>
                <w:sz w:val="22"/>
                <w:szCs w:val="22"/>
              </w:rPr>
            </w:pPr>
            <w:r>
              <w:rPr>
                <w:sz w:val="22"/>
                <w:szCs w:val="22"/>
              </w:rPr>
              <w:t>F4</w:t>
            </w:r>
          </w:p>
        </w:tc>
        <w:tc>
          <w:tcPr>
            <w:tcW w:w="1233" w:type="dxa"/>
            <w:vAlign w:val="center"/>
          </w:tcPr>
          <w:p w14:paraId="4A3FD3E1" w14:textId="77777777" w:rsidR="00BA0745" w:rsidRDefault="00000000">
            <w:pPr>
              <w:jc w:val="center"/>
              <w:rPr>
                <w:sz w:val="22"/>
                <w:szCs w:val="22"/>
              </w:rPr>
            </w:pPr>
            <w:r>
              <w:rPr>
                <w:sz w:val="22"/>
                <w:szCs w:val="22"/>
              </w:rPr>
              <w:t>0.441</w:t>
            </w:r>
          </w:p>
        </w:tc>
        <w:tc>
          <w:tcPr>
            <w:tcW w:w="1270" w:type="dxa"/>
            <w:vAlign w:val="center"/>
          </w:tcPr>
          <w:p w14:paraId="0DB03CED" w14:textId="77777777" w:rsidR="00BA0745" w:rsidRDefault="00000000">
            <w:pPr>
              <w:jc w:val="center"/>
              <w:rPr>
                <w:sz w:val="22"/>
                <w:szCs w:val="22"/>
              </w:rPr>
            </w:pPr>
            <w:r>
              <w:rPr>
                <w:sz w:val="22"/>
                <w:szCs w:val="22"/>
              </w:rPr>
              <w:t>0.218</w:t>
            </w:r>
          </w:p>
        </w:tc>
        <w:tc>
          <w:tcPr>
            <w:tcW w:w="1831" w:type="dxa"/>
            <w:vAlign w:val="center"/>
          </w:tcPr>
          <w:p w14:paraId="3D1E0FF0" w14:textId="77777777" w:rsidR="00BA0745" w:rsidRDefault="00000000">
            <w:pPr>
              <w:jc w:val="center"/>
              <w:rPr>
                <w:sz w:val="22"/>
                <w:szCs w:val="22"/>
              </w:rPr>
            </w:pPr>
            <w:r>
              <w:rPr>
                <w:sz w:val="22"/>
                <w:szCs w:val="22"/>
              </w:rPr>
              <w:t>Salient primary loading</w:t>
            </w:r>
          </w:p>
        </w:tc>
      </w:tr>
      <w:tr w:rsidR="00BA0745" w14:paraId="6FEA2883" w14:textId="77777777">
        <w:tc>
          <w:tcPr>
            <w:tcW w:w="2297" w:type="dxa"/>
            <w:vAlign w:val="center"/>
          </w:tcPr>
          <w:p w14:paraId="18182241" w14:textId="77777777" w:rsidR="00BA0745" w:rsidRDefault="00000000">
            <w:pPr>
              <w:jc w:val="center"/>
              <w:rPr>
                <w:sz w:val="22"/>
                <w:szCs w:val="22"/>
              </w:rPr>
            </w:pPr>
            <w:r>
              <w:rPr>
                <w:sz w:val="22"/>
                <w:szCs w:val="22"/>
              </w:rPr>
              <w:t>Seasonal quantity variation</w:t>
            </w:r>
          </w:p>
        </w:tc>
        <w:tc>
          <w:tcPr>
            <w:tcW w:w="1591" w:type="dxa"/>
            <w:vAlign w:val="center"/>
          </w:tcPr>
          <w:p w14:paraId="70E6D6ED" w14:textId="77777777" w:rsidR="00BA0745" w:rsidRDefault="00000000">
            <w:pPr>
              <w:jc w:val="center"/>
              <w:rPr>
                <w:sz w:val="22"/>
                <w:szCs w:val="22"/>
              </w:rPr>
            </w:pPr>
            <w:r>
              <w:rPr>
                <w:sz w:val="22"/>
                <w:szCs w:val="22"/>
              </w:rPr>
              <w:t>Quantity</w:t>
            </w:r>
          </w:p>
        </w:tc>
        <w:tc>
          <w:tcPr>
            <w:tcW w:w="1138" w:type="dxa"/>
            <w:vAlign w:val="center"/>
          </w:tcPr>
          <w:p w14:paraId="62D02E98" w14:textId="77777777" w:rsidR="00BA0745" w:rsidRDefault="00000000">
            <w:pPr>
              <w:jc w:val="center"/>
              <w:rPr>
                <w:sz w:val="22"/>
                <w:szCs w:val="22"/>
              </w:rPr>
            </w:pPr>
            <w:r>
              <w:rPr>
                <w:sz w:val="22"/>
                <w:szCs w:val="22"/>
              </w:rPr>
              <w:t>F5</w:t>
            </w:r>
          </w:p>
        </w:tc>
        <w:tc>
          <w:tcPr>
            <w:tcW w:w="1233" w:type="dxa"/>
            <w:vAlign w:val="center"/>
          </w:tcPr>
          <w:p w14:paraId="679857A8" w14:textId="77777777" w:rsidR="00BA0745" w:rsidRDefault="00000000">
            <w:pPr>
              <w:jc w:val="center"/>
              <w:rPr>
                <w:sz w:val="22"/>
                <w:szCs w:val="22"/>
              </w:rPr>
            </w:pPr>
            <w:r>
              <w:rPr>
                <w:sz w:val="22"/>
                <w:szCs w:val="22"/>
              </w:rPr>
              <w:t>0.577</w:t>
            </w:r>
          </w:p>
        </w:tc>
        <w:tc>
          <w:tcPr>
            <w:tcW w:w="1270" w:type="dxa"/>
            <w:vAlign w:val="center"/>
          </w:tcPr>
          <w:p w14:paraId="5A67AB16" w14:textId="77777777" w:rsidR="00BA0745" w:rsidRDefault="00000000">
            <w:pPr>
              <w:jc w:val="center"/>
              <w:rPr>
                <w:sz w:val="22"/>
                <w:szCs w:val="22"/>
              </w:rPr>
            </w:pPr>
            <w:r>
              <w:rPr>
                <w:sz w:val="22"/>
                <w:szCs w:val="22"/>
              </w:rPr>
              <w:t>0.344</w:t>
            </w:r>
          </w:p>
        </w:tc>
        <w:tc>
          <w:tcPr>
            <w:tcW w:w="1831" w:type="dxa"/>
            <w:vAlign w:val="center"/>
          </w:tcPr>
          <w:p w14:paraId="561B49C7" w14:textId="77777777" w:rsidR="00BA0745" w:rsidRDefault="00000000">
            <w:pPr>
              <w:jc w:val="center"/>
              <w:rPr>
                <w:sz w:val="22"/>
                <w:szCs w:val="22"/>
              </w:rPr>
            </w:pPr>
            <w:r>
              <w:rPr>
                <w:sz w:val="22"/>
                <w:szCs w:val="22"/>
              </w:rPr>
              <w:t>Salient primary loading</w:t>
            </w:r>
          </w:p>
        </w:tc>
      </w:tr>
      <w:tr w:rsidR="00BA0745" w14:paraId="60AB4805" w14:textId="77777777">
        <w:tc>
          <w:tcPr>
            <w:tcW w:w="2297" w:type="dxa"/>
            <w:vAlign w:val="center"/>
          </w:tcPr>
          <w:p w14:paraId="052125E6" w14:textId="77777777" w:rsidR="00BA0745" w:rsidRDefault="00000000">
            <w:pPr>
              <w:jc w:val="center"/>
              <w:rPr>
                <w:sz w:val="22"/>
                <w:szCs w:val="22"/>
              </w:rPr>
            </w:pPr>
            <w:r>
              <w:rPr>
                <w:sz w:val="22"/>
                <w:szCs w:val="22"/>
              </w:rPr>
              <w:t>Seasonal supply variation</w:t>
            </w:r>
          </w:p>
        </w:tc>
        <w:tc>
          <w:tcPr>
            <w:tcW w:w="1591" w:type="dxa"/>
            <w:vAlign w:val="center"/>
          </w:tcPr>
          <w:p w14:paraId="63B7A937" w14:textId="77777777" w:rsidR="00BA0745" w:rsidRDefault="00000000">
            <w:pPr>
              <w:jc w:val="center"/>
              <w:rPr>
                <w:sz w:val="22"/>
                <w:szCs w:val="22"/>
              </w:rPr>
            </w:pPr>
            <w:r>
              <w:rPr>
                <w:sz w:val="22"/>
                <w:szCs w:val="22"/>
              </w:rPr>
              <w:t>Efficiency</w:t>
            </w:r>
          </w:p>
        </w:tc>
        <w:tc>
          <w:tcPr>
            <w:tcW w:w="1138" w:type="dxa"/>
            <w:vAlign w:val="center"/>
          </w:tcPr>
          <w:p w14:paraId="17E399D2" w14:textId="77777777" w:rsidR="00BA0745" w:rsidRDefault="00000000">
            <w:pPr>
              <w:jc w:val="center"/>
              <w:rPr>
                <w:sz w:val="22"/>
                <w:szCs w:val="22"/>
              </w:rPr>
            </w:pPr>
            <w:r>
              <w:rPr>
                <w:sz w:val="22"/>
                <w:szCs w:val="22"/>
              </w:rPr>
              <w:t>F5</w:t>
            </w:r>
          </w:p>
        </w:tc>
        <w:tc>
          <w:tcPr>
            <w:tcW w:w="1233" w:type="dxa"/>
            <w:vAlign w:val="center"/>
          </w:tcPr>
          <w:p w14:paraId="1190C3EA" w14:textId="77777777" w:rsidR="00BA0745" w:rsidRDefault="00000000">
            <w:pPr>
              <w:jc w:val="center"/>
              <w:rPr>
                <w:sz w:val="22"/>
                <w:szCs w:val="22"/>
              </w:rPr>
            </w:pPr>
            <w:r>
              <w:rPr>
                <w:sz w:val="22"/>
                <w:szCs w:val="22"/>
              </w:rPr>
              <w:t>0.552</w:t>
            </w:r>
          </w:p>
        </w:tc>
        <w:tc>
          <w:tcPr>
            <w:tcW w:w="1270" w:type="dxa"/>
            <w:vAlign w:val="center"/>
          </w:tcPr>
          <w:p w14:paraId="79B8AB71" w14:textId="77777777" w:rsidR="00BA0745" w:rsidRDefault="00000000">
            <w:pPr>
              <w:jc w:val="center"/>
              <w:rPr>
                <w:sz w:val="22"/>
                <w:szCs w:val="22"/>
              </w:rPr>
            </w:pPr>
            <w:r>
              <w:rPr>
                <w:sz w:val="22"/>
                <w:szCs w:val="22"/>
              </w:rPr>
              <w:t>0.313</w:t>
            </w:r>
          </w:p>
        </w:tc>
        <w:tc>
          <w:tcPr>
            <w:tcW w:w="1831" w:type="dxa"/>
            <w:vAlign w:val="center"/>
          </w:tcPr>
          <w:p w14:paraId="3C95FA2C" w14:textId="77777777" w:rsidR="00BA0745" w:rsidRDefault="00000000">
            <w:pPr>
              <w:jc w:val="center"/>
              <w:rPr>
                <w:sz w:val="22"/>
                <w:szCs w:val="22"/>
              </w:rPr>
            </w:pPr>
            <w:r>
              <w:rPr>
                <w:sz w:val="22"/>
                <w:szCs w:val="22"/>
              </w:rPr>
              <w:t>Salient primary loading</w:t>
            </w:r>
          </w:p>
        </w:tc>
      </w:tr>
      <w:tr w:rsidR="00BA0745" w14:paraId="41D8AE69" w14:textId="77777777">
        <w:tc>
          <w:tcPr>
            <w:tcW w:w="2297" w:type="dxa"/>
            <w:vAlign w:val="center"/>
          </w:tcPr>
          <w:p w14:paraId="25F6C015" w14:textId="77777777" w:rsidR="00BA0745" w:rsidRDefault="00000000">
            <w:pPr>
              <w:jc w:val="center"/>
              <w:rPr>
                <w:sz w:val="22"/>
                <w:szCs w:val="22"/>
              </w:rPr>
            </w:pPr>
            <w:r>
              <w:rPr>
                <w:sz w:val="22"/>
                <w:szCs w:val="22"/>
              </w:rPr>
              <w:t>Infrastructure maintenance</w:t>
            </w:r>
          </w:p>
        </w:tc>
        <w:tc>
          <w:tcPr>
            <w:tcW w:w="1591" w:type="dxa"/>
            <w:vAlign w:val="center"/>
          </w:tcPr>
          <w:p w14:paraId="0633BE6C" w14:textId="77777777" w:rsidR="00BA0745" w:rsidRDefault="00000000">
            <w:pPr>
              <w:jc w:val="center"/>
              <w:rPr>
                <w:sz w:val="22"/>
                <w:szCs w:val="22"/>
              </w:rPr>
            </w:pPr>
            <w:r>
              <w:rPr>
                <w:sz w:val="22"/>
                <w:szCs w:val="22"/>
              </w:rPr>
              <w:t>Efficiency</w:t>
            </w:r>
          </w:p>
        </w:tc>
        <w:tc>
          <w:tcPr>
            <w:tcW w:w="1138" w:type="dxa"/>
            <w:vAlign w:val="center"/>
          </w:tcPr>
          <w:p w14:paraId="0A1CF214" w14:textId="77777777" w:rsidR="00BA0745" w:rsidRDefault="00000000">
            <w:pPr>
              <w:jc w:val="center"/>
              <w:rPr>
                <w:sz w:val="22"/>
                <w:szCs w:val="22"/>
              </w:rPr>
            </w:pPr>
            <w:r>
              <w:rPr>
                <w:sz w:val="22"/>
                <w:szCs w:val="22"/>
              </w:rPr>
              <w:t>F5</w:t>
            </w:r>
          </w:p>
        </w:tc>
        <w:tc>
          <w:tcPr>
            <w:tcW w:w="1233" w:type="dxa"/>
            <w:vAlign w:val="center"/>
          </w:tcPr>
          <w:p w14:paraId="137FAFA0" w14:textId="77777777" w:rsidR="00BA0745" w:rsidRDefault="00000000">
            <w:pPr>
              <w:jc w:val="center"/>
              <w:rPr>
                <w:sz w:val="22"/>
                <w:szCs w:val="22"/>
              </w:rPr>
            </w:pPr>
            <w:r>
              <w:rPr>
                <w:sz w:val="22"/>
                <w:szCs w:val="22"/>
              </w:rPr>
              <w:t>0.191</w:t>
            </w:r>
          </w:p>
        </w:tc>
        <w:tc>
          <w:tcPr>
            <w:tcW w:w="1270" w:type="dxa"/>
            <w:vAlign w:val="center"/>
          </w:tcPr>
          <w:p w14:paraId="2481561B" w14:textId="77777777" w:rsidR="00BA0745" w:rsidRDefault="00000000">
            <w:pPr>
              <w:jc w:val="center"/>
              <w:rPr>
                <w:sz w:val="22"/>
                <w:szCs w:val="22"/>
              </w:rPr>
            </w:pPr>
            <w:r>
              <w:rPr>
                <w:sz w:val="22"/>
                <w:szCs w:val="22"/>
              </w:rPr>
              <w:t>0.116</w:t>
            </w:r>
          </w:p>
        </w:tc>
        <w:tc>
          <w:tcPr>
            <w:tcW w:w="1831" w:type="dxa"/>
            <w:vAlign w:val="center"/>
          </w:tcPr>
          <w:p w14:paraId="10D12081" w14:textId="77777777" w:rsidR="00BA0745" w:rsidRDefault="00000000">
            <w:pPr>
              <w:jc w:val="center"/>
              <w:rPr>
                <w:sz w:val="22"/>
                <w:szCs w:val="22"/>
              </w:rPr>
            </w:pPr>
            <w:r>
              <w:rPr>
                <w:sz w:val="22"/>
                <w:szCs w:val="22"/>
              </w:rPr>
              <w:t>No salient loading</w:t>
            </w:r>
          </w:p>
        </w:tc>
      </w:tr>
      <w:tr w:rsidR="00BA0745" w14:paraId="771E8C50" w14:textId="77777777">
        <w:tc>
          <w:tcPr>
            <w:tcW w:w="2297" w:type="dxa"/>
            <w:vAlign w:val="center"/>
          </w:tcPr>
          <w:p w14:paraId="30A7B8CE" w14:textId="77777777" w:rsidR="00BA0745" w:rsidRDefault="00000000">
            <w:pPr>
              <w:jc w:val="center"/>
              <w:rPr>
                <w:sz w:val="22"/>
                <w:szCs w:val="22"/>
              </w:rPr>
            </w:pPr>
            <w:r>
              <w:rPr>
                <w:sz w:val="22"/>
                <w:szCs w:val="22"/>
              </w:rPr>
              <w:t>Repair/service delays</w:t>
            </w:r>
          </w:p>
        </w:tc>
        <w:tc>
          <w:tcPr>
            <w:tcW w:w="1591" w:type="dxa"/>
            <w:vAlign w:val="center"/>
          </w:tcPr>
          <w:p w14:paraId="2D697554" w14:textId="77777777" w:rsidR="00BA0745" w:rsidRDefault="00000000">
            <w:pPr>
              <w:jc w:val="center"/>
              <w:rPr>
                <w:sz w:val="22"/>
                <w:szCs w:val="22"/>
              </w:rPr>
            </w:pPr>
            <w:r>
              <w:rPr>
                <w:sz w:val="22"/>
                <w:szCs w:val="22"/>
              </w:rPr>
              <w:t>Customer service</w:t>
            </w:r>
          </w:p>
        </w:tc>
        <w:tc>
          <w:tcPr>
            <w:tcW w:w="1138" w:type="dxa"/>
            <w:vAlign w:val="center"/>
          </w:tcPr>
          <w:p w14:paraId="41C6DDB9" w14:textId="77777777" w:rsidR="00BA0745" w:rsidRDefault="00000000">
            <w:pPr>
              <w:jc w:val="center"/>
              <w:rPr>
                <w:sz w:val="22"/>
                <w:szCs w:val="22"/>
              </w:rPr>
            </w:pPr>
            <w:r>
              <w:rPr>
                <w:sz w:val="22"/>
                <w:szCs w:val="22"/>
              </w:rPr>
              <w:t>F5</w:t>
            </w:r>
          </w:p>
        </w:tc>
        <w:tc>
          <w:tcPr>
            <w:tcW w:w="1233" w:type="dxa"/>
            <w:vAlign w:val="center"/>
          </w:tcPr>
          <w:p w14:paraId="0534E39E" w14:textId="77777777" w:rsidR="00BA0745" w:rsidRDefault="00000000">
            <w:pPr>
              <w:jc w:val="center"/>
              <w:rPr>
                <w:sz w:val="22"/>
                <w:szCs w:val="22"/>
              </w:rPr>
            </w:pPr>
            <w:r>
              <w:rPr>
                <w:sz w:val="22"/>
                <w:szCs w:val="22"/>
              </w:rPr>
              <w:t>0.165</w:t>
            </w:r>
          </w:p>
        </w:tc>
        <w:tc>
          <w:tcPr>
            <w:tcW w:w="1270" w:type="dxa"/>
            <w:vAlign w:val="center"/>
          </w:tcPr>
          <w:p w14:paraId="590CDCF8" w14:textId="77777777" w:rsidR="00BA0745" w:rsidRDefault="00000000">
            <w:pPr>
              <w:jc w:val="center"/>
              <w:rPr>
                <w:sz w:val="22"/>
                <w:szCs w:val="22"/>
              </w:rPr>
            </w:pPr>
            <w:r>
              <w:rPr>
                <w:sz w:val="22"/>
                <w:szCs w:val="22"/>
              </w:rPr>
              <w:t>0.073</w:t>
            </w:r>
          </w:p>
        </w:tc>
        <w:tc>
          <w:tcPr>
            <w:tcW w:w="1831" w:type="dxa"/>
            <w:vAlign w:val="center"/>
          </w:tcPr>
          <w:p w14:paraId="5D85F540" w14:textId="77777777" w:rsidR="00BA0745" w:rsidRDefault="00000000">
            <w:pPr>
              <w:jc w:val="center"/>
              <w:rPr>
                <w:sz w:val="22"/>
                <w:szCs w:val="22"/>
              </w:rPr>
            </w:pPr>
            <w:r>
              <w:rPr>
                <w:sz w:val="22"/>
                <w:szCs w:val="22"/>
              </w:rPr>
              <w:t>No salient loading</w:t>
            </w:r>
          </w:p>
        </w:tc>
      </w:tr>
      <w:tr w:rsidR="00BA0745" w14:paraId="5E930D61" w14:textId="77777777">
        <w:tc>
          <w:tcPr>
            <w:tcW w:w="2297" w:type="dxa"/>
            <w:vAlign w:val="center"/>
          </w:tcPr>
          <w:p w14:paraId="69F9C0C3" w14:textId="77777777" w:rsidR="00BA0745" w:rsidRDefault="00000000">
            <w:pPr>
              <w:jc w:val="center"/>
              <w:rPr>
                <w:sz w:val="22"/>
                <w:szCs w:val="22"/>
              </w:rPr>
            </w:pPr>
            <w:r>
              <w:rPr>
                <w:sz w:val="22"/>
                <w:szCs w:val="22"/>
              </w:rPr>
              <w:t>Advance disruption notice</w:t>
            </w:r>
          </w:p>
        </w:tc>
        <w:tc>
          <w:tcPr>
            <w:tcW w:w="1591" w:type="dxa"/>
            <w:vAlign w:val="center"/>
          </w:tcPr>
          <w:p w14:paraId="2D64E1AA" w14:textId="77777777" w:rsidR="00BA0745" w:rsidRDefault="00000000">
            <w:pPr>
              <w:jc w:val="center"/>
              <w:rPr>
                <w:sz w:val="22"/>
                <w:szCs w:val="22"/>
              </w:rPr>
            </w:pPr>
            <w:r>
              <w:rPr>
                <w:sz w:val="22"/>
                <w:szCs w:val="22"/>
              </w:rPr>
              <w:t>Reliability</w:t>
            </w:r>
          </w:p>
        </w:tc>
        <w:tc>
          <w:tcPr>
            <w:tcW w:w="1138" w:type="dxa"/>
            <w:vAlign w:val="center"/>
          </w:tcPr>
          <w:p w14:paraId="12321505" w14:textId="77777777" w:rsidR="00BA0745" w:rsidRDefault="00000000">
            <w:pPr>
              <w:jc w:val="center"/>
              <w:rPr>
                <w:sz w:val="22"/>
                <w:szCs w:val="22"/>
              </w:rPr>
            </w:pPr>
            <w:r>
              <w:rPr>
                <w:sz w:val="22"/>
                <w:szCs w:val="22"/>
              </w:rPr>
              <w:t>F6</w:t>
            </w:r>
          </w:p>
        </w:tc>
        <w:tc>
          <w:tcPr>
            <w:tcW w:w="1233" w:type="dxa"/>
            <w:vAlign w:val="center"/>
          </w:tcPr>
          <w:p w14:paraId="265D27A0" w14:textId="77777777" w:rsidR="00BA0745" w:rsidRDefault="00000000">
            <w:pPr>
              <w:jc w:val="center"/>
              <w:rPr>
                <w:sz w:val="22"/>
                <w:szCs w:val="22"/>
              </w:rPr>
            </w:pPr>
            <w:r>
              <w:rPr>
                <w:sz w:val="22"/>
                <w:szCs w:val="22"/>
              </w:rPr>
              <w:t>0.475</w:t>
            </w:r>
          </w:p>
        </w:tc>
        <w:tc>
          <w:tcPr>
            <w:tcW w:w="1270" w:type="dxa"/>
            <w:vAlign w:val="center"/>
          </w:tcPr>
          <w:p w14:paraId="5EC5F18D" w14:textId="77777777" w:rsidR="00BA0745" w:rsidRDefault="00000000">
            <w:pPr>
              <w:jc w:val="center"/>
              <w:rPr>
                <w:sz w:val="22"/>
                <w:szCs w:val="22"/>
              </w:rPr>
            </w:pPr>
            <w:r>
              <w:rPr>
                <w:sz w:val="22"/>
                <w:szCs w:val="22"/>
              </w:rPr>
              <w:t>0.251</w:t>
            </w:r>
          </w:p>
        </w:tc>
        <w:tc>
          <w:tcPr>
            <w:tcW w:w="1831" w:type="dxa"/>
            <w:vAlign w:val="center"/>
          </w:tcPr>
          <w:p w14:paraId="6AD0928D" w14:textId="77777777" w:rsidR="00BA0745" w:rsidRDefault="00000000">
            <w:pPr>
              <w:jc w:val="center"/>
              <w:rPr>
                <w:sz w:val="22"/>
                <w:szCs w:val="22"/>
              </w:rPr>
            </w:pPr>
            <w:r>
              <w:rPr>
                <w:sz w:val="22"/>
                <w:szCs w:val="22"/>
              </w:rPr>
              <w:t>Salient primary loading</w:t>
            </w:r>
          </w:p>
        </w:tc>
      </w:tr>
      <w:tr w:rsidR="00BA0745" w14:paraId="1E5B822F" w14:textId="77777777">
        <w:tc>
          <w:tcPr>
            <w:tcW w:w="2297" w:type="dxa"/>
            <w:vAlign w:val="center"/>
          </w:tcPr>
          <w:p w14:paraId="4A751A21" w14:textId="77777777" w:rsidR="00BA0745" w:rsidRDefault="00000000">
            <w:pPr>
              <w:jc w:val="center"/>
              <w:rPr>
                <w:sz w:val="22"/>
                <w:szCs w:val="22"/>
              </w:rPr>
            </w:pPr>
            <w:r>
              <w:rPr>
                <w:sz w:val="22"/>
                <w:szCs w:val="22"/>
              </w:rPr>
              <w:t>Backup storage</w:t>
            </w:r>
          </w:p>
        </w:tc>
        <w:tc>
          <w:tcPr>
            <w:tcW w:w="1591" w:type="dxa"/>
            <w:vAlign w:val="center"/>
          </w:tcPr>
          <w:p w14:paraId="0978404E" w14:textId="77777777" w:rsidR="00BA0745" w:rsidRDefault="00000000">
            <w:pPr>
              <w:jc w:val="center"/>
              <w:rPr>
                <w:sz w:val="22"/>
                <w:szCs w:val="22"/>
              </w:rPr>
            </w:pPr>
            <w:r>
              <w:rPr>
                <w:sz w:val="22"/>
                <w:szCs w:val="22"/>
              </w:rPr>
              <w:t>Reliability</w:t>
            </w:r>
          </w:p>
        </w:tc>
        <w:tc>
          <w:tcPr>
            <w:tcW w:w="1138" w:type="dxa"/>
            <w:vAlign w:val="center"/>
          </w:tcPr>
          <w:p w14:paraId="65479B6B" w14:textId="77777777" w:rsidR="00BA0745" w:rsidRDefault="00000000">
            <w:pPr>
              <w:jc w:val="center"/>
              <w:rPr>
                <w:sz w:val="22"/>
                <w:szCs w:val="22"/>
              </w:rPr>
            </w:pPr>
            <w:r>
              <w:rPr>
                <w:sz w:val="22"/>
                <w:szCs w:val="22"/>
              </w:rPr>
              <w:t>F6</w:t>
            </w:r>
          </w:p>
        </w:tc>
        <w:tc>
          <w:tcPr>
            <w:tcW w:w="1233" w:type="dxa"/>
            <w:vAlign w:val="center"/>
          </w:tcPr>
          <w:p w14:paraId="072242B9" w14:textId="77777777" w:rsidR="00BA0745" w:rsidRDefault="00000000">
            <w:pPr>
              <w:jc w:val="center"/>
              <w:rPr>
                <w:sz w:val="22"/>
                <w:szCs w:val="22"/>
              </w:rPr>
            </w:pPr>
            <w:r>
              <w:rPr>
                <w:sz w:val="22"/>
                <w:szCs w:val="22"/>
              </w:rPr>
              <w:t>0.391</w:t>
            </w:r>
          </w:p>
        </w:tc>
        <w:tc>
          <w:tcPr>
            <w:tcW w:w="1270" w:type="dxa"/>
            <w:vAlign w:val="center"/>
          </w:tcPr>
          <w:p w14:paraId="4866676F" w14:textId="77777777" w:rsidR="00BA0745" w:rsidRDefault="00000000">
            <w:pPr>
              <w:jc w:val="center"/>
              <w:rPr>
                <w:sz w:val="22"/>
                <w:szCs w:val="22"/>
              </w:rPr>
            </w:pPr>
            <w:r>
              <w:rPr>
                <w:sz w:val="22"/>
                <w:szCs w:val="22"/>
              </w:rPr>
              <w:t>0.177</w:t>
            </w:r>
          </w:p>
        </w:tc>
        <w:tc>
          <w:tcPr>
            <w:tcW w:w="1831" w:type="dxa"/>
            <w:vAlign w:val="center"/>
          </w:tcPr>
          <w:p w14:paraId="1B9AD7F5" w14:textId="77777777" w:rsidR="00BA0745" w:rsidRDefault="00000000">
            <w:pPr>
              <w:jc w:val="center"/>
              <w:rPr>
                <w:sz w:val="22"/>
                <w:szCs w:val="22"/>
              </w:rPr>
            </w:pPr>
            <w:r>
              <w:rPr>
                <w:sz w:val="22"/>
                <w:szCs w:val="22"/>
              </w:rPr>
              <w:t>Salient primary loading</w:t>
            </w:r>
          </w:p>
        </w:tc>
      </w:tr>
      <w:tr w:rsidR="00BA0745" w14:paraId="1F715CE2" w14:textId="77777777">
        <w:tc>
          <w:tcPr>
            <w:tcW w:w="2297" w:type="dxa"/>
            <w:vAlign w:val="center"/>
          </w:tcPr>
          <w:p w14:paraId="379E170C" w14:textId="77777777" w:rsidR="00BA0745" w:rsidRDefault="00000000">
            <w:pPr>
              <w:jc w:val="center"/>
              <w:rPr>
                <w:sz w:val="22"/>
                <w:szCs w:val="22"/>
              </w:rPr>
            </w:pPr>
            <w:r>
              <w:rPr>
                <w:sz w:val="22"/>
                <w:szCs w:val="22"/>
              </w:rPr>
              <w:t>Willingness to switch</w:t>
            </w:r>
          </w:p>
        </w:tc>
        <w:tc>
          <w:tcPr>
            <w:tcW w:w="1591" w:type="dxa"/>
            <w:vAlign w:val="center"/>
          </w:tcPr>
          <w:p w14:paraId="46E6F642" w14:textId="77777777" w:rsidR="00BA0745" w:rsidRDefault="00000000">
            <w:pPr>
              <w:jc w:val="center"/>
              <w:rPr>
                <w:sz w:val="22"/>
                <w:szCs w:val="22"/>
              </w:rPr>
            </w:pPr>
            <w:r>
              <w:rPr>
                <w:sz w:val="22"/>
                <w:szCs w:val="22"/>
              </w:rPr>
              <w:t>Acceptability</w:t>
            </w:r>
          </w:p>
        </w:tc>
        <w:tc>
          <w:tcPr>
            <w:tcW w:w="1138" w:type="dxa"/>
            <w:vAlign w:val="center"/>
          </w:tcPr>
          <w:p w14:paraId="25822615" w14:textId="77777777" w:rsidR="00BA0745" w:rsidRDefault="00000000">
            <w:pPr>
              <w:jc w:val="center"/>
              <w:rPr>
                <w:sz w:val="22"/>
                <w:szCs w:val="22"/>
              </w:rPr>
            </w:pPr>
            <w:r>
              <w:rPr>
                <w:sz w:val="22"/>
                <w:szCs w:val="22"/>
              </w:rPr>
              <w:t>F6</w:t>
            </w:r>
          </w:p>
        </w:tc>
        <w:tc>
          <w:tcPr>
            <w:tcW w:w="1233" w:type="dxa"/>
            <w:vAlign w:val="center"/>
          </w:tcPr>
          <w:p w14:paraId="0CFBC0E2" w14:textId="77777777" w:rsidR="00BA0745" w:rsidRDefault="00000000">
            <w:pPr>
              <w:jc w:val="center"/>
              <w:rPr>
                <w:sz w:val="22"/>
                <w:szCs w:val="22"/>
              </w:rPr>
            </w:pPr>
            <w:sdt>
              <w:sdtPr>
                <w:tag w:val="goog_rdk_3"/>
                <w:id w:val="1831585779"/>
              </w:sdtPr>
              <w:sdtContent>
                <w:r>
                  <w:rPr>
                    <w:rFonts w:ascii="Gungsuh" w:eastAsia="Gungsuh" w:hAnsi="Gungsuh" w:cs="Gungsuh"/>
                    <w:sz w:val="22"/>
                    <w:szCs w:val="22"/>
                  </w:rPr>
                  <w:t>−0.312</w:t>
                </w:r>
              </w:sdtContent>
            </w:sdt>
          </w:p>
        </w:tc>
        <w:tc>
          <w:tcPr>
            <w:tcW w:w="1270" w:type="dxa"/>
            <w:vAlign w:val="center"/>
          </w:tcPr>
          <w:p w14:paraId="31235BFE" w14:textId="77777777" w:rsidR="00BA0745" w:rsidRDefault="00000000">
            <w:pPr>
              <w:jc w:val="center"/>
              <w:rPr>
                <w:sz w:val="22"/>
                <w:szCs w:val="22"/>
              </w:rPr>
            </w:pPr>
            <w:r>
              <w:rPr>
                <w:sz w:val="22"/>
                <w:szCs w:val="22"/>
              </w:rPr>
              <w:t>0.169</w:t>
            </w:r>
          </w:p>
        </w:tc>
        <w:tc>
          <w:tcPr>
            <w:tcW w:w="1831" w:type="dxa"/>
            <w:vAlign w:val="center"/>
          </w:tcPr>
          <w:p w14:paraId="348CFA76" w14:textId="77777777" w:rsidR="00BA0745" w:rsidRDefault="00000000">
            <w:pPr>
              <w:jc w:val="center"/>
              <w:rPr>
                <w:sz w:val="22"/>
                <w:szCs w:val="22"/>
              </w:rPr>
            </w:pPr>
            <w:r>
              <w:rPr>
                <w:sz w:val="22"/>
                <w:szCs w:val="22"/>
              </w:rPr>
              <w:t>Salient primary loading</w:t>
            </w:r>
          </w:p>
        </w:tc>
      </w:tr>
      <w:tr w:rsidR="00BA0745" w14:paraId="41811006" w14:textId="77777777">
        <w:tc>
          <w:tcPr>
            <w:tcW w:w="2297" w:type="dxa"/>
            <w:vAlign w:val="center"/>
          </w:tcPr>
          <w:p w14:paraId="5B04FFAD" w14:textId="77777777" w:rsidR="00BA0745" w:rsidRDefault="00000000">
            <w:pPr>
              <w:jc w:val="center"/>
              <w:rPr>
                <w:sz w:val="22"/>
                <w:szCs w:val="22"/>
              </w:rPr>
            </w:pPr>
            <w:r>
              <w:rPr>
                <w:sz w:val="22"/>
                <w:szCs w:val="22"/>
              </w:rPr>
              <w:t>Corporation-water availability</w:t>
            </w:r>
          </w:p>
        </w:tc>
        <w:tc>
          <w:tcPr>
            <w:tcW w:w="1591" w:type="dxa"/>
            <w:vAlign w:val="center"/>
          </w:tcPr>
          <w:p w14:paraId="69D164D0" w14:textId="77777777" w:rsidR="00BA0745" w:rsidRDefault="00000000">
            <w:pPr>
              <w:jc w:val="center"/>
              <w:rPr>
                <w:sz w:val="22"/>
                <w:szCs w:val="22"/>
              </w:rPr>
            </w:pPr>
            <w:r>
              <w:rPr>
                <w:sz w:val="22"/>
                <w:szCs w:val="22"/>
              </w:rPr>
              <w:t>Access</w:t>
            </w:r>
          </w:p>
        </w:tc>
        <w:tc>
          <w:tcPr>
            <w:tcW w:w="1138" w:type="dxa"/>
            <w:vAlign w:val="center"/>
          </w:tcPr>
          <w:p w14:paraId="21157F05" w14:textId="77777777" w:rsidR="00BA0745" w:rsidRDefault="00000000">
            <w:pPr>
              <w:jc w:val="center"/>
              <w:rPr>
                <w:sz w:val="22"/>
                <w:szCs w:val="22"/>
              </w:rPr>
            </w:pPr>
            <w:r>
              <w:rPr>
                <w:sz w:val="22"/>
                <w:szCs w:val="22"/>
              </w:rPr>
              <w:t>F6</w:t>
            </w:r>
          </w:p>
        </w:tc>
        <w:tc>
          <w:tcPr>
            <w:tcW w:w="1233" w:type="dxa"/>
            <w:vAlign w:val="center"/>
          </w:tcPr>
          <w:p w14:paraId="50B6952B" w14:textId="77777777" w:rsidR="00BA0745" w:rsidRDefault="00000000">
            <w:pPr>
              <w:jc w:val="center"/>
              <w:rPr>
                <w:sz w:val="22"/>
                <w:szCs w:val="22"/>
              </w:rPr>
            </w:pPr>
            <w:r>
              <w:rPr>
                <w:sz w:val="22"/>
                <w:szCs w:val="22"/>
              </w:rPr>
              <w:t>0.290</w:t>
            </w:r>
          </w:p>
        </w:tc>
        <w:tc>
          <w:tcPr>
            <w:tcW w:w="1270" w:type="dxa"/>
            <w:vAlign w:val="center"/>
          </w:tcPr>
          <w:p w14:paraId="07856EDD" w14:textId="77777777" w:rsidR="00BA0745" w:rsidRDefault="00000000">
            <w:pPr>
              <w:jc w:val="center"/>
              <w:rPr>
                <w:sz w:val="22"/>
                <w:szCs w:val="22"/>
              </w:rPr>
            </w:pPr>
            <w:r>
              <w:rPr>
                <w:sz w:val="22"/>
                <w:szCs w:val="22"/>
              </w:rPr>
              <w:t>0.127</w:t>
            </w:r>
          </w:p>
        </w:tc>
        <w:tc>
          <w:tcPr>
            <w:tcW w:w="1831" w:type="dxa"/>
            <w:vAlign w:val="center"/>
          </w:tcPr>
          <w:p w14:paraId="24FAB867" w14:textId="77777777" w:rsidR="00BA0745" w:rsidRDefault="00000000">
            <w:pPr>
              <w:jc w:val="center"/>
              <w:rPr>
                <w:sz w:val="22"/>
                <w:szCs w:val="22"/>
              </w:rPr>
            </w:pPr>
            <w:r>
              <w:rPr>
                <w:sz w:val="22"/>
                <w:szCs w:val="22"/>
              </w:rPr>
              <w:t>No salient loading</w:t>
            </w:r>
          </w:p>
        </w:tc>
      </w:tr>
      <w:tr w:rsidR="00BA0745" w14:paraId="55B5E981" w14:textId="77777777">
        <w:tc>
          <w:tcPr>
            <w:tcW w:w="2297" w:type="dxa"/>
            <w:vAlign w:val="center"/>
          </w:tcPr>
          <w:p w14:paraId="0F509066" w14:textId="77777777" w:rsidR="00BA0745" w:rsidRDefault="00000000">
            <w:pPr>
              <w:jc w:val="center"/>
              <w:rPr>
                <w:sz w:val="22"/>
                <w:szCs w:val="22"/>
              </w:rPr>
            </w:pPr>
            <w:r>
              <w:rPr>
                <w:sz w:val="22"/>
                <w:szCs w:val="22"/>
              </w:rPr>
              <w:t>Supply frequency</w:t>
            </w:r>
          </w:p>
        </w:tc>
        <w:tc>
          <w:tcPr>
            <w:tcW w:w="1591" w:type="dxa"/>
            <w:vAlign w:val="center"/>
          </w:tcPr>
          <w:p w14:paraId="20C040D8" w14:textId="77777777" w:rsidR="00BA0745" w:rsidRDefault="00000000">
            <w:pPr>
              <w:jc w:val="center"/>
              <w:rPr>
                <w:sz w:val="22"/>
                <w:szCs w:val="22"/>
              </w:rPr>
            </w:pPr>
            <w:r>
              <w:rPr>
                <w:sz w:val="22"/>
                <w:szCs w:val="22"/>
              </w:rPr>
              <w:t>Access</w:t>
            </w:r>
          </w:p>
        </w:tc>
        <w:tc>
          <w:tcPr>
            <w:tcW w:w="1138" w:type="dxa"/>
            <w:vAlign w:val="center"/>
          </w:tcPr>
          <w:p w14:paraId="0A846342" w14:textId="77777777" w:rsidR="00BA0745" w:rsidRDefault="00000000">
            <w:pPr>
              <w:jc w:val="center"/>
              <w:rPr>
                <w:sz w:val="22"/>
                <w:szCs w:val="22"/>
              </w:rPr>
            </w:pPr>
            <w:r>
              <w:rPr>
                <w:sz w:val="22"/>
                <w:szCs w:val="22"/>
              </w:rPr>
              <w:t>F6</w:t>
            </w:r>
          </w:p>
        </w:tc>
        <w:tc>
          <w:tcPr>
            <w:tcW w:w="1233" w:type="dxa"/>
            <w:vAlign w:val="center"/>
          </w:tcPr>
          <w:p w14:paraId="13E084B7" w14:textId="77777777" w:rsidR="00BA0745" w:rsidRDefault="00000000">
            <w:pPr>
              <w:jc w:val="center"/>
              <w:rPr>
                <w:sz w:val="22"/>
                <w:szCs w:val="22"/>
              </w:rPr>
            </w:pPr>
            <w:r>
              <w:rPr>
                <w:sz w:val="22"/>
                <w:szCs w:val="22"/>
              </w:rPr>
              <w:t>0.290</w:t>
            </w:r>
          </w:p>
        </w:tc>
        <w:tc>
          <w:tcPr>
            <w:tcW w:w="1270" w:type="dxa"/>
            <w:vAlign w:val="center"/>
          </w:tcPr>
          <w:p w14:paraId="27501AA0" w14:textId="77777777" w:rsidR="00BA0745" w:rsidRDefault="00000000">
            <w:pPr>
              <w:jc w:val="center"/>
              <w:rPr>
                <w:sz w:val="22"/>
                <w:szCs w:val="22"/>
              </w:rPr>
            </w:pPr>
            <w:r>
              <w:rPr>
                <w:sz w:val="22"/>
                <w:szCs w:val="22"/>
              </w:rPr>
              <w:t>0.121</w:t>
            </w:r>
          </w:p>
        </w:tc>
        <w:tc>
          <w:tcPr>
            <w:tcW w:w="1831" w:type="dxa"/>
            <w:vAlign w:val="center"/>
          </w:tcPr>
          <w:p w14:paraId="471A442A" w14:textId="77777777" w:rsidR="00BA0745" w:rsidRDefault="00000000">
            <w:pPr>
              <w:jc w:val="center"/>
              <w:rPr>
                <w:sz w:val="22"/>
                <w:szCs w:val="22"/>
              </w:rPr>
            </w:pPr>
            <w:r>
              <w:rPr>
                <w:sz w:val="22"/>
                <w:szCs w:val="22"/>
              </w:rPr>
              <w:t>No salient loading</w:t>
            </w:r>
          </w:p>
        </w:tc>
      </w:tr>
      <w:tr w:rsidR="00BA0745" w14:paraId="473519EA" w14:textId="77777777">
        <w:tc>
          <w:tcPr>
            <w:tcW w:w="2297" w:type="dxa"/>
            <w:tcBorders>
              <w:bottom w:val="single" w:sz="4" w:space="0" w:color="000000"/>
            </w:tcBorders>
            <w:vAlign w:val="center"/>
          </w:tcPr>
          <w:p w14:paraId="3ECBE96F" w14:textId="77777777" w:rsidR="00BA0745" w:rsidRDefault="00000000">
            <w:pPr>
              <w:jc w:val="center"/>
              <w:rPr>
                <w:sz w:val="22"/>
                <w:szCs w:val="22"/>
              </w:rPr>
            </w:pPr>
            <w:r>
              <w:rPr>
                <w:sz w:val="22"/>
                <w:szCs w:val="22"/>
              </w:rPr>
              <w:t>Affordability during disruption</w:t>
            </w:r>
          </w:p>
        </w:tc>
        <w:tc>
          <w:tcPr>
            <w:tcW w:w="1591" w:type="dxa"/>
            <w:tcBorders>
              <w:bottom w:val="single" w:sz="4" w:space="0" w:color="000000"/>
            </w:tcBorders>
            <w:vAlign w:val="center"/>
          </w:tcPr>
          <w:p w14:paraId="2FC70C8F" w14:textId="77777777" w:rsidR="00BA0745" w:rsidRDefault="00000000">
            <w:pPr>
              <w:jc w:val="center"/>
              <w:rPr>
                <w:sz w:val="22"/>
                <w:szCs w:val="22"/>
              </w:rPr>
            </w:pPr>
            <w:r>
              <w:rPr>
                <w:sz w:val="22"/>
                <w:szCs w:val="22"/>
              </w:rPr>
              <w:t>Affordability</w:t>
            </w:r>
          </w:p>
        </w:tc>
        <w:tc>
          <w:tcPr>
            <w:tcW w:w="1138" w:type="dxa"/>
            <w:tcBorders>
              <w:bottom w:val="single" w:sz="4" w:space="0" w:color="000000"/>
            </w:tcBorders>
            <w:vAlign w:val="center"/>
          </w:tcPr>
          <w:p w14:paraId="02399D80" w14:textId="77777777" w:rsidR="00BA0745" w:rsidRDefault="00000000">
            <w:pPr>
              <w:jc w:val="center"/>
              <w:rPr>
                <w:sz w:val="22"/>
                <w:szCs w:val="22"/>
              </w:rPr>
            </w:pPr>
            <w:r>
              <w:rPr>
                <w:sz w:val="22"/>
                <w:szCs w:val="22"/>
              </w:rPr>
              <w:t>F6</w:t>
            </w:r>
          </w:p>
        </w:tc>
        <w:tc>
          <w:tcPr>
            <w:tcW w:w="1233" w:type="dxa"/>
            <w:tcBorders>
              <w:bottom w:val="single" w:sz="4" w:space="0" w:color="000000"/>
            </w:tcBorders>
            <w:vAlign w:val="center"/>
          </w:tcPr>
          <w:p w14:paraId="775BD8EA" w14:textId="77777777" w:rsidR="00BA0745" w:rsidRDefault="00000000">
            <w:pPr>
              <w:jc w:val="center"/>
              <w:rPr>
                <w:sz w:val="22"/>
                <w:szCs w:val="22"/>
              </w:rPr>
            </w:pPr>
            <w:sdt>
              <w:sdtPr>
                <w:tag w:val="goog_rdk_4"/>
                <w:id w:val="1333113172"/>
              </w:sdtPr>
              <w:sdtContent>
                <w:r>
                  <w:rPr>
                    <w:rFonts w:ascii="Gungsuh" w:eastAsia="Gungsuh" w:hAnsi="Gungsuh" w:cs="Gungsuh"/>
                    <w:sz w:val="22"/>
                    <w:szCs w:val="22"/>
                  </w:rPr>
                  <w:t>−0.258</w:t>
                </w:r>
              </w:sdtContent>
            </w:sdt>
          </w:p>
        </w:tc>
        <w:tc>
          <w:tcPr>
            <w:tcW w:w="1270" w:type="dxa"/>
            <w:tcBorders>
              <w:bottom w:val="single" w:sz="4" w:space="0" w:color="000000"/>
            </w:tcBorders>
            <w:vAlign w:val="center"/>
          </w:tcPr>
          <w:p w14:paraId="199D89AA" w14:textId="77777777" w:rsidR="00BA0745" w:rsidRDefault="00000000">
            <w:pPr>
              <w:jc w:val="center"/>
              <w:rPr>
                <w:sz w:val="22"/>
                <w:szCs w:val="22"/>
              </w:rPr>
            </w:pPr>
            <w:r>
              <w:rPr>
                <w:sz w:val="22"/>
                <w:szCs w:val="22"/>
              </w:rPr>
              <w:t>0.145</w:t>
            </w:r>
          </w:p>
        </w:tc>
        <w:tc>
          <w:tcPr>
            <w:tcW w:w="1831" w:type="dxa"/>
            <w:tcBorders>
              <w:bottom w:val="single" w:sz="4" w:space="0" w:color="000000"/>
            </w:tcBorders>
            <w:vAlign w:val="center"/>
          </w:tcPr>
          <w:p w14:paraId="4BB70484" w14:textId="77777777" w:rsidR="00BA0745" w:rsidRDefault="00000000">
            <w:pPr>
              <w:jc w:val="center"/>
              <w:rPr>
                <w:sz w:val="22"/>
                <w:szCs w:val="22"/>
              </w:rPr>
            </w:pPr>
            <w:r>
              <w:rPr>
                <w:sz w:val="22"/>
                <w:szCs w:val="22"/>
              </w:rPr>
              <w:t>No salient loading</w:t>
            </w:r>
          </w:p>
        </w:tc>
      </w:tr>
    </w:tbl>
    <w:p w14:paraId="5B2FF74E" w14:textId="77777777" w:rsidR="00BA0745" w:rsidRDefault="00000000">
      <w:pPr>
        <w:spacing w:before="120" w:after="120"/>
        <w:jc w:val="both"/>
        <w:rPr>
          <w:b/>
          <w:bCs/>
          <w:sz w:val="22"/>
          <w:szCs w:val="22"/>
        </w:rPr>
      </w:pPr>
      <w:r>
        <w:rPr>
          <w:b/>
          <w:bCs/>
          <w:sz w:val="22"/>
          <w:szCs w:val="22"/>
        </w:rPr>
        <w:t>S1.4. Priority weighting implementation audit</w:t>
      </w:r>
    </w:p>
    <w:p w14:paraId="5A2F483F" w14:textId="77777777" w:rsidR="00BA0745" w:rsidRDefault="00000000">
      <w:pPr>
        <w:spacing w:before="120" w:after="120"/>
        <w:jc w:val="both"/>
        <w:rPr>
          <w:sz w:val="22"/>
          <w:szCs w:val="22"/>
        </w:rPr>
      </w:pPr>
      <w:r>
        <w:rPr>
          <w:sz w:val="22"/>
          <w:szCs w:val="22"/>
        </w:rPr>
        <w:lastRenderedPageBreak/>
        <w:t>Respondent-priority variables measured the importance assigned to service domains on a 0–10 scale. These variables were used to construct population-priority and individual-priority WSQS sensitivity outcomes and were also used as stated-priority predictors in the final M3 model. They were not embedded in the primary equal-weight WSQS outcome.</w:t>
      </w:r>
    </w:p>
    <w:p w14:paraId="62F37BB7" w14:textId="77777777" w:rsidR="00BA0745" w:rsidRDefault="00000000">
      <w:pPr>
        <w:spacing w:before="120" w:after="120"/>
        <w:jc w:val="both"/>
        <w:rPr>
          <w:sz w:val="22"/>
          <w:szCs w:val="22"/>
        </w:rPr>
      </w:pPr>
      <w:r>
        <w:rPr>
          <w:sz w:val="22"/>
          <w:szCs w:val="22"/>
        </w:rPr>
        <w:t>Table 2 (main article) reports the population-priority weights and domain-level priority summaries. The key audit point is that equal-weight WSQS was the primary modeled outcome, while population-priority and individual-priority WSQS were retained only as sensitivity outcomes.</w:t>
      </w:r>
    </w:p>
    <w:p w14:paraId="31DE0BB9" w14:textId="77777777" w:rsidR="00BA0745" w:rsidRDefault="00000000">
      <w:pPr>
        <w:spacing w:before="120" w:after="120"/>
        <w:jc w:val="both"/>
        <w:rPr>
          <w:b/>
          <w:bCs/>
          <w:sz w:val="22"/>
          <w:szCs w:val="22"/>
        </w:rPr>
      </w:pPr>
      <w:r>
        <w:rPr>
          <w:b/>
          <w:bCs/>
          <w:sz w:val="22"/>
          <w:szCs w:val="22"/>
        </w:rPr>
        <w:t>S1.5. Supporting figures for WSQS construction and scale interpretation</w:t>
      </w:r>
    </w:p>
    <w:p w14:paraId="2E7495CB" w14:textId="77777777" w:rsidR="00BA0745" w:rsidRDefault="00000000">
      <w:pPr>
        <w:spacing w:before="120" w:after="120"/>
        <w:jc w:val="both"/>
        <w:rPr>
          <w:sz w:val="22"/>
          <w:szCs w:val="22"/>
        </w:rPr>
      </w:pPr>
      <w:r>
        <w:rPr>
          <w:b/>
          <w:bCs/>
          <w:sz w:val="22"/>
          <w:szCs w:val="22"/>
        </w:rPr>
        <w:t xml:space="preserve">Supplementary Figure S2. </w:t>
      </w:r>
      <w:r>
        <w:rPr>
          <w:sz w:val="22"/>
          <w:szCs w:val="22"/>
        </w:rPr>
        <w:t>Agreement between WSQS weighting schemes.</w:t>
      </w:r>
    </w:p>
    <w:p w14:paraId="49A36191" w14:textId="77777777" w:rsidR="00BA0745" w:rsidRDefault="00000000">
      <w:pPr>
        <w:spacing w:before="120" w:after="120"/>
        <w:jc w:val="center"/>
        <w:rPr>
          <w:sz w:val="22"/>
          <w:szCs w:val="22"/>
        </w:rPr>
      </w:pPr>
      <w:r>
        <w:rPr>
          <w:noProof/>
          <w:sz w:val="22"/>
          <w:szCs w:val="22"/>
        </w:rPr>
        <w:drawing>
          <wp:inline distT="0" distB="0" distL="0" distR="0" wp14:anchorId="5BD3077D" wp14:editId="49D3396D">
            <wp:extent cx="5943600" cy="4902835"/>
            <wp:effectExtent l="0" t="0" r="0" b="0"/>
            <wp:docPr id="173559666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
                    <a:srcRect/>
                    <a:stretch>
                      <a:fillRect/>
                    </a:stretch>
                  </pic:blipFill>
                  <pic:spPr>
                    <a:xfrm>
                      <a:off x="0" y="0"/>
                      <a:ext cx="5943600" cy="4902835"/>
                    </a:xfrm>
                    <a:prstGeom prst="rect">
                      <a:avLst/>
                    </a:prstGeom>
                    <a:ln/>
                  </pic:spPr>
                </pic:pic>
              </a:graphicData>
            </a:graphic>
          </wp:inline>
        </w:drawing>
      </w:r>
    </w:p>
    <w:p w14:paraId="1BE2C2D5" w14:textId="77777777" w:rsidR="00BA0745" w:rsidRDefault="00000000">
      <w:pPr>
        <w:spacing w:before="120" w:after="120"/>
        <w:jc w:val="both"/>
        <w:rPr>
          <w:sz w:val="22"/>
          <w:szCs w:val="22"/>
        </w:rPr>
      </w:pPr>
      <w:r>
        <w:rPr>
          <w:sz w:val="22"/>
          <w:szCs w:val="22"/>
        </w:rPr>
        <w:t>This figure compares household-level differences between population-priority and individual-priority WSQS relative to the equal-weight WSQS baseline. It supports the robustness of the WSQS framework by showing that priority weighting shifts some household-level scores without destabilizing the aggregate metric.</w:t>
      </w:r>
    </w:p>
    <w:p w14:paraId="65591FF9" w14:textId="77777777" w:rsidR="00BA0745" w:rsidRDefault="00000000">
      <w:pPr>
        <w:spacing w:before="120" w:after="120"/>
        <w:jc w:val="both"/>
        <w:rPr>
          <w:sz w:val="22"/>
          <w:szCs w:val="22"/>
        </w:rPr>
      </w:pPr>
      <w:r>
        <w:rPr>
          <w:b/>
          <w:bCs/>
          <w:sz w:val="22"/>
          <w:szCs w:val="22"/>
        </w:rPr>
        <w:t xml:space="preserve">Supplementary Figure S3. </w:t>
      </w:r>
      <w:r>
        <w:rPr>
          <w:sz w:val="22"/>
          <w:szCs w:val="22"/>
        </w:rPr>
        <w:t>Transformation from raw WSQS severity to 0–100 reporting scale.</w:t>
      </w:r>
    </w:p>
    <w:p w14:paraId="272C6EF2" w14:textId="77777777" w:rsidR="00BA0745" w:rsidRDefault="00000000">
      <w:pPr>
        <w:spacing w:before="120" w:after="120"/>
        <w:jc w:val="center"/>
        <w:rPr>
          <w:sz w:val="22"/>
          <w:szCs w:val="22"/>
        </w:rPr>
      </w:pPr>
      <w:r>
        <w:rPr>
          <w:noProof/>
          <w:sz w:val="22"/>
          <w:szCs w:val="22"/>
        </w:rPr>
        <w:lastRenderedPageBreak/>
        <w:drawing>
          <wp:inline distT="0" distB="0" distL="0" distR="0" wp14:anchorId="474EDD78" wp14:editId="37931A63">
            <wp:extent cx="3822700" cy="2819400"/>
            <wp:effectExtent l="0" t="0" r="0" b="0"/>
            <wp:docPr id="173559666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822700" cy="2819400"/>
                    </a:xfrm>
                    <a:prstGeom prst="rect">
                      <a:avLst/>
                    </a:prstGeom>
                    <a:ln/>
                  </pic:spPr>
                </pic:pic>
              </a:graphicData>
            </a:graphic>
          </wp:inline>
        </w:drawing>
      </w:r>
    </w:p>
    <w:p w14:paraId="6EA90B6F" w14:textId="77777777" w:rsidR="00BA0745" w:rsidRDefault="00000000">
      <w:pPr>
        <w:spacing w:before="120" w:after="120"/>
        <w:jc w:val="both"/>
        <w:rPr>
          <w:sz w:val="22"/>
          <w:szCs w:val="22"/>
        </w:rPr>
      </w:pPr>
      <w:r>
        <w:rPr>
          <w:sz w:val="22"/>
          <w:szCs w:val="22"/>
        </w:rPr>
        <w:t>This figure shows the relationship between the raw WSQS modeling scale and the 0–100 reporting scale. The raw scale is severity-oriented, with lower values indicating better service quality and higher values indicating worse service quality. The reporting scale reverses this direction so that higher values indicate better service quality.</w:t>
      </w:r>
    </w:p>
    <w:p w14:paraId="66289323" w14:textId="77777777" w:rsidR="00BA0745" w:rsidRDefault="00000000">
      <w:pPr>
        <w:spacing w:before="120" w:after="120"/>
        <w:jc w:val="both"/>
        <w:rPr>
          <w:b/>
          <w:bCs/>
          <w:sz w:val="22"/>
          <w:szCs w:val="22"/>
        </w:rPr>
      </w:pPr>
      <w:r>
        <w:rPr>
          <w:b/>
          <w:bCs/>
          <w:sz w:val="22"/>
          <w:szCs w:val="22"/>
        </w:rPr>
        <w:t>S2. Predictor groups, model design, and robustness</w:t>
      </w:r>
    </w:p>
    <w:p w14:paraId="3DA1A29F" w14:textId="77777777" w:rsidR="00BA0745" w:rsidRDefault="00000000">
      <w:pPr>
        <w:spacing w:before="120" w:after="120"/>
        <w:jc w:val="both"/>
        <w:rPr>
          <w:b/>
          <w:bCs/>
          <w:sz w:val="22"/>
          <w:szCs w:val="22"/>
        </w:rPr>
      </w:pPr>
      <w:r>
        <w:rPr>
          <w:b/>
          <w:bCs/>
          <w:sz w:val="22"/>
          <w:szCs w:val="22"/>
        </w:rPr>
        <w:t>S2.1. Predictor groups and model inclusion</w:t>
      </w:r>
    </w:p>
    <w:p w14:paraId="7CE87FBB" w14:textId="77777777" w:rsidR="00BA0745" w:rsidRDefault="00000000">
      <w:pPr>
        <w:spacing w:before="120" w:after="120"/>
        <w:jc w:val="both"/>
        <w:rPr>
          <w:sz w:val="22"/>
          <w:szCs w:val="22"/>
        </w:rPr>
      </w:pPr>
      <w:r>
        <w:rPr>
          <w:sz w:val="22"/>
          <w:szCs w:val="22"/>
        </w:rPr>
        <w:t>Predictors were grouped into three categories: diagnostic service-support variables, household-context variables, and respondent-priority variables. Service-support variables represented operational and institutional conditions associated with household water-service experience. Household-context variables represented source/regime, socioeconomic, dwelling, and household-composition characteristics. Respondent-priority variables captured the importance households assigned to service-quality domains.</w:t>
      </w:r>
    </w:p>
    <w:p w14:paraId="7E791E31" w14:textId="77777777" w:rsidR="00BA0745" w:rsidRDefault="00000000">
      <w:pPr>
        <w:spacing w:before="120" w:after="120"/>
        <w:jc w:val="both"/>
        <w:rPr>
          <w:sz w:val="22"/>
          <w:szCs w:val="22"/>
        </w:rPr>
      </w:pPr>
      <w:r>
        <w:rPr>
          <w:sz w:val="22"/>
          <w:szCs w:val="22"/>
        </w:rPr>
        <w:t>The final predictor architecture contained 25 service-support predictors, 4 main household-context predictors, and 8 stated-priority predictors. Direct CORE-8 WSQS construction items were excluded from the predictor set.</w:t>
      </w:r>
    </w:p>
    <w:p w14:paraId="07884859" w14:textId="77777777" w:rsidR="00BA0745" w:rsidRDefault="00000000">
      <w:pPr>
        <w:spacing w:before="120" w:after="120"/>
        <w:jc w:val="both"/>
        <w:rPr>
          <w:sz w:val="22"/>
          <w:szCs w:val="22"/>
        </w:rPr>
      </w:pPr>
      <w:r>
        <w:rPr>
          <w:b/>
          <w:bCs/>
          <w:sz w:val="22"/>
          <w:szCs w:val="22"/>
        </w:rPr>
        <w:t xml:space="preserve">Supplementary Table S6. </w:t>
      </w:r>
      <w:r>
        <w:rPr>
          <w:sz w:val="22"/>
          <w:szCs w:val="22"/>
        </w:rPr>
        <w:t>Predictor groups and model inclusion.</w:t>
      </w:r>
    </w:p>
    <w:tbl>
      <w:tblPr>
        <w:tblStyle w:val="af5"/>
        <w:tblW w:w="9358" w:type="dxa"/>
        <w:tblLayout w:type="fixed"/>
        <w:tblLook w:val="0400" w:firstRow="0" w:lastRow="0" w:firstColumn="0" w:lastColumn="0" w:noHBand="0" w:noVBand="1"/>
      </w:tblPr>
      <w:tblGrid>
        <w:gridCol w:w="1304"/>
        <w:gridCol w:w="3670"/>
        <w:gridCol w:w="403"/>
        <w:gridCol w:w="1038"/>
        <w:gridCol w:w="1038"/>
        <w:gridCol w:w="1905"/>
      </w:tblGrid>
      <w:tr w:rsidR="00BA0745" w14:paraId="1E478A08" w14:textId="77777777">
        <w:tc>
          <w:tcPr>
            <w:tcW w:w="1305" w:type="dxa"/>
            <w:tcBorders>
              <w:top w:val="single" w:sz="4" w:space="0" w:color="000000"/>
              <w:bottom w:val="single" w:sz="4" w:space="0" w:color="000000"/>
            </w:tcBorders>
            <w:vAlign w:val="center"/>
          </w:tcPr>
          <w:p w14:paraId="124C2C44" w14:textId="77777777" w:rsidR="00BA0745" w:rsidRDefault="00000000">
            <w:pPr>
              <w:spacing w:before="120" w:after="120"/>
              <w:jc w:val="center"/>
              <w:rPr>
                <w:sz w:val="22"/>
                <w:szCs w:val="22"/>
              </w:rPr>
            </w:pPr>
            <w:r>
              <w:rPr>
                <w:sz w:val="22"/>
                <w:szCs w:val="22"/>
              </w:rPr>
              <w:t>Predictor group</w:t>
            </w:r>
          </w:p>
        </w:tc>
        <w:tc>
          <w:tcPr>
            <w:tcW w:w="3670" w:type="dxa"/>
            <w:tcBorders>
              <w:top w:val="single" w:sz="4" w:space="0" w:color="000000"/>
              <w:bottom w:val="single" w:sz="4" w:space="0" w:color="000000"/>
            </w:tcBorders>
            <w:vAlign w:val="center"/>
          </w:tcPr>
          <w:p w14:paraId="0F4AED72" w14:textId="77777777" w:rsidR="00BA0745" w:rsidRDefault="00000000">
            <w:pPr>
              <w:spacing w:before="120" w:after="120"/>
              <w:jc w:val="center"/>
              <w:rPr>
                <w:sz w:val="22"/>
                <w:szCs w:val="22"/>
              </w:rPr>
            </w:pPr>
            <w:r>
              <w:rPr>
                <w:sz w:val="22"/>
                <w:szCs w:val="22"/>
              </w:rPr>
              <w:t>Constructs included</w:t>
            </w:r>
          </w:p>
        </w:tc>
        <w:tc>
          <w:tcPr>
            <w:tcW w:w="403" w:type="dxa"/>
            <w:tcBorders>
              <w:top w:val="single" w:sz="4" w:space="0" w:color="000000"/>
              <w:bottom w:val="single" w:sz="4" w:space="0" w:color="000000"/>
            </w:tcBorders>
            <w:vAlign w:val="center"/>
          </w:tcPr>
          <w:p w14:paraId="4883DF7E" w14:textId="77777777" w:rsidR="00BA0745" w:rsidRDefault="00000000">
            <w:pPr>
              <w:spacing w:before="120" w:after="120"/>
              <w:jc w:val="center"/>
              <w:rPr>
                <w:sz w:val="22"/>
                <w:szCs w:val="22"/>
              </w:rPr>
            </w:pPr>
            <w:r>
              <w:rPr>
                <w:sz w:val="22"/>
                <w:szCs w:val="22"/>
              </w:rPr>
              <w:t>M1</w:t>
            </w:r>
          </w:p>
        </w:tc>
        <w:tc>
          <w:tcPr>
            <w:tcW w:w="1038" w:type="dxa"/>
            <w:tcBorders>
              <w:top w:val="single" w:sz="4" w:space="0" w:color="000000"/>
              <w:bottom w:val="single" w:sz="4" w:space="0" w:color="000000"/>
            </w:tcBorders>
            <w:vAlign w:val="center"/>
          </w:tcPr>
          <w:p w14:paraId="0621BDA4" w14:textId="77777777" w:rsidR="00BA0745" w:rsidRDefault="00000000">
            <w:pPr>
              <w:spacing w:before="120" w:after="120"/>
              <w:jc w:val="center"/>
              <w:rPr>
                <w:sz w:val="22"/>
                <w:szCs w:val="22"/>
              </w:rPr>
            </w:pPr>
            <w:r>
              <w:rPr>
                <w:sz w:val="22"/>
                <w:szCs w:val="22"/>
              </w:rPr>
              <w:t>M2</w:t>
            </w:r>
          </w:p>
        </w:tc>
        <w:tc>
          <w:tcPr>
            <w:tcW w:w="1038" w:type="dxa"/>
            <w:tcBorders>
              <w:top w:val="single" w:sz="4" w:space="0" w:color="000000"/>
              <w:bottom w:val="single" w:sz="4" w:space="0" w:color="000000"/>
            </w:tcBorders>
            <w:vAlign w:val="center"/>
          </w:tcPr>
          <w:p w14:paraId="57750063" w14:textId="77777777" w:rsidR="00BA0745" w:rsidRDefault="00000000">
            <w:pPr>
              <w:spacing w:before="120" w:after="120"/>
              <w:jc w:val="center"/>
              <w:rPr>
                <w:sz w:val="22"/>
                <w:szCs w:val="22"/>
              </w:rPr>
            </w:pPr>
            <w:r>
              <w:rPr>
                <w:sz w:val="22"/>
                <w:szCs w:val="22"/>
              </w:rPr>
              <w:t>M3</w:t>
            </w:r>
          </w:p>
        </w:tc>
        <w:tc>
          <w:tcPr>
            <w:tcW w:w="1905" w:type="dxa"/>
            <w:tcBorders>
              <w:top w:val="single" w:sz="4" w:space="0" w:color="000000"/>
              <w:bottom w:val="single" w:sz="4" w:space="0" w:color="000000"/>
            </w:tcBorders>
            <w:vAlign w:val="center"/>
          </w:tcPr>
          <w:p w14:paraId="3E9CBE91" w14:textId="77777777" w:rsidR="00BA0745" w:rsidRDefault="00000000">
            <w:pPr>
              <w:spacing w:before="120" w:after="120"/>
              <w:jc w:val="center"/>
              <w:rPr>
                <w:sz w:val="22"/>
                <w:szCs w:val="22"/>
              </w:rPr>
            </w:pPr>
            <w:r>
              <w:rPr>
                <w:sz w:val="22"/>
                <w:szCs w:val="22"/>
              </w:rPr>
              <w:t>Analysis use-case</w:t>
            </w:r>
          </w:p>
        </w:tc>
      </w:tr>
      <w:tr w:rsidR="00BA0745" w14:paraId="5305FB26" w14:textId="77777777">
        <w:tc>
          <w:tcPr>
            <w:tcW w:w="1305" w:type="dxa"/>
            <w:vAlign w:val="center"/>
          </w:tcPr>
          <w:p w14:paraId="39872814" w14:textId="77777777" w:rsidR="00BA0745" w:rsidRDefault="00000000">
            <w:pPr>
              <w:spacing w:before="120" w:after="120"/>
              <w:jc w:val="center"/>
              <w:rPr>
                <w:sz w:val="22"/>
                <w:szCs w:val="22"/>
              </w:rPr>
            </w:pPr>
            <w:r>
              <w:rPr>
                <w:sz w:val="22"/>
                <w:szCs w:val="22"/>
              </w:rPr>
              <w:t>Service-support</w:t>
            </w:r>
          </w:p>
        </w:tc>
        <w:tc>
          <w:tcPr>
            <w:tcW w:w="3670" w:type="dxa"/>
            <w:vAlign w:val="center"/>
          </w:tcPr>
          <w:p w14:paraId="11195292" w14:textId="77777777" w:rsidR="00BA0745" w:rsidRDefault="00000000">
            <w:pPr>
              <w:spacing w:before="120" w:after="120"/>
              <w:jc w:val="center"/>
              <w:rPr>
                <w:sz w:val="22"/>
                <w:szCs w:val="22"/>
              </w:rPr>
            </w:pPr>
            <w:r>
              <w:rPr>
                <w:sz w:val="22"/>
                <w:szCs w:val="22"/>
              </w:rPr>
              <w:t>Cost, value for money, affordability disruption, access burden, waiting time, municipal availability, supply schedule, pressure, disruption notice, backup, seasonal variation, maintenance, appearance, taste, odor, clarity, quality change, volume, shortage, seasonal quantity, complaint resolution, provider contact, and infrastructure awareness</w:t>
            </w:r>
          </w:p>
        </w:tc>
        <w:tc>
          <w:tcPr>
            <w:tcW w:w="403" w:type="dxa"/>
            <w:vAlign w:val="center"/>
          </w:tcPr>
          <w:p w14:paraId="13817393" w14:textId="77777777" w:rsidR="00BA0745" w:rsidRDefault="00000000">
            <w:pPr>
              <w:spacing w:before="120" w:after="120"/>
              <w:jc w:val="center"/>
              <w:rPr>
                <w:sz w:val="22"/>
                <w:szCs w:val="22"/>
              </w:rPr>
            </w:pPr>
            <w:r>
              <w:rPr>
                <w:sz w:val="22"/>
                <w:szCs w:val="22"/>
              </w:rPr>
              <w:t>Yes</w:t>
            </w:r>
          </w:p>
        </w:tc>
        <w:tc>
          <w:tcPr>
            <w:tcW w:w="1038" w:type="dxa"/>
            <w:vAlign w:val="center"/>
          </w:tcPr>
          <w:p w14:paraId="683B7B48" w14:textId="77777777" w:rsidR="00BA0745" w:rsidRDefault="00000000">
            <w:pPr>
              <w:spacing w:before="120" w:after="120"/>
              <w:jc w:val="center"/>
              <w:rPr>
                <w:sz w:val="22"/>
                <w:szCs w:val="22"/>
              </w:rPr>
            </w:pPr>
            <w:r>
              <w:rPr>
                <w:sz w:val="22"/>
                <w:szCs w:val="22"/>
              </w:rPr>
              <w:t>Yes</w:t>
            </w:r>
          </w:p>
        </w:tc>
        <w:tc>
          <w:tcPr>
            <w:tcW w:w="1038" w:type="dxa"/>
            <w:vAlign w:val="center"/>
          </w:tcPr>
          <w:p w14:paraId="4CF571CA" w14:textId="77777777" w:rsidR="00BA0745" w:rsidRDefault="00000000">
            <w:pPr>
              <w:spacing w:before="120" w:after="120"/>
              <w:jc w:val="center"/>
              <w:rPr>
                <w:sz w:val="22"/>
                <w:szCs w:val="22"/>
              </w:rPr>
            </w:pPr>
            <w:r>
              <w:rPr>
                <w:sz w:val="22"/>
                <w:szCs w:val="22"/>
              </w:rPr>
              <w:t>Yes</w:t>
            </w:r>
          </w:p>
        </w:tc>
        <w:tc>
          <w:tcPr>
            <w:tcW w:w="1905" w:type="dxa"/>
            <w:vAlign w:val="center"/>
          </w:tcPr>
          <w:p w14:paraId="7F1B3D27" w14:textId="77777777" w:rsidR="00BA0745" w:rsidRDefault="00000000">
            <w:pPr>
              <w:spacing w:before="120" w:after="120"/>
              <w:jc w:val="center"/>
              <w:rPr>
                <w:sz w:val="22"/>
                <w:szCs w:val="22"/>
              </w:rPr>
            </w:pPr>
            <w:r>
              <w:rPr>
                <w:sz w:val="22"/>
                <w:szCs w:val="22"/>
              </w:rPr>
              <w:t>Tests whether diagnostic operational and institutional service conditions explain WSQS</w:t>
            </w:r>
          </w:p>
        </w:tc>
      </w:tr>
      <w:tr w:rsidR="00BA0745" w14:paraId="14486A74" w14:textId="77777777">
        <w:tc>
          <w:tcPr>
            <w:tcW w:w="1305" w:type="dxa"/>
            <w:vAlign w:val="center"/>
          </w:tcPr>
          <w:p w14:paraId="2780D5EB" w14:textId="77777777" w:rsidR="00BA0745" w:rsidRDefault="00000000">
            <w:pPr>
              <w:spacing w:before="120" w:after="120"/>
              <w:jc w:val="center"/>
              <w:rPr>
                <w:sz w:val="22"/>
                <w:szCs w:val="22"/>
              </w:rPr>
            </w:pPr>
            <w:r>
              <w:rPr>
                <w:sz w:val="22"/>
                <w:szCs w:val="22"/>
              </w:rPr>
              <w:lastRenderedPageBreak/>
              <w:t>Household context</w:t>
            </w:r>
          </w:p>
        </w:tc>
        <w:tc>
          <w:tcPr>
            <w:tcW w:w="3670" w:type="dxa"/>
            <w:vAlign w:val="center"/>
          </w:tcPr>
          <w:p w14:paraId="149B6E8B" w14:textId="77777777" w:rsidR="00BA0745" w:rsidRDefault="00000000">
            <w:pPr>
              <w:spacing w:before="120" w:after="120"/>
              <w:jc w:val="center"/>
              <w:rPr>
                <w:sz w:val="22"/>
                <w:szCs w:val="22"/>
              </w:rPr>
            </w:pPr>
            <w:r>
              <w:rPr>
                <w:sz w:val="22"/>
                <w:szCs w:val="22"/>
              </w:rPr>
              <w:t>Source/regime, ordered income band, household size, dwelling type</w:t>
            </w:r>
          </w:p>
        </w:tc>
        <w:tc>
          <w:tcPr>
            <w:tcW w:w="403" w:type="dxa"/>
            <w:vAlign w:val="center"/>
          </w:tcPr>
          <w:p w14:paraId="29EC79A1" w14:textId="77777777" w:rsidR="00BA0745" w:rsidRDefault="00000000">
            <w:pPr>
              <w:spacing w:before="120" w:after="120"/>
              <w:jc w:val="center"/>
              <w:rPr>
                <w:sz w:val="22"/>
                <w:szCs w:val="22"/>
              </w:rPr>
            </w:pPr>
            <w:r>
              <w:rPr>
                <w:sz w:val="22"/>
                <w:szCs w:val="22"/>
              </w:rPr>
              <w:t>No</w:t>
            </w:r>
          </w:p>
        </w:tc>
        <w:tc>
          <w:tcPr>
            <w:tcW w:w="1038" w:type="dxa"/>
            <w:vAlign w:val="center"/>
          </w:tcPr>
          <w:p w14:paraId="7002D2A1" w14:textId="77777777" w:rsidR="00BA0745" w:rsidRDefault="00000000">
            <w:pPr>
              <w:spacing w:before="120" w:after="120"/>
              <w:jc w:val="center"/>
              <w:rPr>
                <w:sz w:val="22"/>
                <w:szCs w:val="22"/>
              </w:rPr>
            </w:pPr>
            <w:r>
              <w:rPr>
                <w:sz w:val="22"/>
                <w:szCs w:val="22"/>
              </w:rPr>
              <w:t>Yes</w:t>
            </w:r>
          </w:p>
        </w:tc>
        <w:tc>
          <w:tcPr>
            <w:tcW w:w="1038" w:type="dxa"/>
            <w:vAlign w:val="center"/>
          </w:tcPr>
          <w:p w14:paraId="37574CB8" w14:textId="77777777" w:rsidR="00BA0745" w:rsidRDefault="00000000">
            <w:pPr>
              <w:spacing w:before="120" w:after="120"/>
              <w:jc w:val="center"/>
              <w:rPr>
                <w:sz w:val="22"/>
                <w:szCs w:val="22"/>
              </w:rPr>
            </w:pPr>
            <w:r>
              <w:rPr>
                <w:sz w:val="22"/>
                <w:szCs w:val="22"/>
              </w:rPr>
              <w:t>Yes</w:t>
            </w:r>
          </w:p>
        </w:tc>
        <w:tc>
          <w:tcPr>
            <w:tcW w:w="1905" w:type="dxa"/>
            <w:vAlign w:val="center"/>
          </w:tcPr>
          <w:p w14:paraId="2B270DC8" w14:textId="77777777" w:rsidR="00BA0745" w:rsidRDefault="00000000">
            <w:pPr>
              <w:spacing w:before="120" w:after="120"/>
              <w:jc w:val="center"/>
              <w:rPr>
                <w:sz w:val="22"/>
                <w:szCs w:val="22"/>
              </w:rPr>
            </w:pPr>
            <w:r>
              <w:rPr>
                <w:sz w:val="22"/>
                <w:szCs w:val="22"/>
              </w:rPr>
              <w:t>Tests whether household context adds information beyond service-support conditions</w:t>
            </w:r>
          </w:p>
        </w:tc>
      </w:tr>
      <w:tr w:rsidR="00BA0745" w14:paraId="2F6EECBD" w14:textId="77777777">
        <w:tc>
          <w:tcPr>
            <w:tcW w:w="1305" w:type="dxa"/>
            <w:vAlign w:val="center"/>
          </w:tcPr>
          <w:p w14:paraId="3928B1D8" w14:textId="77777777" w:rsidR="00BA0745" w:rsidRDefault="00000000">
            <w:pPr>
              <w:spacing w:before="120" w:after="120"/>
              <w:jc w:val="center"/>
              <w:rPr>
                <w:sz w:val="22"/>
                <w:szCs w:val="22"/>
              </w:rPr>
            </w:pPr>
            <w:r>
              <w:rPr>
                <w:sz w:val="22"/>
                <w:szCs w:val="22"/>
              </w:rPr>
              <w:t>Respondent priorities</w:t>
            </w:r>
          </w:p>
        </w:tc>
        <w:tc>
          <w:tcPr>
            <w:tcW w:w="3670" w:type="dxa"/>
            <w:vAlign w:val="center"/>
          </w:tcPr>
          <w:p w14:paraId="693B6CCE" w14:textId="77777777" w:rsidR="00BA0745" w:rsidRDefault="00000000">
            <w:pPr>
              <w:spacing w:before="120" w:after="120"/>
              <w:jc w:val="center"/>
              <w:rPr>
                <w:sz w:val="22"/>
                <w:szCs w:val="22"/>
              </w:rPr>
            </w:pPr>
            <w:r>
              <w:rPr>
                <w:sz w:val="22"/>
                <w:szCs w:val="22"/>
              </w:rPr>
              <w:t>Affordability, access, reliability, efficiency, acceptability, quality, quantity, and customer-service priorities</w:t>
            </w:r>
          </w:p>
        </w:tc>
        <w:tc>
          <w:tcPr>
            <w:tcW w:w="403" w:type="dxa"/>
            <w:vAlign w:val="center"/>
          </w:tcPr>
          <w:p w14:paraId="27CA03AA" w14:textId="77777777" w:rsidR="00BA0745" w:rsidRDefault="00000000">
            <w:pPr>
              <w:spacing w:before="120" w:after="120"/>
              <w:jc w:val="center"/>
              <w:rPr>
                <w:sz w:val="22"/>
                <w:szCs w:val="22"/>
              </w:rPr>
            </w:pPr>
            <w:r>
              <w:rPr>
                <w:sz w:val="22"/>
                <w:szCs w:val="22"/>
              </w:rPr>
              <w:t>No</w:t>
            </w:r>
          </w:p>
        </w:tc>
        <w:tc>
          <w:tcPr>
            <w:tcW w:w="1038" w:type="dxa"/>
            <w:vAlign w:val="center"/>
          </w:tcPr>
          <w:p w14:paraId="0BFB48A8" w14:textId="77777777" w:rsidR="00BA0745" w:rsidRDefault="00000000">
            <w:pPr>
              <w:spacing w:before="120" w:after="120"/>
              <w:jc w:val="center"/>
              <w:rPr>
                <w:sz w:val="22"/>
                <w:szCs w:val="22"/>
              </w:rPr>
            </w:pPr>
            <w:r>
              <w:rPr>
                <w:sz w:val="22"/>
                <w:szCs w:val="22"/>
              </w:rPr>
              <w:t>No</w:t>
            </w:r>
          </w:p>
        </w:tc>
        <w:tc>
          <w:tcPr>
            <w:tcW w:w="1038" w:type="dxa"/>
            <w:vAlign w:val="center"/>
          </w:tcPr>
          <w:p w14:paraId="421F1BD7" w14:textId="77777777" w:rsidR="00BA0745" w:rsidRDefault="00000000">
            <w:pPr>
              <w:spacing w:before="120" w:after="120"/>
              <w:jc w:val="center"/>
              <w:rPr>
                <w:sz w:val="22"/>
                <w:szCs w:val="22"/>
              </w:rPr>
            </w:pPr>
            <w:r>
              <w:rPr>
                <w:sz w:val="22"/>
                <w:szCs w:val="22"/>
              </w:rPr>
              <w:t>Yes</w:t>
            </w:r>
          </w:p>
        </w:tc>
        <w:tc>
          <w:tcPr>
            <w:tcW w:w="1905" w:type="dxa"/>
            <w:vAlign w:val="center"/>
          </w:tcPr>
          <w:p w14:paraId="3E7BD388" w14:textId="77777777" w:rsidR="00BA0745" w:rsidRDefault="00000000">
            <w:pPr>
              <w:spacing w:before="120" w:after="120"/>
              <w:jc w:val="center"/>
              <w:rPr>
                <w:sz w:val="22"/>
                <w:szCs w:val="22"/>
              </w:rPr>
            </w:pPr>
            <w:r>
              <w:rPr>
                <w:sz w:val="22"/>
                <w:szCs w:val="22"/>
              </w:rPr>
              <w:t>Tests whether stated priorities add non-circular information beyond service-support and context</w:t>
            </w:r>
          </w:p>
        </w:tc>
      </w:tr>
      <w:tr w:rsidR="00BA0745" w14:paraId="38ECBECF" w14:textId="77777777">
        <w:tc>
          <w:tcPr>
            <w:tcW w:w="1305" w:type="dxa"/>
            <w:vAlign w:val="center"/>
          </w:tcPr>
          <w:p w14:paraId="4D7CCA74" w14:textId="77777777" w:rsidR="00BA0745" w:rsidRDefault="00000000">
            <w:pPr>
              <w:spacing w:before="120" w:after="120"/>
              <w:jc w:val="center"/>
              <w:rPr>
                <w:sz w:val="22"/>
                <w:szCs w:val="22"/>
              </w:rPr>
            </w:pPr>
            <w:r>
              <w:rPr>
                <w:sz w:val="22"/>
                <w:szCs w:val="22"/>
              </w:rPr>
              <w:t>Excluded direct WSQS components</w:t>
            </w:r>
          </w:p>
        </w:tc>
        <w:tc>
          <w:tcPr>
            <w:tcW w:w="3670" w:type="dxa"/>
            <w:vAlign w:val="center"/>
          </w:tcPr>
          <w:p w14:paraId="476F9C08" w14:textId="77777777" w:rsidR="00BA0745" w:rsidRDefault="00000000">
            <w:pPr>
              <w:spacing w:before="120" w:after="120"/>
              <w:jc w:val="center"/>
              <w:rPr>
                <w:sz w:val="22"/>
                <w:szCs w:val="22"/>
              </w:rPr>
            </w:pPr>
            <w:r>
              <w:rPr>
                <w:sz w:val="22"/>
                <w:szCs w:val="22"/>
              </w:rPr>
              <w:t>Q2.2, Q3.1, Q4.1, Q5.1, Q6.1, Q7.1, Q8.1, Q9.1</w:t>
            </w:r>
          </w:p>
        </w:tc>
        <w:tc>
          <w:tcPr>
            <w:tcW w:w="403" w:type="dxa"/>
            <w:vAlign w:val="center"/>
          </w:tcPr>
          <w:p w14:paraId="1FC1BB38" w14:textId="77777777" w:rsidR="00BA0745" w:rsidRDefault="00000000">
            <w:pPr>
              <w:spacing w:before="120" w:after="120"/>
              <w:jc w:val="center"/>
              <w:rPr>
                <w:sz w:val="22"/>
                <w:szCs w:val="22"/>
              </w:rPr>
            </w:pPr>
            <w:r>
              <w:rPr>
                <w:sz w:val="22"/>
                <w:szCs w:val="22"/>
              </w:rPr>
              <w:t>No</w:t>
            </w:r>
          </w:p>
        </w:tc>
        <w:tc>
          <w:tcPr>
            <w:tcW w:w="1038" w:type="dxa"/>
            <w:vAlign w:val="center"/>
          </w:tcPr>
          <w:p w14:paraId="663824CA" w14:textId="77777777" w:rsidR="00BA0745" w:rsidRDefault="00000000">
            <w:pPr>
              <w:spacing w:before="120" w:after="120"/>
              <w:jc w:val="center"/>
              <w:rPr>
                <w:sz w:val="22"/>
                <w:szCs w:val="22"/>
              </w:rPr>
            </w:pPr>
            <w:r>
              <w:rPr>
                <w:sz w:val="22"/>
                <w:szCs w:val="22"/>
              </w:rPr>
              <w:t>No</w:t>
            </w:r>
          </w:p>
        </w:tc>
        <w:tc>
          <w:tcPr>
            <w:tcW w:w="1038" w:type="dxa"/>
            <w:vAlign w:val="center"/>
          </w:tcPr>
          <w:p w14:paraId="12E8443C" w14:textId="77777777" w:rsidR="00BA0745" w:rsidRDefault="00000000">
            <w:pPr>
              <w:spacing w:before="120" w:after="120"/>
              <w:jc w:val="center"/>
              <w:rPr>
                <w:sz w:val="22"/>
                <w:szCs w:val="22"/>
              </w:rPr>
            </w:pPr>
            <w:r>
              <w:rPr>
                <w:sz w:val="22"/>
                <w:szCs w:val="22"/>
              </w:rPr>
              <w:t>No</w:t>
            </w:r>
          </w:p>
        </w:tc>
        <w:tc>
          <w:tcPr>
            <w:tcW w:w="1905" w:type="dxa"/>
            <w:vAlign w:val="center"/>
          </w:tcPr>
          <w:p w14:paraId="738E6605" w14:textId="77777777" w:rsidR="00BA0745" w:rsidRDefault="00000000">
            <w:pPr>
              <w:spacing w:before="120" w:after="120"/>
              <w:jc w:val="center"/>
              <w:rPr>
                <w:sz w:val="22"/>
                <w:szCs w:val="22"/>
              </w:rPr>
            </w:pPr>
            <w:r>
              <w:rPr>
                <w:sz w:val="22"/>
                <w:szCs w:val="22"/>
              </w:rPr>
              <w:t>Excluded to avoid mechanical outcome reconstruction</w:t>
            </w:r>
          </w:p>
        </w:tc>
      </w:tr>
      <w:tr w:rsidR="00BA0745" w14:paraId="63027F6D" w14:textId="77777777">
        <w:tc>
          <w:tcPr>
            <w:tcW w:w="1305" w:type="dxa"/>
            <w:tcBorders>
              <w:bottom w:val="single" w:sz="4" w:space="0" w:color="000000"/>
            </w:tcBorders>
            <w:vAlign w:val="center"/>
          </w:tcPr>
          <w:p w14:paraId="6D60E1BD" w14:textId="77777777" w:rsidR="00BA0745" w:rsidRDefault="00000000">
            <w:pPr>
              <w:spacing w:before="120" w:after="120"/>
              <w:jc w:val="center"/>
              <w:rPr>
                <w:sz w:val="22"/>
                <w:szCs w:val="22"/>
              </w:rPr>
            </w:pPr>
            <w:r>
              <w:rPr>
                <w:sz w:val="22"/>
                <w:szCs w:val="22"/>
              </w:rPr>
              <w:t>Sensitivity-only context variables</w:t>
            </w:r>
          </w:p>
        </w:tc>
        <w:tc>
          <w:tcPr>
            <w:tcW w:w="3670" w:type="dxa"/>
            <w:tcBorders>
              <w:bottom w:val="single" w:sz="4" w:space="0" w:color="000000"/>
            </w:tcBorders>
            <w:vAlign w:val="center"/>
          </w:tcPr>
          <w:p w14:paraId="38C107FF" w14:textId="77777777" w:rsidR="00BA0745" w:rsidRDefault="00000000">
            <w:pPr>
              <w:spacing w:before="120" w:after="120"/>
              <w:jc w:val="center"/>
              <w:rPr>
                <w:sz w:val="22"/>
                <w:szCs w:val="22"/>
              </w:rPr>
            </w:pPr>
            <w:r>
              <w:rPr>
                <w:sz w:val="22"/>
                <w:szCs w:val="22"/>
              </w:rPr>
              <w:t>Age and gender</w:t>
            </w:r>
          </w:p>
        </w:tc>
        <w:tc>
          <w:tcPr>
            <w:tcW w:w="403" w:type="dxa"/>
            <w:tcBorders>
              <w:bottom w:val="single" w:sz="4" w:space="0" w:color="000000"/>
            </w:tcBorders>
            <w:vAlign w:val="center"/>
          </w:tcPr>
          <w:p w14:paraId="605C9089" w14:textId="77777777" w:rsidR="00BA0745" w:rsidRDefault="00000000">
            <w:pPr>
              <w:spacing w:before="120" w:after="120"/>
              <w:jc w:val="center"/>
              <w:rPr>
                <w:sz w:val="22"/>
                <w:szCs w:val="22"/>
              </w:rPr>
            </w:pPr>
            <w:r>
              <w:rPr>
                <w:sz w:val="22"/>
                <w:szCs w:val="22"/>
              </w:rPr>
              <w:t>No</w:t>
            </w:r>
          </w:p>
        </w:tc>
        <w:tc>
          <w:tcPr>
            <w:tcW w:w="1038" w:type="dxa"/>
            <w:tcBorders>
              <w:bottom w:val="single" w:sz="4" w:space="0" w:color="000000"/>
            </w:tcBorders>
            <w:vAlign w:val="center"/>
          </w:tcPr>
          <w:p w14:paraId="5A21BBDF" w14:textId="77777777" w:rsidR="00BA0745" w:rsidRDefault="00000000">
            <w:pPr>
              <w:spacing w:before="120" w:after="120"/>
              <w:jc w:val="center"/>
              <w:rPr>
                <w:sz w:val="22"/>
                <w:szCs w:val="22"/>
              </w:rPr>
            </w:pPr>
            <w:r>
              <w:rPr>
                <w:sz w:val="22"/>
                <w:szCs w:val="22"/>
              </w:rPr>
              <w:t>Sensitivity only</w:t>
            </w:r>
          </w:p>
        </w:tc>
        <w:tc>
          <w:tcPr>
            <w:tcW w:w="1038" w:type="dxa"/>
            <w:tcBorders>
              <w:bottom w:val="single" w:sz="4" w:space="0" w:color="000000"/>
            </w:tcBorders>
            <w:vAlign w:val="center"/>
          </w:tcPr>
          <w:p w14:paraId="5B314DA0" w14:textId="77777777" w:rsidR="00BA0745" w:rsidRDefault="00000000">
            <w:pPr>
              <w:spacing w:before="120" w:after="120"/>
              <w:jc w:val="center"/>
              <w:rPr>
                <w:sz w:val="22"/>
                <w:szCs w:val="22"/>
              </w:rPr>
            </w:pPr>
            <w:r>
              <w:rPr>
                <w:sz w:val="22"/>
                <w:szCs w:val="22"/>
              </w:rPr>
              <w:t>Sensitivity only</w:t>
            </w:r>
          </w:p>
        </w:tc>
        <w:tc>
          <w:tcPr>
            <w:tcW w:w="1905" w:type="dxa"/>
            <w:tcBorders>
              <w:bottom w:val="single" w:sz="4" w:space="0" w:color="000000"/>
            </w:tcBorders>
            <w:vAlign w:val="center"/>
          </w:tcPr>
          <w:p w14:paraId="0D7BD762" w14:textId="77777777" w:rsidR="00BA0745" w:rsidRDefault="00000000">
            <w:pPr>
              <w:spacing w:before="120" w:after="120"/>
              <w:jc w:val="center"/>
              <w:rPr>
                <w:sz w:val="22"/>
                <w:szCs w:val="22"/>
              </w:rPr>
            </w:pPr>
            <w:r>
              <w:rPr>
                <w:sz w:val="22"/>
                <w:szCs w:val="22"/>
              </w:rPr>
              <w:t>Used to test whether broader context encoding changes conclusions</w:t>
            </w:r>
          </w:p>
        </w:tc>
      </w:tr>
    </w:tbl>
    <w:p w14:paraId="71DF549B" w14:textId="77777777" w:rsidR="00BA0745" w:rsidRDefault="00000000">
      <w:pPr>
        <w:spacing w:before="120" w:after="120"/>
        <w:jc w:val="both"/>
        <w:rPr>
          <w:b/>
          <w:bCs/>
          <w:sz w:val="22"/>
          <w:szCs w:val="22"/>
        </w:rPr>
      </w:pPr>
      <w:r>
        <w:rPr>
          <w:b/>
          <w:bCs/>
          <w:sz w:val="22"/>
          <w:szCs w:val="22"/>
        </w:rPr>
        <w:t>S2.2. Household-context encoding</w:t>
      </w:r>
    </w:p>
    <w:p w14:paraId="1FBDC09C" w14:textId="77777777" w:rsidR="00BA0745" w:rsidRDefault="00000000">
      <w:pPr>
        <w:spacing w:before="120" w:after="120"/>
        <w:jc w:val="both"/>
        <w:rPr>
          <w:sz w:val="22"/>
          <w:szCs w:val="22"/>
        </w:rPr>
      </w:pPr>
      <w:r>
        <w:rPr>
          <w:sz w:val="22"/>
          <w:szCs w:val="22"/>
        </w:rPr>
        <w:t>Household-context variables were encoded according to their substantive type. We treated source/regime and dwelling type as categorical predictors. Income was treated as an ordered socioeconomic category in the main model, ranging from 1 (lowest income band) to 5 (highest). Household size was treated as numeric and capped to reduce the influence of implausible outliers. Age and gender were retained only for sensitivity analyses, not for the main model.</w:t>
      </w:r>
    </w:p>
    <w:p w14:paraId="4D92F5B7" w14:textId="77777777" w:rsidR="00BA0745" w:rsidRDefault="00000000">
      <w:pPr>
        <w:spacing w:before="120" w:after="120"/>
        <w:jc w:val="both"/>
        <w:rPr>
          <w:sz w:val="22"/>
          <w:szCs w:val="22"/>
        </w:rPr>
      </w:pPr>
      <w:r>
        <w:rPr>
          <w:b/>
          <w:bCs/>
          <w:sz w:val="22"/>
          <w:szCs w:val="22"/>
        </w:rPr>
        <w:t xml:space="preserve">Supplementary Table S7. </w:t>
      </w:r>
      <w:r>
        <w:rPr>
          <w:sz w:val="22"/>
          <w:szCs w:val="22"/>
        </w:rPr>
        <w:t>Household-context variable encoding and sensitivity role.</w:t>
      </w:r>
    </w:p>
    <w:tbl>
      <w:tblPr>
        <w:tblStyle w:val="af6"/>
        <w:tblW w:w="9360" w:type="dxa"/>
        <w:tblLayout w:type="fixed"/>
        <w:tblLook w:val="0400" w:firstRow="0" w:lastRow="0" w:firstColumn="0" w:lastColumn="0" w:noHBand="0" w:noVBand="1"/>
      </w:tblPr>
      <w:tblGrid>
        <w:gridCol w:w="1821"/>
        <w:gridCol w:w="1164"/>
        <w:gridCol w:w="3030"/>
        <w:gridCol w:w="1850"/>
        <w:gridCol w:w="1495"/>
      </w:tblGrid>
      <w:tr w:rsidR="00BA0745" w14:paraId="6F99C505" w14:textId="77777777">
        <w:tc>
          <w:tcPr>
            <w:tcW w:w="1821" w:type="dxa"/>
            <w:tcBorders>
              <w:top w:val="single" w:sz="4" w:space="0" w:color="000000"/>
              <w:bottom w:val="single" w:sz="4" w:space="0" w:color="000000"/>
            </w:tcBorders>
            <w:vAlign w:val="center"/>
          </w:tcPr>
          <w:p w14:paraId="19E94D8B" w14:textId="77777777" w:rsidR="00BA0745" w:rsidRDefault="00000000">
            <w:pPr>
              <w:spacing w:before="120" w:after="120"/>
              <w:jc w:val="center"/>
              <w:rPr>
                <w:sz w:val="22"/>
                <w:szCs w:val="22"/>
              </w:rPr>
            </w:pPr>
            <w:r>
              <w:rPr>
                <w:sz w:val="22"/>
                <w:szCs w:val="22"/>
              </w:rPr>
              <w:t>Context construct</w:t>
            </w:r>
          </w:p>
        </w:tc>
        <w:tc>
          <w:tcPr>
            <w:tcW w:w="1164" w:type="dxa"/>
            <w:tcBorders>
              <w:top w:val="single" w:sz="4" w:space="0" w:color="000000"/>
              <w:bottom w:val="single" w:sz="4" w:space="0" w:color="000000"/>
            </w:tcBorders>
            <w:vAlign w:val="center"/>
          </w:tcPr>
          <w:p w14:paraId="26507BBB" w14:textId="77777777" w:rsidR="00BA0745" w:rsidRDefault="00000000">
            <w:pPr>
              <w:spacing w:before="120" w:after="120"/>
              <w:jc w:val="center"/>
              <w:rPr>
                <w:sz w:val="22"/>
                <w:szCs w:val="22"/>
              </w:rPr>
            </w:pPr>
            <w:r>
              <w:rPr>
                <w:sz w:val="22"/>
                <w:szCs w:val="22"/>
              </w:rPr>
              <w:t>Raw survey column</w:t>
            </w:r>
          </w:p>
        </w:tc>
        <w:tc>
          <w:tcPr>
            <w:tcW w:w="3030" w:type="dxa"/>
            <w:tcBorders>
              <w:top w:val="single" w:sz="4" w:space="0" w:color="000000"/>
              <w:bottom w:val="single" w:sz="4" w:space="0" w:color="000000"/>
            </w:tcBorders>
            <w:vAlign w:val="center"/>
          </w:tcPr>
          <w:p w14:paraId="78A76B2E" w14:textId="77777777" w:rsidR="00BA0745" w:rsidRDefault="00000000">
            <w:pPr>
              <w:spacing w:before="120" w:after="120"/>
              <w:jc w:val="center"/>
              <w:rPr>
                <w:sz w:val="22"/>
                <w:szCs w:val="22"/>
              </w:rPr>
            </w:pPr>
            <w:r>
              <w:rPr>
                <w:sz w:val="22"/>
                <w:szCs w:val="22"/>
              </w:rPr>
              <w:t>Cleaned model variable</w:t>
            </w:r>
          </w:p>
        </w:tc>
        <w:tc>
          <w:tcPr>
            <w:tcW w:w="1850" w:type="dxa"/>
            <w:tcBorders>
              <w:top w:val="single" w:sz="4" w:space="0" w:color="000000"/>
              <w:bottom w:val="single" w:sz="4" w:space="0" w:color="000000"/>
            </w:tcBorders>
            <w:vAlign w:val="center"/>
          </w:tcPr>
          <w:p w14:paraId="49C7B108" w14:textId="77777777" w:rsidR="00BA0745" w:rsidRDefault="00000000">
            <w:pPr>
              <w:spacing w:before="120" w:after="120"/>
              <w:jc w:val="center"/>
              <w:rPr>
                <w:sz w:val="22"/>
                <w:szCs w:val="22"/>
              </w:rPr>
            </w:pPr>
            <w:r>
              <w:rPr>
                <w:sz w:val="22"/>
                <w:szCs w:val="22"/>
              </w:rPr>
              <w:t>Encoding</w:t>
            </w:r>
          </w:p>
        </w:tc>
        <w:tc>
          <w:tcPr>
            <w:tcW w:w="1495" w:type="dxa"/>
            <w:tcBorders>
              <w:top w:val="single" w:sz="4" w:space="0" w:color="000000"/>
              <w:bottom w:val="single" w:sz="4" w:space="0" w:color="000000"/>
            </w:tcBorders>
            <w:vAlign w:val="center"/>
          </w:tcPr>
          <w:p w14:paraId="0CDF5A59" w14:textId="77777777" w:rsidR="00BA0745" w:rsidRDefault="00000000">
            <w:pPr>
              <w:spacing w:before="120" w:after="120"/>
              <w:jc w:val="center"/>
              <w:rPr>
                <w:sz w:val="22"/>
                <w:szCs w:val="22"/>
              </w:rPr>
            </w:pPr>
            <w:r>
              <w:rPr>
                <w:sz w:val="22"/>
                <w:szCs w:val="22"/>
              </w:rPr>
              <w:t>Main model role</w:t>
            </w:r>
          </w:p>
        </w:tc>
      </w:tr>
      <w:tr w:rsidR="00BA0745" w14:paraId="2DDF0A1B" w14:textId="77777777">
        <w:tc>
          <w:tcPr>
            <w:tcW w:w="1821" w:type="dxa"/>
            <w:vAlign w:val="center"/>
          </w:tcPr>
          <w:p w14:paraId="792855F6" w14:textId="77777777" w:rsidR="00BA0745" w:rsidRDefault="00000000">
            <w:pPr>
              <w:spacing w:before="120" w:after="120"/>
              <w:jc w:val="center"/>
              <w:rPr>
                <w:sz w:val="22"/>
                <w:szCs w:val="22"/>
              </w:rPr>
            </w:pPr>
            <w:r>
              <w:rPr>
                <w:sz w:val="22"/>
                <w:szCs w:val="22"/>
              </w:rPr>
              <w:t>Source/regime</w:t>
            </w:r>
          </w:p>
        </w:tc>
        <w:tc>
          <w:tcPr>
            <w:tcW w:w="1164" w:type="dxa"/>
            <w:vAlign w:val="center"/>
          </w:tcPr>
          <w:p w14:paraId="1B76B608" w14:textId="77777777" w:rsidR="00BA0745" w:rsidRDefault="00000000">
            <w:pPr>
              <w:spacing w:before="120" w:after="120"/>
              <w:jc w:val="center"/>
              <w:rPr>
                <w:sz w:val="22"/>
                <w:szCs w:val="22"/>
              </w:rPr>
            </w:pPr>
            <w:r>
              <w:rPr>
                <w:sz w:val="22"/>
                <w:szCs w:val="22"/>
              </w:rPr>
              <w:t>Q1.1</w:t>
            </w:r>
          </w:p>
        </w:tc>
        <w:tc>
          <w:tcPr>
            <w:tcW w:w="3030" w:type="dxa"/>
            <w:vAlign w:val="center"/>
          </w:tcPr>
          <w:p w14:paraId="34320788" w14:textId="77777777" w:rsidR="00BA0745" w:rsidRDefault="00000000">
            <w:pPr>
              <w:spacing w:before="120" w:after="120"/>
              <w:jc w:val="center"/>
              <w:rPr>
                <w:sz w:val="22"/>
                <w:szCs w:val="22"/>
              </w:rPr>
            </w:pPr>
            <w:r>
              <w:rPr>
                <w:sz w:val="22"/>
                <w:szCs w:val="22"/>
              </w:rPr>
              <w:t>context_source_regime_clean</w:t>
            </w:r>
          </w:p>
        </w:tc>
        <w:tc>
          <w:tcPr>
            <w:tcW w:w="1850" w:type="dxa"/>
            <w:vAlign w:val="center"/>
          </w:tcPr>
          <w:p w14:paraId="7E57AFD7" w14:textId="77777777" w:rsidR="00BA0745" w:rsidRDefault="00000000">
            <w:pPr>
              <w:spacing w:before="120" w:after="120"/>
              <w:jc w:val="center"/>
              <w:rPr>
                <w:sz w:val="22"/>
                <w:szCs w:val="22"/>
              </w:rPr>
            </w:pPr>
            <w:r>
              <w:rPr>
                <w:sz w:val="22"/>
                <w:szCs w:val="22"/>
              </w:rPr>
              <w:t>Categorical</w:t>
            </w:r>
          </w:p>
        </w:tc>
        <w:tc>
          <w:tcPr>
            <w:tcW w:w="1495" w:type="dxa"/>
            <w:vAlign w:val="center"/>
          </w:tcPr>
          <w:p w14:paraId="0501B73B" w14:textId="77777777" w:rsidR="00BA0745" w:rsidRDefault="00000000">
            <w:pPr>
              <w:spacing w:before="120" w:after="120"/>
              <w:jc w:val="center"/>
              <w:rPr>
                <w:sz w:val="22"/>
                <w:szCs w:val="22"/>
              </w:rPr>
            </w:pPr>
            <w:r>
              <w:rPr>
                <w:sz w:val="22"/>
                <w:szCs w:val="22"/>
              </w:rPr>
              <w:t>Main household context</w:t>
            </w:r>
          </w:p>
        </w:tc>
      </w:tr>
      <w:tr w:rsidR="00BA0745" w14:paraId="0601D486" w14:textId="77777777">
        <w:tc>
          <w:tcPr>
            <w:tcW w:w="1821" w:type="dxa"/>
            <w:vAlign w:val="center"/>
          </w:tcPr>
          <w:p w14:paraId="60938613" w14:textId="77777777" w:rsidR="00BA0745" w:rsidRDefault="00000000">
            <w:pPr>
              <w:spacing w:before="120" w:after="120"/>
              <w:jc w:val="center"/>
              <w:rPr>
                <w:sz w:val="22"/>
                <w:szCs w:val="22"/>
              </w:rPr>
            </w:pPr>
            <w:r>
              <w:rPr>
                <w:sz w:val="22"/>
                <w:szCs w:val="22"/>
              </w:rPr>
              <w:t>Income</w:t>
            </w:r>
          </w:p>
        </w:tc>
        <w:tc>
          <w:tcPr>
            <w:tcW w:w="1164" w:type="dxa"/>
            <w:vAlign w:val="center"/>
          </w:tcPr>
          <w:p w14:paraId="168B5FB2" w14:textId="77777777" w:rsidR="00BA0745" w:rsidRDefault="00000000">
            <w:pPr>
              <w:spacing w:before="120" w:after="120"/>
              <w:jc w:val="center"/>
              <w:rPr>
                <w:sz w:val="22"/>
                <w:szCs w:val="22"/>
              </w:rPr>
            </w:pPr>
            <w:r>
              <w:rPr>
                <w:sz w:val="22"/>
                <w:szCs w:val="22"/>
              </w:rPr>
              <w:t>Q15.17</w:t>
            </w:r>
          </w:p>
        </w:tc>
        <w:tc>
          <w:tcPr>
            <w:tcW w:w="3030" w:type="dxa"/>
            <w:vAlign w:val="center"/>
          </w:tcPr>
          <w:p w14:paraId="7BE2EC81" w14:textId="77777777" w:rsidR="00BA0745" w:rsidRDefault="00000000">
            <w:pPr>
              <w:spacing w:before="120" w:after="120"/>
              <w:jc w:val="center"/>
              <w:rPr>
                <w:sz w:val="22"/>
                <w:szCs w:val="22"/>
              </w:rPr>
            </w:pPr>
            <w:r>
              <w:rPr>
                <w:sz w:val="22"/>
                <w:szCs w:val="22"/>
              </w:rPr>
              <w:t>context_income_ord_1low_5high</w:t>
            </w:r>
          </w:p>
        </w:tc>
        <w:tc>
          <w:tcPr>
            <w:tcW w:w="1850" w:type="dxa"/>
            <w:vAlign w:val="center"/>
          </w:tcPr>
          <w:p w14:paraId="4B97FD95" w14:textId="77777777" w:rsidR="00BA0745" w:rsidRDefault="00000000">
            <w:pPr>
              <w:spacing w:before="120" w:after="120"/>
              <w:jc w:val="center"/>
              <w:rPr>
                <w:sz w:val="22"/>
                <w:szCs w:val="22"/>
              </w:rPr>
            </w:pPr>
            <w:r>
              <w:rPr>
                <w:sz w:val="22"/>
                <w:szCs w:val="22"/>
              </w:rPr>
              <w:t>Ordered numeric, 1 low to 5 high</w:t>
            </w:r>
          </w:p>
        </w:tc>
        <w:tc>
          <w:tcPr>
            <w:tcW w:w="1495" w:type="dxa"/>
            <w:vAlign w:val="center"/>
          </w:tcPr>
          <w:p w14:paraId="20E82C8D" w14:textId="77777777" w:rsidR="00BA0745" w:rsidRDefault="00000000">
            <w:pPr>
              <w:spacing w:before="120" w:after="120"/>
              <w:jc w:val="center"/>
              <w:rPr>
                <w:sz w:val="22"/>
                <w:szCs w:val="22"/>
              </w:rPr>
            </w:pPr>
            <w:r>
              <w:rPr>
                <w:sz w:val="22"/>
                <w:szCs w:val="22"/>
              </w:rPr>
              <w:t>Main household context</w:t>
            </w:r>
          </w:p>
        </w:tc>
      </w:tr>
      <w:tr w:rsidR="00BA0745" w14:paraId="51B3219A" w14:textId="77777777">
        <w:tc>
          <w:tcPr>
            <w:tcW w:w="1821" w:type="dxa"/>
            <w:vAlign w:val="center"/>
          </w:tcPr>
          <w:p w14:paraId="0F42CE1B" w14:textId="77777777" w:rsidR="00BA0745" w:rsidRDefault="00000000">
            <w:pPr>
              <w:spacing w:before="120" w:after="120"/>
              <w:jc w:val="center"/>
              <w:rPr>
                <w:sz w:val="22"/>
                <w:szCs w:val="22"/>
              </w:rPr>
            </w:pPr>
            <w:r>
              <w:rPr>
                <w:sz w:val="22"/>
                <w:szCs w:val="22"/>
              </w:rPr>
              <w:t>Household size</w:t>
            </w:r>
          </w:p>
        </w:tc>
        <w:tc>
          <w:tcPr>
            <w:tcW w:w="1164" w:type="dxa"/>
            <w:vAlign w:val="center"/>
          </w:tcPr>
          <w:p w14:paraId="10E9A8D8" w14:textId="77777777" w:rsidR="00BA0745" w:rsidRDefault="00000000">
            <w:pPr>
              <w:spacing w:before="120" w:after="120"/>
              <w:jc w:val="center"/>
              <w:rPr>
                <w:sz w:val="22"/>
                <w:szCs w:val="22"/>
              </w:rPr>
            </w:pPr>
            <w:r>
              <w:rPr>
                <w:sz w:val="22"/>
                <w:szCs w:val="22"/>
              </w:rPr>
              <w:t>Q15.10</w:t>
            </w:r>
          </w:p>
        </w:tc>
        <w:tc>
          <w:tcPr>
            <w:tcW w:w="3030" w:type="dxa"/>
            <w:vAlign w:val="center"/>
          </w:tcPr>
          <w:p w14:paraId="6EFF216F" w14:textId="77777777" w:rsidR="00BA0745" w:rsidRDefault="00000000">
            <w:pPr>
              <w:spacing w:before="120" w:after="120"/>
              <w:jc w:val="center"/>
              <w:rPr>
                <w:sz w:val="22"/>
                <w:szCs w:val="22"/>
              </w:rPr>
            </w:pPr>
            <w:r>
              <w:rPr>
                <w:sz w:val="22"/>
                <w:szCs w:val="22"/>
              </w:rPr>
              <w:t>context_household_size_capped</w:t>
            </w:r>
          </w:p>
        </w:tc>
        <w:tc>
          <w:tcPr>
            <w:tcW w:w="1850" w:type="dxa"/>
            <w:vAlign w:val="center"/>
          </w:tcPr>
          <w:p w14:paraId="4CB29DA7" w14:textId="77777777" w:rsidR="00BA0745" w:rsidRDefault="00000000">
            <w:pPr>
              <w:spacing w:before="120" w:after="120"/>
              <w:jc w:val="center"/>
              <w:rPr>
                <w:sz w:val="22"/>
                <w:szCs w:val="22"/>
              </w:rPr>
            </w:pPr>
            <w:r>
              <w:rPr>
                <w:sz w:val="22"/>
                <w:szCs w:val="22"/>
              </w:rPr>
              <w:t>Numeric, capped</w:t>
            </w:r>
          </w:p>
        </w:tc>
        <w:tc>
          <w:tcPr>
            <w:tcW w:w="1495" w:type="dxa"/>
            <w:vAlign w:val="center"/>
          </w:tcPr>
          <w:p w14:paraId="7B56F2F2" w14:textId="77777777" w:rsidR="00BA0745" w:rsidRDefault="00000000">
            <w:pPr>
              <w:spacing w:before="120" w:after="120"/>
              <w:jc w:val="center"/>
              <w:rPr>
                <w:sz w:val="22"/>
                <w:szCs w:val="22"/>
              </w:rPr>
            </w:pPr>
            <w:r>
              <w:rPr>
                <w:sz w:val="22"/>
                <w:szCs w:val="22"/>
              </w:rPr>
              <w:t>Main household context</w:t>
            </w:r>
          </w:p>
        </w:tc>
      </w:tr>
      <w:tr w:rsidR="00BA0745" w14:paraId="4ED78F61" w14:textId="77777777">
        <w:tc>
          <w:tcPr>
            <w:tcW w:w="1821" w:type="dxa"/>
            <w:vAlign w:val="center"/>
          </w:tcPr>
          <w:p w14:paraId="601CFC2B" w14:textId="77777777" w:rsidR="00BA0745" w:rsidRDefault="00000000">
            <w:pPr>
              <w:spacing w:before="120" w:after="120"/>
              <w:jc w:val="center"/>
              <w:rPr>
                <w:sz w:val="22"/>
                <w:szCs w:val="22"/>
              </w:rPr>
            </w:pPr>
            <w:r>
              <w:rPr>
                <w:sz w:val="22"/>
                <w:szCs w:val="22"/>
              </w:rPr>
              <w:t>Dwelling type</w:t>
            </w:r>
          </w:p>
        </w:tc>
        <w:tc>
          <w:tcPr>
            <w:tcW w:w="1164" w:type="dxa"/>
            <w:vAlign w:val="center"/>
          </w:tcPr>
          <w:p w14:paraId="5302D4B0" w14:textId="77777777" w:rsidR="00BA0745" w:rsidRDefault="00000000">
            <w:pPr>
              <w:spacing w:before="120" w:after="120"/>
              <w:jc w:val="center"/>
              <w:rPr>
                <w:sz w:val="22"/>
                <w:szCs w:val="22"/>
              </w:rPr>
            </w:pPr>
            <w:r>
              <w:rPr>
                <w:sz w:val="22"/>
                <w:szCs w:val="22"/>
              </w:rPr>
              <w:t>Q15.14</w:t>
            </w:r>
          </w:p>
        </w:tc>
        <w:tc>
          <w:tcPr>
            <w:tcW w:w="3030" w:type="dxa"/>
            <w:vAlign w:val="center"/>
          </w:tcPr>
          <w:p w14:paraId="2EA64053" w14:textId="77777777" w:rsidR="00BA0745" w:rsidRDefault="00000000">
            <w:pPr>
              <w:spacing w:before="120" w:after="120"/>
              <w:jc w:val="center"/>
              <w:rPr>
                <w:sz w:val="22"/>
                <w:szCs w:val="22"/>
              </w:rPr>
            </w:pPr>
            <w:r>
              <w:rPr>
                <w:sz w:val="22"/>
                <w:szCs w:val="22"/>
              </w:rPr>
              <w:t>context_dwelling_clean</w:t>
            </w:r>
          </w:p>
        </w:tc>
        <w:tc>
          <w:tcPr>
            <w:tcW w:w="1850" w:type="dxa"/>
            <w:vAlign w:val="center"/>
          </w:tcPr>
          <w:p w14:paraId="3AFE8892" w14:textId="77777777" w:rsidR="00BA0745" w:rsidRDefault="00000000">
            <w:pPr>
              <w:spacing w:before="120" w:after="120"/>
              <w:jc w:val="center"/>
              <w:rPr>
                <w:sz w:val="22"/>
                <w:szCs w:val="22"/>
              </w:rPr>
            </w:pPr>
            <w:r>
              <w:rPr>
                <w:sz w:val="22"/>
                <w:szCs w:val="22"/>
              </w:rPr>
              <w:t>Categorical</w:t>
            </w:r>
          </w:p>
        </w:tc>
        <w:tc>
          <w:tcPr>
            <w:tcW w:w="1495" w:type="dxa"/>
            <w:vAlign w:val="center"/>
          </w:tcPr>
          <w:p w14:paraId="51CA0967" w14:textId="77777777" w:rsidR="00BA0745" w:rsidRDefault="00000000">
            <w:pPr>
              <w:spacing w:before="120" w:after="120"/>
              <w:jc w:val="center"/>
              <w:rPr>
                <w:sz w:val="22"/>
                <w:szCs w:val="22"/>
              </w:rPr>
            </w:pPr>
            <w:r>
              <w:rPr>
                <w:sz w:val="22"/>
                <w:szCs w:val="22"/>
              </w:rPr>
              <w:t>Main household context</w:t>
            </w:r>
          </w:p>
        </w:tc>
      </w:tr>
      <w:tr w:rsidR="00BA0745" w14:paraId="38F6CF02" w14:textId="77777777">
        <w:tc>
          <w:tcPr>
            <w:tcW w:w="1821" w:type="dxa"/>
            <w:vAlign w:val="center"/>
          </w:tcPr>
          <w:p w14:paraId="3EA469B5" w14:textId="77777777" w:rsidR="00BA0745" w:rsidRDefault="00000000">
            <w:pPr>
              <w:spacing w:before="120" w:after="120"/>
              <w:jc w:val="center"/>
              <w:rPr>
                <w:sz w:val="22"/>
                <w:szCs w:val="22"/>
              </w:rPr>
            </w:pPr>
            <w:r>
              <w:rPr>
                <w:sz w:val="22"/>
                <w:szCs w:val="22"/>
              </w:rPr>
              <w:t>Age</w:t>
            </w:r>
          </w:p>
        </w:tc>
        <w:tc>
          <w:tcPr>
            <w:tcW w:w="1164" w:type="dxa"/>
            <w:vAlign w:val="center"/>
          </w:tcPr>
          <w:p w14:paraId="44782D0E" w14:textId="77777777" w:rsidR="00BA0745" w:rsidRDefault="00000000">
            <w:pPr>
              <w:spacing w:before="120" w:after="120"/>
              <w:jc w:val="center"/>
              <w:rPr>
                <w:sz w:val="22"/>
                <w:szCs w:val="22"/>
              </w:rPr>
            </w:pPr>
            <w:r>
              <w:rPr>
                <w:sz w:val="22"/>
                <w:szCs w:val="22"/>
              </w:rPr>
              <w:t>Q15.3</w:t>
            </w:r>
          </w:p>
        </w:tc>
        <w:tc>
          <w:tcPr>
            <w:tcW w:w="3030" w:type="dxa"/>
            <w:vAlign w:val="center"/>
          </w:tcPr>
          <w:p w14:paraId="516545EE" w14:textId="77777777" w:rsidR="00BA0745" w:rsidRDefault="00000000">
            <w:pPr>
              <w:spacing w:before="120" w:after="120"/>
              <w:jc w:val="center"/>
              <w:rPr>
                <w:sz w:val="22"/>
                <w:szCs w:val="22"/>
              </w:rPr>
            </w:pPr>
            <w:r>
              <w:rPr>
                <w:sz w:val="22"/>
                <w:szCs w:val="22"/>
              </w:rPr>
              <w:t>context_age_capped</w:t>
            </w:r>
          </w:p>
        </w:tc>
        <w:tc>
          <w:tcPr>
            <w:tcW w:w="1850" w:type="dxa"/>
            <w:vAlign w:val="center"/>
          </w:tcPr>
          <w:p w14:paraId="35389F1E" w14:textId="77777777" w:rsidR="00BA0745" w:rsidRDefault="00000000">
            <w:pPr>
              <w:spacing w:before="120" w:after="120"/>
              <w:jc w:val="center"/>
              <w:rPr>
                <w:sz w:val="22"/>
                <w:szCs w:val="22"/>
              </w:rPr>
            </w:pPr>
            <w:r>
              <w:rPr>
                <w:sz w:val="22"/>
                <w:szCs w:val="22"/>
              </w:rPr>
              <w:t>Numeric, capped</w:t>
            </w:r>
          </w:p>
        </w:tc>
        <w:tc>
          <w:tcPr>
            <w:tcW w:w="1495" w:type="dxa"/>
            <w:vAlign w:val="center"/>
          </w:tcPr>
          <w:p w14:paraId="583D0BB4" w14:textId="77777777" w:rsidR="00BA0745" w:rsidRDefault="00000000">
            <w:pPr>
              <w:spacing w:before="120" w:after="120"/>
              <w:jc w:val="center"/>
              <w:rPr>
                <w:sz w:val="22"/>
                <w:szCs w:val="22"/>
              </w:rPr>
            </w:pPr>
            <w:r>
              <w:rPr>
                <w:sz w:val="22"/>
                <w:szCs w:val="22"/>
              </w:rPr>
              <w:t>Sensitivity only</w:t>
            </w:r>
          </w:p>
        </w:tc>
      </w:tr>
      <w:tr w:rsidR="00BA0745" w14:paraId="56E8395D" w14:textId="77777777">
        <w:tc>
          <w:tcPr>
            <w:tcW w:w="1821" w:type="dxa"/>
            <w:vAlign w:val="center"/>
          </w:tcPr>
          <w:p w14:paraId="6F7058AA" w14:textId="77777777" w:rsidR="00BA0745" w:rsidRDefault="00000000">
            <w:pPr>
              <w:spacing w:before="120" w:after="120"/>
              <w:jc w:val="center"/>
              <w:rPr>
                <w:sz w:val="22"/>
                <w:szCs w:val="22"/>
              </w:rPr>
            </w:pPr>
            <w:r>
              <w:rPr>
                <w:sz w:val="22"/>
                <w:szCs w:val="22"/>
              </w:rPr>
              <w:t>Gender</w:t>
            </w:r>
          </w:p>
        </w:tc>
        <w:tc>
          <w:tcPr>
            <w:tcW w:w="1164" w:type="dxa"/>
            <w:vAlign w:val="center"/>
          </w:tcPr>
          <w:p w14:paraId="440662E6" w14:textId="77777777" w:rsidR="00BA0745" w:rsidRDefault="00000000">
            <w:pPr>
              <w:spacing w:before="120" w:after="120"/>
              <w:jc w:val="center"/>
              <w:rPr>
                <w:sz w:val="22"/>
                <w:szCs w:val="22"/>
              </w:rPr>
            </w:pPr>
            <w:r>
              <w:rPr>
                <w:sz w:val="22"/>
                <w:szCs w:val="22"/>
              </w:rPr>
              <w:t>Q15.2</w:t>
            </w:r>
          </w:p>
        </w:tc>
        <w:tc>
          <w:tcPr>
            <w:tcW w:w="3030" w:type="dxa"/>
            <w:vAlign w:val="center"/>
          </w:tcPr>
          <w:p w14:paraId="440CF609" w14:textId="77777777" w:rsidR="00BA0745" w:rsidRDefault="00000000">
            <w:pPr>
              <w:spacing w:before="120" w:after="120"/>
              <w:jc w:val="center"/>
              <w:rPr>
                <w:sz w:val="22"/>
                <w:szCs w:val="22"/>
              </w:rPr>
            </w:pPr>
            <w:r>
              <w:rPr>
                <w:sz w:val="22"/>
                <w:szCs w:val="22"/>
              </w:rPr>
              <w:t>context_gender_clean</w:t>
            </w:r>
          </w:p>
        </w:tc>
        <w:tc>
          <w:tcPr>
            <w:tcW w:w="1850" w:type="dxa"/>
            <w:vAlign w:val="center"/>
          </w:tcPr>
          <w:p w14:paraId="40478100" w14:textId="77777777" w:rsidR="00BA0745" w:rsidRDefault="00000000">
            <w:pPr>
              <w:spacing w:before="120" w:after="120"/>
              <w:jc w:val="center"/>
              <w:rPr>
                <w:sz w:val="22"/>
                <w:szCs w:val="22"/>
              </w:rPr>
            </w:pPr>
            <w:r>
              <w:rPr>
                <w:sz w:val="22"/>
                <w:szCs w:val="22"/>
              </w:rPr>
              <w:t>Categorical</w:t>
            </w:r>
          </w:p>
        </w:tc>
        <w:tc>
          <w:tcPr>
            <w:tcW w:w="1495" w:type="dxa"/>
            <w:vAlign w:val="center"/>
          </w:tcPr>
          <w:p w14:paraId="122CACA7" w14:textId="77777777" w:rsidR="00BA0745" w:rsidRDefault="00000000">
            <w:pPr>
              <w:spacing w:before="120" w:after="120"/>
              <w:jc w:val="center"/>
              <w:rPr>
                <w:sz w:val="22"/>
                <w:szCs w:val="22"/>
              </w:rPr>
            </w:pPr>
            <w:r>
              <w:rPr>
                <w:sz w:val="22"/>
                <w:szCs w:val="22"/>
              </w:rPr>
              <w:t>Sensitivity only</w:t>
            </w:r>
          </w:p>
        </w:tc>
      </w:tr>
      <w:tr w:rsidR="00BA0745" w14:paraId="1E33A894" w14:textId="77777777">
        <w:tc>
          <w:tcPr>
            <w:tcW w:w="1821" w:type="dxa"/>
            <w:tcBorders>
              <w:bottom w:val="single" w:sz="4" w:space="0" w:color="000000"/>
            </w:tcBorders>
            <w:vAlign w:val="center"/>
          </w:tcPr>
          <w:p w14:paraId="25ED958E" w14:textId="77777777" w:rsidR="00BA0745" w:rsidRDefault="00000000">
            <w:pPr>
              <w:spacing w:before="120" w:after="120"/>
              <w:jc w:val="center"/>
              <w:rPr>
                <w:sz w:val="22"/>
                <w:szCs w:val="22"/>
              </w:rPr>
            </w:pPr>
            <w:r>
              <w:rPr>
                <w:sz w:val="22"/>
                <w:szCs w:val="22"/>
              </w:rPr>
              <w:lastRenderedPageBreak/>
              <w:t>Income category sensitivity</w:t>
            </w:r>
          </w:p>
        </w:tc>
        <w:tc>
          <w:tcPr>
            <w:tcW w:w="1164" w:type="dxa"/>
            <w:tcBorders>
              <w:bottom w:val="single" w:sz="4" w:space="0" w:color="000000"/>
            </w:tcBorders>
            <w:vAlign w:val="center"/>
          </w:tcPr>
          <w:p w14:paraId="268F2A3A" w14:textId="77777777" w:rsidR="00BA0745" w:rsidRDefault="00000000">
            <w:pPr>
              <w:spacing w:before="120" w:after="120"/>
              <w:jc w:val="center"/>
              <w:rPr>
                <w:sz w:val="22"/>
                <w:szCs w:val="22"/>
              </w:rPr>
            </w:pPr>
            <w:r>
              <w:rPr>
                <w:sz w:val="22"/>
                <w:szCs w:val="22"/>
              </w:rPr>
              <w:t>Q15.17</w:t>
            </w:r>
          </w:p>
        </w:tc>
        <w:tc>
          <w:tcPr>
            <w:tcW w:w="3030" w:type="dxa"/>
            <w:tcBorders>
              <w:bottom w:val="single" w:sz="4" w:space="0" w:color="000000"/>
            </w:tcBorders>
            <w:vAlign w:val="center"/>
          </w:tcPr>
          <w:p w14:paraId="5D53AB0A" w14:textId="77777777" w:rsidR="00BA0745" w:rsidRDefault="00000000">
            <w:pPr>
              <w:spacing w:before="120" w:after="120"/>
              <w:jc w:val="center"/>
              <w:rPr>
                <w:sz w:val="22"/>
                <w:szCs w:val="22"/>
              </w:rPr>
            </w:pPr>
            <w:r>
              <w:rPr>
                <w:sz w:val="22"/>
                <w:szCs w:val="22"/>
              </w:rPr>
              <w:t>context_income_cat_clean</w:t>
            </w:r>
          </w:p>
        </w:tc>
        <w:tc>
          <w:tcPr>
            <w:tcW w:w="1850" w:type="dxa"/>
            <w:tcBorders>
              <w:bottom w:val="single" w:sz="4" w:space="0" w:color="000000"/>
            </w:tcBorders>
            <w:vAlign w:val="center"/>
          </w:tcPr>
          <w:p w14:paraId="6DD592C5" w14:textId="77777777" w:rsidR="00BA0745" w:rsidRDefault="00000000">
            <w:pPr>
              <w:spacing w:before="120" w:after="120"/>
              <w:jc w:val="center"/>
              <w:rPr>
                <w:sz w:val="22"/>
                <w:szCs w:val="22"/>
              </w:rPr>
            </w:pPr>
            <w:r>
              <w:rPr>
                <w:sz w:val="22"/>
                <w:szCs w:val="22"/>
              </w:rPr>
              <w:t>Categorical</w:t>
            </w:r>
          </w:p>
        </w:tc>
        <w:tc>
          <w:tcPr>
            <w:tcW w:w="1495" w:type="dxa"/>
            <w:tcBorders>
              <w:bottom w:val="single" w:sz="4" w:space="0" w:color="000000"/>
            </w:tcBorders>
            <w:vAlign w:val="center"/>
          </w:tcPr>
          <w:p w14:paraId="356C7E3D" w14:textId="77777777" w:rsidR="00BA0745" w:rsidRDefault="00000000">
            <w:pPr>
              <w:spacing w:before="120" w:after="120"/>
              <w:jc w:val="center"/>
              <w:rPr>
                <w:sz w:val="22"/>
                <w:szCs w:val="22"/>
              </w:rPr>
            </w:pPr>
            <w:r>
              <w:rPr>
                <w:sz w:val="22"/>
                <w:szCs w:val="22"/>
              </w:rPr>
              <w:t>Sensitivity only</w:t>
            </w:r>
          </w:p>
        </w:tc>
      </w:tr>
    </w:tbl>
    <w:p w14:paraId="3ED6F501" w14:textId="77777777" w:rsidR="00BA0745" w:rsidRDefault="00000000">
      <w:pPr>
        <w:spacing w:before="120" w:after="120"/>
        <w:jc w:val="both"/>
        <w:rPr>
          <w:sz w:val="22"/>
          <w:szCs w:val="22"/>
        </w:rPr>
      </w:pPr>
      <w:r>
        <w:rPr>
          <w:sz w:val="22"/>
          <w:szCs w:val="22"/>
        </w:rPr>
        <w:t>This encoding separates the main household-context specification from sensitivity checks. It also prevents demographic variables from driving the main interpretation while preserving them for robustness evaluation.</w:t>
      </w:r>
    </w:p>
    <w:p w14:paraId="57820CE4" w14:textId="77777777" w:rsidR="00BA0745" w:rsidRDefault="00000000">
      <w:pPr>
        <w:spacing w:before="120" w:after="120"/>
        <w:jc w:val="both"/>
        <w:rPr>
          <w:b/>
          <w:bCs/>
          <w:sz w:val="22"/>
          <w:szCs w:val="22"/>
        </w:rPr>
      </w:pPr>
      <w:r>
        <w:rPr>
          <w:b/>
          <w:bCs/>
          <w:sz w:val="22"/>
          <w:szCs w:val="22"/>
        </w:rPr>
        <w:t>S2.3. Model design summary</w:t>
      </w:r>
    </w:p>
    <w:p w14:paraId="33356564" w14:textId="77777777" w:rsidR="00BA0745" w:rsidRDefault="00000000">
      <w:pPr>
        <w:spacing w:before="120" w:after="120"/>
        <w:jc w:val="both"/>
        <w:rPr>
          <w:sz w:val="22"/>
          <w:szCs w:val="22"/>
        </w:rPr>
      </w:pPr>
      <w:r>
        <w:rPr>
          <w:sz w:val="22"/>
          <w:szCs w:val="22"/>
        </w:rPr>
        <w:t>Table 4 (main article) reports the fixed held-out nested model comparison. Supplementary Table S5 summarizes the model design and robustness structure without repeating the main performance table.</w:t>
      </w:r>
    </w:p>
    <w:p w14:paraId="227F69A6" w14:textId="77777777" w:rsidR="00BA0745" w:rsidRDefault="00000000">
      <w:pPr>
        <w:spacing w:before="120" w:after="120"/>
        <w:jc w:val="both"/>
        <w:rPr>
          <w:sz w:val="22"/>
          <w:szCs w:val="22"/>
        </w:rPr>
      </w:pPr>
      <w:r>
        <w:rPr>
          <w:b/>
          <w:bCs/>
          <w:sz w:val="22"/>
          <w:szCs w:val="22"/>
        </w:rPr>
        <w:t xml:space="preserve">Supplementary Table S8. </w:t>
      </w:r>
      <w:r>
        <w:rPr>
          <w:sz w:val="22"/>
          <w:szCs w:val="22"/>
        </w:rPr>
        <w:t>Model design and robustness structure.</w:t>
      </w:r>
    </w:p>
    <w:tbl>
      <w:tblPr>
        <w:tblStyle w:val="af7"/>
        <w:tblW w:w="9360" w:type="dxa"/>
        <w:tblLayout w:type="fixed"/>
        <w:tblLook w:val="0400" w:firstRow="0" w:lastRow="0" w:firstColumn="0" w:lastColumn="0" w:noHBand="0" w:noVBand="1"/>
      </w:tblPr>
      <w:tblGrid>
        <w:gridCol w:w="2132"/>
        <w:gridCol w:w="7228"/>
      </w:tblGrid>
      <w:tr w:rsidR="00BA0745" w14:paraId="7D42078C" w14:textId="77777777">
        <w:tc>
          <w:tcPr>
            <w:tcW w:w="2132" w:type="dxa"/>
            <w:tcBorders>
              <w:top w:val="single" w:sz="4" w:space="0" w:color="000000"/>
              <w:bottom w:val="single" w:sz="4" w:space="0" w:color="000000"/>
            </w:tcBorders>
            <w:vAlign w:val="center"/>
          </w:tcPr>
          <w:p w14:paraId="0D04C140" w14:textId="77777777" w:rsidR="00BA0745" w:rsidRDefault="00000000">
            <w:pPr>
              <w:spacing w:before="120" w:after="120"/>
              <w:jc w:val="center"/>
              <w:rPr>
                <w:sz w:val="22"/>
                <w:szCs w:val="22"/>
              </w:rPr>
            </w:pPr>
            <w:r>
              <w:rPr>
                <w:sz w:val="22"/>
                <w:szCs w:val="22"/>
              </w:rPr>
              <w:t>Component</w:t>
            </w:r>
          </w:p>
        </w:tc>
        <w:tc>
          <w:tcPr>
            <w:tcW w:w="7228" w:type="dxa"/>
            <w:tcBorders>
              <w:top w:val="single" w:sz="4" w:space="0" w:color="000000"/>
              <w:bottom w:val="single" w:sz="4" w:space="0" w:color="000000"/>
            </w:tcBorders>
            <w:vAlign w:val="center"/>
          </w:tcPr>
          <w:p w14:paraId="0A7673B8" w14:textId="77777777" w:rsidR="00BA0745" w:rsidRDefault="00000000">
            <w:pPr>
              <w:spacing w:before="120" w:after="120"/>
              <w:jc w:val="center"/>
              <w:rPr>
                <w:sz w:val="22"/>
                <w:szCs w:val="22"/>
              </w:rPr>
            </w:pPr>
            <w:r>
              <w:rPr>
                <w:sz w:val="22"/>
                <w:szCs w:val="22"/>
              </w:rPr>
              <w:t>Final value / description</w:t>
            </w:r>
          </w:p>
        </w:tc>
      </w:tr>
      <w:tr w:rsidR="00BA0745" w14:paraId="37844E76" w14:textId="77777777">
        <w:tc>
          <w:tcPr>
            <w:tcW w:w="2132" w:type="dxa"/>
            <w:vAlign w:val="center"/>
          </w:tcPr>
          <w:p w14:paraId="69287E6B" w14:textId="77777777" w:rsidR="00BA0745" w:rsidRDefault="00000000">
            <w:pPr>
              <w:spacing w:before="120" w:after="120"/>
              <w:jc w:val="center"/>
              <w:rPr>
                <w:sz w:val="22"/>
                <w:szCs w:val="22"/>
              </w:rPr>
            </w:pPr>
            <w:r>
              <w:rPr>
                <w:sz w:val="22"/>
                <w:szCs w:val="22"/>
              </w:rPr>
              <w:t>Primary modeling outcome</w:t>
            </w:r>
          </w:p>
        </w:tc>
        <w:tc>
          <w:tcPr>
            <w:tcW w:w="7228" w:type="dxa"/>
            <w:vAlign w:val="center"/>
          </w:tcPr>
          <w:p w14:paraId="5186B2C0" w14:textId="77777777" w:rsidR="00BA0745" w:rsidRDefault="00000000">
            <w:pPr>
              <w:spacing w:before="120" w:after="120"/>
              <w:jc w:val="center"/>
              <w:rPr>
                <w:sz w:val="22"/>
                <w:szCs w:val="22"/>
              </w:rPr>
            </w:pPr>
            <w:r>
              <w:rPr>
                <w:sz w:val="22"/>
                <w:szCs w:val="22"/>
              </w:rPr>
              <w:t>Raw equal-weight CORE-8 WSQS</w:t>
            </w:r>
          </w:p>
        </w:tc>
      </w:tr>
      <w:tr w:rsidR="00BA0745" w14:paraId="571600BA" w14:textId="77777777">
        <w:tc>
          <w:tcPr>
            <w:tcW w:w="2132" w:type="dxa"/>
            <w:vAlign w:val="center"/>
          </w:tcPr>
          <w:p w14:paraId="69C2CF1E" w14:textId="77777777" w:rsidR="00BA0745" w:rsidRDefault="00000000">
            <w:pPr>
              <w:spacing w:before="120" w:after="120"/>
              <w:jc w:val="center"/>
              <w:rPr>
                <w:sz w:val="22"/>
                <w:szCs w:val="22"/>
              </w:rPr>
            </w:pPr>
            <w:r>
              <w:rPr>
                <w:sz w:val="22"/>
                <w:szCs w:val="22"/>
              </w:rPr>
              <w:t>Reporting outcome</w:t>
            </w:r>
          </w:p>
        </w:tc>
        <w:tc>
          <w:tcPr>
            <w:tcW w:w="7228" w:type="dxa"/>
            <w:vAlign w:val="center"/>
          </w:tcPr>
          <w:p w14:paraId="7190B253" w14:textId="77777777" w:rsidR="00BA0745" w:rsidRDefault="00000000">
            <w:pPr>
              <w:spacing w:before="120" w:after="120"/>
              <w:jc w:val="center"/>
              <w:rPr>
                <w:sz w:val="22"/>
                <w:szCs w:val="22"/>
              </w:rPr>
            </w:pPr>
            <w:r>
              <w:rPr>
                <w:sz w:val="22"/>
                <w:szCs w:val="22"/>
              </w:rPr>
              <w:t>Equal-weight CORE-8 WSQS on the 0–100 scale</w:t>
            </w:r>
          </w:p>
        </w:tc>
      </w:tr>
      <w:tr w:rsidR="00BA0745" w14:paraId="51871BEC" w14:textId="77777777">
        <w:tc>
          <w:tcPr>
            <w:tcW w:w="2132" w:type="dxa"/>
            <w:vAlign w:val="center"/>
          </w:tcPr>
          <w:p w14:paraId="0226D30A" w14:textId="77777777" w:rsidR="00BA0745" w:rsidRDefault="00000000">
            <w:pPr>
              <w:spacing w:before="120" w:after="120"/>
              <w:jc w:val="center"/>
              <w:rPr>
                <w:sz w:val="22"/>
                <w:szCs w:val="22"/>
              </w:rPr>
            </w:pPr>
            <w:r>
              <w:rPr>
                <w:sz w:val="22"/>
                <w:szCs w:val="22"/>
              </w:rPr>
              <w:t>Sensitivity outcomes</w:t>
            </w:r>
          </w:p>
        </w:tc>
        <w:tc>
          <w:tcPr>
            <w:tcW w:w="7228" w:type="dxa"/>
            <w:vAlign w:val="center"/>
          </w:tcPr>
          <w:p w14:paraId="267AD697" w14:textId="77777777" w:rsidR="00BA0745" w:rsidRDefault="00000000">
            <w:pPr>
              <w:spacing w:before="120" w:after="120"/>
              <w:jc w:val="center"/>
              <w:rPr>
                <w:sz w:val="22"/>
                <w:szCs w:val="22"/>
              </w:rPr>
            </w:pPr>
            <w:r>
              <w:rPr>
                <w:sz w:val="22"/>
                <w:szCs w:val="22"/>
              </w:rPr>
              <w:t>Population-priority CORE-8 WSQS; individual-priority CORE-8 WSQS</w:t>
            </w:r>
          </w:p>
        </w:tc>
      </w:tr>
      <w:tr w:rsidR="00BA0745" w14:paraId="70CB15A5" w14:textId="77777777">
        <w:tc>
          <w:tcPr>
            <w:tcW w:w="2132" w:type="dxa"/>
            <w:vAlign w:val="center"/>
          </w:tcPr>
          <w:p w14:paraId="47471F00" w14:textId="77777777" w:rsidR="00BA0745" w:rsidRDefault="00000000">
            <w:pPr>
              <w:spacing w:before="120" w:after="120"/>
              <w:jc w:val="center"/>
              <w:rPr>
                <w:sz w:val="22"/>
                <w:szCs w:val="22"/>
              </w:rPr>
            </w:pPr>
            <w:r>
              <w:rPr>
                <w:sz w:val="22"/>
                <w:szCs w:val="22"/>
              </w:rPr>
              <w:t>Training sample</w:t>
            </w:r>
          </w:p>
        </w:tc>
        <w:tc>
          <w:tcPr>
            <w:tcW w:w="7228" w:type="dxa"/>
            <w:vAlign w:val="center"/>
          </w:tcPr>
          <w:p w14:paraId="0E7D1CEB" w14:textId="77777777" w:rsidR="00BA0745" w:rsidRDefault="00000000">
            <w:pPr>
              <w:spacing w:before="120" w:after="120"/>
              <w:jc w:val="center"/>
              <w:rPr>
                <w:sz w:val="22"/>
                <w:szCs w:val="22"/>
              </w:rPr>
            </w:pPr>
            <w:r>
              <w:rPr>
                <w:sz w:val="22"/>
                <w:szCs w:val="22"/>
              </w:rPr>
              <w:t>4,916 households</w:t>
            </w:r>
          </w:p>
        </w:tc>
      </w:tr>
      <w:tr w:rsidR="00BA0745" w14:paraId="00143299" w14:textId="77777777">
        <w:tc>
          <w:tcPr>
            <w:tcW w:w="2132" w:type="dxa"/>
            <w:vAlign w:val="center"/>
          </w:tcPr>
          <w:p w14:paraId="3A0A5693" w14:textId="77777777" w:rsidR="00BA0745" w:rsidRDefault="00000000">
            <w:pPr>
              <w:spacing w:before="120" w:after="120"/>
              <w:jc w:val="center"/>
              <w:rPr>
                <w:sz w:val="22"/>
                <w:szCs w:val="22"/>
              </w:rPr>
            </w:pPr>
            <w:r>
              <w:rPr>
                <w:sz w:val="22"/>
                <w:szCs w:val="22"/>
              </w:rPr>
              <w:t>Held-out test sample</w:t>
            </w:r>
          </w:p>
        </w:tc>
        <w:tc>
          <w:tcPr>
            <w:tcW w:w="7228" w:type="dxa"/>
            <w:vAlign w:val="center"/>
          </w:tcPr>
          <w:p w14:paraId="39A81401" w14:textId="77777777" w:rsidR="00BA0745" w:rsidRDefault="00000000">
            <w:pPr>
              <w:spacing w:before="120" w:after="120"/>
              <w:jc w:val="center"/>
              <w:rPr>
                <w:sz w:val="22"/>
                <w:szCs w:val="22"/>
              </w:rPr>
            </w:pPr>
            <w:r>
              <w:rPr>
                <w:sz w:val="22"/>
                <w:szCs w:val="22"/>
              </w:rPr>
              <w:t>1,229 households</w:t>
            </w:r>
          </w:p>
        </w:tc>
      </w:tr>
      <w:tr w:rsidR="00BA0745" w14:paraId="4BA99E9A" w14:textId="77777777">
        <w:tc>
          <w:tcPr>
            <w:tcW w:w="2132" w:type="dxa"/>
            <w:vAlign w:val="center"/>
          </w:tcPr>
          <w:p w14:paraId="21E5CEF5" w14:textId="77777777" w:rsidR="00BA0745" w:rsidRDefault="00000000">
            <w:pPr>
              <w:spacing w:before="120" w:after="120"/>
              <w:jc w:val="center"/>
              <w:rPr>
                <w:sz w:val="22"/>
                <w:szCs w:val="22"/>
              </w:rPr>
            </w:pPr>
            <w:r>
              <w:rPr>
                <w:sz w:val="22"/>
                <w:szCs w:val="22"/>
              </w:rPr>
              <w:t>Main split ratio</w:t>
            </w:r>
          </w:p>
        </w:tc>
        <w:tc>
          <w:tcPr>
            <w:tcW w:w="7228" w:type="dxa"/>
            <w:vAlign w:val="center"/>
          </w:tcPr>
          <w:p w14:paraId="08414967" w14:textId="77777777" w:rsidR="00BA0745" w:rsidRDefault="00000000">
            <w:pPr>
              <w:spacing w:before="120" w:after="120"/>
              <w:jc w:val="center"/>
              <w:rPr>
                <w:sz w:val="22"/>
                <w:szCs w:val="22"/>
              </w:rPr>
            </w:pPr>
            <w:r>
              <w:rPr>
                <w:sz w:val="22"/>
                <w:szCs w:val="22"/>
              </w:rPr>
              <w:t>80:20</w:t>
            </w:r>
          </w:p>
        </w:tc>
      </w:tr>
      <w:tr w:rsidR="00BA0745" w14:paraId="607091EE" w14:textId="77777777">
        <w:tc>
          <w:tcPr>
            <w:tcW w:w="2132" w:type="dxa"/>
            <w:vAlign w:val="center"/>
          </w:tcPr>
          <w:p w14:paraId="45365DE6" w14:textId="77777777" w:rsidR="00BA0745" w:rsidRDefault="00000000">
            <w:pPr>
              <w:spacing w:before="120" w:after="120"/>
              <w:jc w:val="center"/>
              <w:rPr>
                <w:sz w:val="22"/>
                <w:szCs w:val="22"/>
              </w:rPr>
            </w:pPr>
            <w:r>
              <w:rPr>
                <w:sz w:val="22"/>
                <w:szCs w:val="22"/>
              </w:rPr>
              <w:t>Primary model</w:t>
            </w:r>
          </w:p>
        </w:tc>
        <w:tc>
          <w:tcPr>
            <w:tcW w:w="7228" w:type="dxa"/>
            <w:vAlign w:val="center"/>
          </w:tcPr>
          <w:p w14:paraId="51BD263B" w14:textId="77777777" w:rsidR="00BA0745" w:rsidRDefault="00000000">
            <w:pPr>
              <w:spacing w:before="120" w:after="120"/>
              <w:jc w:val="center"/>
              <w:rPr>
                <w:sz w:val="22"/>
                <w:szCs w:val="22"/>
              </w:rPr>
            </w:pPr>
            <w:r>
              <w:rPr>
                <w:sz w:val="22"/>
                <w:szCs w:val="22"/>
              </w:rPr>
              <w:t>CatBoost regression</w:t>
            </w:r>
          </w:p>
        </w:tc>
      </w:tr>
      <w:tr w:rsidR="00BA0745" w14:paraId="7FBA6A74" w14:textId="77777777">
        <w:tc>
          <w:tcPr>
            <w:tcW w:w="2132" w:type="dxa"/>
            <w:vAlign w:val="center"/>
          </w:tcPr>
          <w:p w14:paraId="599B31E6" w14:textId="77777777" w:rsidR="00BA0745" w:rsidRDefault="00000000">
            <w:pPr>
              <w:spacing w:before="120" w:after="120"/>
              <w:jc w:val="center"/>
              <w:rPr>
                <w:sz w:val="22"/>
                <w:szCs w:val="22"/>
              </w:rPr>
            </w:pPr>
            <w:r>
              <w:rPr>
                <w:sz w:val="22"/>
                <w:szCs w:val="22"/>
              </w:rPr>
              <w:t>M0</w:t>
            </w:r>
          </w:p>
        </w:tc>
        <w:tc>
          <w:tcPr>
            <w:tcW w:w="7228" w:type="dxa"/>
            <w:vAlign w:val="center"/>
          </w:tcPr>
          <w:p w14:paraId="31D6279C" w14:textId="77777777" w:rsidR="00BA0745" w:rsidRDefault="00000000">
            <w:pPr>
              <w:spacing w:before="120" w:after="120"/>
              <w:jc w:val="center"/>
              <w:rPr>
                <w:sz w:val="22"/>
                <w:szCs w:val="22"/>
              </w:rPr>
            </w:pPr>
            <w:r>
              <w:rPr>
                <w:sz w:val="22"/>
                <w:szCs w:val="22"/>
              </w:rPr>
              <w:t>Mean-only baseline</w:t>
            </w:r>
          </w:p>
        </w:tc>
      </w:tr>
      <w:tr w:rsidR="00BA0745" w14:paraId="1CC53C8B" w14:textId="77777777">
        <w:tc>
          <w:tcPr>
            <w:tcW w:w="2132" w:type="dxa"/>
            <w:vAlign w:val="center"/>
          </w:tcPr>
          <w:p w14:paraId="2D92DBBA" w14:textId="77777777" w:rsidR="00BA0745" w:rsidRDefault="00000000">
            <w:pPr>
              <w:spacing w:before="120" w:after="120"/>
              <w:jc w:val="center"/>
              <w:rPr>
                <w:sz w:val="22"/>
                <w:szCs w:val="22"/>
              </w:rPr>
            </w:pPr>
            <w:r>
              <w:rPr>
                <w:sz w:val="22"/>
                <w:szCs w:val="22"/>
              </w:rPr>
              <w:t>M1</w:t>
            </w:r>
          </w:p>
        </w:tc>
        <w:tc>
          <w:tcPr>
            <w:tcW w:w="7228" w:type="dxa"/>
            <w:vAlign w:val="center"/>
          </w:tcPr>
          <w:p w14:paraId="76044483" w14:textId="77777777" w:rsidR="00BA0745" w:rsidRDefault="00000000">
            <w:pPr>
              <w:spacing w:before="120" w:after="120"/>
              <w:jc w:val="center"/>
              <w:rPr>
                <w:sz w:val="22"/>
                <w:szCs w:val="22"/>
              </w:rPr>
            </w:pPr>
            <w:r>
              <w:rPr>
                <w:sz w:val="22"/>
                <w:szCs w:val="22"/>
              </w:rPr>
              <w:t>Service-support predictors only</w:t>
            </w:r>
          </w:p>
        </w:tc>
      </w:tr>
      <w:tr w:rsidR="00BA0745" w14:paraId="73E9EC3B" w14:textId="77777777">
        <w:tc>
          <w:tcPr>
            <w:tcW w:w="2132" w:type="dxa"/>
            <w:vAlign w:val="center"/>
          </w:tcPr>
          <w:p w14:paraId="55B06A00" w14:textId="77777777" w:rsidR="00BA0745" w:rsidRDefault="00000000">
            <w:pPr>
              <w:spacing w:before="120" w:after="120"/>
              <w:jc w:val="center"/>
              <w:rPr>
                <w:sz w:val="22"/>
                <w:szCs w:val="22"/>
              </w:rPr>
            </w:pPr>
            <w:r>
              <w:rPr>
                <w:sz w:val="22"/>
                <w:szCs w:val="22"/>
              </w:rPr>
              <w:t>M2</w:t>
            </w:r>
          </w:p>
        </w:tc>
        <w:tc>
          <w:tcPr>
            <w:tcW w:w="7228" w:type="dxa"/>
            <w:vAlign w:val="center"/>
          </w:tcPr>
          <w:p w14:paraId="6BDF631B" w14:textId="77777777" w:rsidR="00BA0745" w:rsidRDefault="00000000">
            <w:pPr>
              <w:spacing w:before="120" w:after="120"/>
              <w:jc w:val="center"/>
              <w:rPr>
                <w:sz w:val="22"/>
                <w:szCs w:val="22"/>
              </w:rPr>
            </w:pPr>
            <w:r>
              <w:rPr>
                <w:sz w:val="22"/>
                <w:szCs w:val="22"/>
              </w:rPr>
              <w:t>Service-support predictors + household context</w:t>
            </w:r>
          </w:p>
        </w:tc>
      </w:tr>
      <w:tr w:rsidR="00BA0745" w14:paraId="0F3CAEDB" w14:textId="77777777">
        <w:tc>
          <w:tcPr>
            <w:tcW w:w="2132" w:type="dxa"/>
            <w:vAlign w:val="center"/>
          </w:tcPr>
          <w:p w14:paraId="70188326" w14:textId="77777777" w:rsidR="00BA0745" w:rsidRDefault="00000000">
            <w:pPr>
              <w:spacing w:before="120" w:after="120"/>
              <w:jc w:val="center"/>
              <w:rPr>
                <w:sz w:val="22"/>
                <w:szCs w:val="22"/>
              </w:rPr>
            </w:pPr>
            <w:r>
              <w:rPr>
                <w:sz w:val="22"/>
                <w:szCs w:val="22"/>
              </w:rPr>
              <w:t>M3</w:t>
            </w:r>
          </w:p>
        </w:tc>
        <w:tc>
          <w:tcPr>
            <w:tcW w:w="7228" w:type="dxa"/>
            <w:vAlign w:val="center"/>
          </w:tcPr>
          <w:p w14:paraId="776C4269" w14:textId="77777777" w:rsidR="00BA0745" w:rsidRDefault="00000000">
            <w:pPr>
              <w:spacing w:before="120" w:after="120"/>
              <w:jc w:val="center"/>
              <w:rPr>
                <w:sz w:val="22"/>
                <w:szCs w:val="22"/>
              </w:rPr>
            </w:pPr>
            <w:r>
              <w:rPr>
                <w:sz w:val="22"/>
                <w:szCs w:val="22"/>
              </w:rPr>
              <w:t>Service-support predictors + household context + stated priorities</w:t>
            </w:r>
          </w:p>
        </w:tc>
      </w:tr>
      <w:tr w:rsidR="00BA0745" w14:paraId="2CA468F4" w14:textId="77777777">
        <w:tc>
          <w:tcPr>
            <w:tcW w:w="2132" w:type="dxa"/>
            <w:vAlign w:val="center"/>
          </w:tcPr>
          <w:p w14:paraId="260CD303" w14:textId="77777777" w:rsidR="00BA0745" w:rsidRDefault="00000000">
            <w:pPr>
              <w:spacing w:before="120" w:after="120"/>
              <w:jc w:val="center"/>
              <w:rPr>
                <w:sz w:val="22"/>
                <w:szCs w:val="22"/>
              </w:rPr>
            </w:pPr>
            <w:r>
              <w:rPr>
                <w:sz w:val="22"/>
                <w:szCs w:val="22"/>
              </w:rPr>
              <w:t>Main context variables</w:t>
            </w:r>
          </w:p>
        </w:tc>
        <w:tc>
          <w:tcPr>
            <w:tcW w:w="7228" w:type="dxa"/>
            <w:vAlign w:val="center"/>
          </w:tcPr>
          <w:p w14:paraId="5507F08E" w14:textId="77777777" w:rsidR="00BA0745" w:rsidRDefault="00000000">
            <w:pPr>
              <w:spacing w:before="120" w:after="120"/>
              <w:jc w:val="center"/>
              <w:rPr>
                <w:sz w:val="22"/>
                <w:szCs w:val="22"/>
              </w:rPr>
            </w:pPr>
            <w:r>
              <w:rPr>
                <w:sz w:val="22"/>
                <w:szCs w:val="22"/>
              </w:rPr>
              <w:t>Source/regime, income, household size, dwelling type</w:t>
            </w:r>
          </w:p>
        </w:tc>
      </w:tr>
      <w:tr w:rsidR="00BA0745" w14:paraId="59715A65" w14:textId="77777777">
        <w:tc>
          <w:tcPr>
            <w:tcW w:w="2132" w:type="dxa"/>
            <w:vAlign w:val="center"/>
          </w:tcPr>
          <w:p w14:paraId="3A5B2BA9" w14:textId="77777777" w:rsidR="00BA0745" w:rsidRDefault="00000000">
            <w:pPr>
              <w:spacing w:before="120" w:after="120"/>
              <w:jc w:val="center"/>
              <w:rPr>
                <w:sz w:val="22"/>
                <w:szCs w:val="22"/>
              </w:rPr>
            </w:pPr>
            <w:r>
              <w:rPr>
                <w:sz w:val="22"/>
                <w:szCs w:val="22"/>
              </w:rPr>
              <w:t>Sensitivity context variables</w:t>
            </w:r>
          </w:p>
        </w:tc>
        <w:tc>
          <w:tcPr>
            <w:tcW w:w="7228" w:type="dxa"/>
            <w:vAlign w:val="center"/>
          </w:tcPr>
          <w:p w14:paraId="56A6D61F" w14:textId="77777777" w:rsidR="00BA0745" w:rsidRDefault="00000000">
            <w:pPr>
              <w:spacing w:before="120" w:after="120"/>
              <w:jc w:val="center"/>
              <w:rPr>
                <w:sz w:val="22"/>
                <w:szCs w:val="22"/>
              </w:rPr>
            </w:pPr>
            <w:r>
              <w:rPr>
                <w:sz w:val="22"/>
                <w:szCs w:val="22"/>
              </w:rPr>
              <w:t>Age, gender, categorical income encoding</w:t>
            </w:r>
          </w:p>
        </w:tc>
      </w:tr>
      <w:tr w:rsidR="00BA0745" w14:paraId="2B1C3C64" w14:textId="77777777">
        <w:tc>
          <w:tcPr>
            <w:tcW w:w="2132" w:type="dxa"/>
            <w:vAlign w:val="center"/>
          </w:tcPr>
          <w:p w14:paraId="6CA5CD8C" w14:textId="77777777" w:rsidR="00BA0745" w:rsidRDefault="00000000">
            <w:pPr>
              <w:spacing w:before="120" w:after="120"/>
              <w:jc w:val="center"/>
              <w:rPr>
                <w:sz w:val="22"/>
                <w:szCs w:val="22"/>
              </w:rPr>
            </w:pPr>
            <w:r>
              <w:rPr>
                <w:sz w:val="22"/>
                <w:szCs w:val="22"/>
              </w:rPr>
              <w:t>Evaluation metrics</w:t>
            </w:r>
          </w:p>
        </w:tc>
        <w:tc>
          <w:tcPr>
            <w:tcW w:w="7228" w:type="dxa"/>
            <w:vAlign w:val="center"/>
          </w:tcPr>
          <w:p w14:paraId="2FCB738A" w14:textId="77777777" w:rsidR="00BA0745" w:rsidRDefault="00000000">
            <w:pPr>
              <w:spacing w:before="120" w:after="120"/>
              <w:jc w:val="center"/>
              <w:rPr>
                <w:sz w:val="22"/>
                <w:szCs w:val="22"/>
              </w:rPr>
            </w:pPr>
            <w:r>
              <w:rPr>
                <w:sz w:val="22"/>
                <w:szCs w:val="22"/>
              </w:rPr>
              <w:t>RMSE, MAE, R², Pearson correlation, Spearman rank correlation</w:t>
            </w:r>
          </w:p>
        </w:tc>
      </w:tr>
      <w:tr w:rsidR="00BA0745" w14:paraId="5CBA9C40" w14:textId="77777777">
        <w:tc>
          <w:tcPr>
            <w:tcW w:w="2132" w:type="dxa"/>
            <w:tcBorders>
              <w:bottom w:val="single" w:sz="4" w:space="0" w:color="000000"/>
            </w:tcBorders>
            <w:vAlign w:val="center"/>
          </w:tcPr>
          <w:p w14:paraId="75459833" w14:textId="77777777" w:rsidR="00BA0745" w:rsidRDefault="00000000">
            <w:pPr>
              <w:spacing w:before="120" w:after="120"/>
              <w:jc w:val="center"/>
              <w:rPr>
                <w:sz w:val="22"/>
                <w:szCs w:val="22"/>
              </w:rPr>
            </w:pPr>
            <w:r>
              <w:rPr>
                <w:sz w:val="22"/>
                <w:szCs w:val="22"/>
              </w:rPr>
              <w:t>Robustness checks</w:t>
            </w:r>
          </w:p>
        </w:tc>
        <w:tc>
          <w:tcPr>
            <w:tcW w:w="7228" w:type="dxa"/>
            <w:tcBorders>
              <w:bottom w:val="single" w:sz="4" w:space="0" w:color="000000"/>
            </w:tcBorders>
            <w:vAlign w:val="center"/>
          </w:tcPr>
          <w:p w14:paraId="09ECCE7F" w14:textId="77777777" w:rsidR="00BA0745" w:rsidRDefault="00000000">
            <w:pPr>
              <w:spacing w:before="120" w:after="120"/>
              <w:jc w:val="center"/>
              <w:rPr>
                <w:sz w:val="22"/>
                <w:szCs w:val="22"/>
              </w:rPr>
            </w:pPr>
            <w:r>
              <w:rPr>
                <w:sz w:val="22"/>
                <w:szCs w:val="22"/>
              </w:rPr>
              <w:t>Repeated splits, benchmark learners, alternative WSQS outcomes, context encoding, grouped SHAP stability</w:t>
            </w:r>
          </w:p>
        </w:tc>
      </w:tr>
    </w:tbl>
    <w:p w14:paraId="7E093357" w14:textId="77777777" w:rsidR="00BA0745" w:rsidRDefault="00000000">
      <w:pPr>
        <w:spacing w:before="120" w:after="120"/>
        <w:jc w:val="both"/>
        <w:rPr>
          <w:b/>
          <w:bCs/>
          <w:sz w:val="22"/>
          <w:szCs w:val="22"/>
        </w:rPr>
      </w:pPr>
      <w:r>
        <w:rPr>
          <w:b/>
          <w:bCs/>
          <w:sz w:val="22"/>
          <w:szCs w:val="22"/>
        </w:rPr>
        <w:t>S2.4. Repeated-split nested model robustness</w:t>
      </w:r>
    </w:p>
    <w:p w14:paraId="4203869E" w14:textId="77777777" w:rsidR="00BA0745" w:rsidRDefault="00000000">
      <w:pPr>
        <w:spacing w:before="120" w:after="120"/>
        <w:jc w:val="both"/>
        <w:rPr>
          <w:sz w:val="22"/>
          <w:szCs w:val="22"/>
        </w:rPr>
      </w:pPr>
      <w:r>
        <w:rPr>
          <w:sz w:val="22"/>
          <w:szCs w:val="22"/>
        </w:rPr>
        <w:lastRenderedPageBreak/>
        <w:t>Repeated train-test split analyses confirmed that the main nested-model pattern was stable. Across 10 repeated splits, service-support variables accounted for the main performance improvement. Household context did not materially improve performance after including service-support variables. Stated priorities produced a small additional improvement.</w:t>
      </w:r>
    </w:p>
    <w:p w14:paraId="1C503889" w14:textId="77777777" w:rsidR="00BA0745" w:rsidRDefault="00000000">
      <w:pPr>
        <w:spacing w:before="120" w:after="120"/>
        <w:jc w:val="both"/>
        <w:rPr>
          <w:sz w:val="22"/>
          <w:szCs w:val="22"/>
        </w:rPr>
      </w:pPr>
      <w:r>
        <w:rPr>
          <w:b/>
          <w:bCs/>
          <w:sz w:val="22"/>
          <w:szCs w:val="22"/>
        </w:rPr>
        <w:t xml:space="preserve">Supplementary Table S9. </w:t>
      </w:r>
      <w:r>
        <w:rPr>
          <w:sz w:val="22"/>
          <w:szCs w:val="22"/>
        </w:rPr>
        <w:t>Repeated-split nested model performance.</w:t>
      </w:r>
    </w:p>
    <w:tbl>
      <w:tblPr>
        <w:tblStyle w:val="af8"/>
        <w:tblW w:w="9360" w:type="dxa"/>
        <w:tblLayout w:type="fixed"/>
        <w:tblLook w:val="0400" w:firstRow="0" w:lastRow="0" w:firstColumn="0" w:lastColumn="0" w:noHBand="0" w:noVBand="1"/>
      </w:tblPr>
      <w:tblGrid>
        <w:gridCol w:w="2611"/>
        <w:gridCol w:w="774"/>
        <w:gridCol w:w="1180"/>
        <w:gridCol w:w="1059"/>
        <w:gridCol w:w="762"/>
        <w:gridCol w:w="585"/>
        <w:gridCol w:w="1248"/>
        <w:gridCol w:w="1141"/>
      </w:tblGrid>
      <w:tr w:rsidR="00BA0745" w14:paraId="170AB062" w14:textId="77777777">
        <w:tc>
          <w:tcPr>
            <w:tcW w:w="2611" w:type="dxa"/>
            <w:tcBorders>
              <w:top w:val="single" w:sz="4" w:space="0" w:color="000000"/>
              <w:bottom w:val="single" w:sz="4" w:space="0" w:color="000000"/>
            </w:tcBorders>
            <w:vAlign w:val="center"/>
          </w:tcPr>
          <w:p w14:paraId="4C95B124" w14:textId="77777777" w:rsidR="00BA0745" w:rsidRDefault="00000000">
            <w:pPr>
              <w:spacing w:before="120" w:after="120"/>
              <w:jc w:val="center"/>
              <w:rPr>
                <w:sz w:val="22"/>
                <w:szCs w:val="22"/>
              </w:rPr>
            </w:pPr>
            <w:r>
              <w:rPr>
                <w:sz w:val="22"/>
                <w:szCs w:val="22"/>
              </w:rPr>
              <w:t>Model</w:t>
            </w:r>
          </w:p>
        </w:tc>
        <w:tc>
          <w:tcPr>
            <w:tcW w:w="774" w:type="dxa"/>
            <w:tcBorders>
              <w:top w:val="single" w:sz="4" w:space="0" w:color="000000"/>
              <w:bottom w:val="single" w:sz="4" w:space="0" w:color="000000"/>
            </w:tcBorders>
            <w:vAlign w:val="center"/>
          </w:tcPr>
          <w:p w14:paraId="25B995F6" w14:textId="77777777" w:rsidR="00BA0745" w:rsidRDefault="00000000">
            <w:pPr>
              <w:spacing w:before="120" w:after="120"/>
              <w:jc w:val="center"/>
              <w:rPr>
                <w:sz w:val="22"/>
                <w:szCs w:val="22"/>
              </w:rPr>
            </w:pPr>
            <w:r>
              <w:rPr>
                <w:sz w:val="22"/>
                <w:szCs w:val="22"/>
              </w:rPr>
              <w:t>n repeats</w:t>
            </w:r>
          </w:p>
        </w:tc>
        <w:tc>
          <w:tcPr>
            <w:tcW w:w="1180" w:type="dxa"/>
            <w:tcBorders>
              <w:top w:val="single" w:sz="4" w:space="0" w:color="000000"/>
              <w:bottom w:val="single" w:sz="4" w:space="0" w:color="000000"/>
            </w:tcBorders>
            <w:vAlign w:val="center"/>
          </w:tcPr>
          <w:p w14:paraId="5BBAB6B6" w14:textId="77777777" w:rsidR="00BA0745" w:rsidRDefault="00000000">
            <w:pPr>
              <w:spacing w:before="120" w:after="120"/>
              <w:jc w:val="center"/>
              <w:rPr>
                <w:sz w:val="22"/>
                <w:szCs w:val="22"/>
              </w:rPr>
            </w:pPr>
            <w:r>
              <w:rPr>
                <w:sz w:val="22"/>
                <w:szCs w:val="22"/>
              </w:rPr>
              <w:t>Mean RMSE raw</w:t>
            </w:r>
          </w:p>
        </w:tc>
        <w:tc>
          <w:tcPr>
            <w:tcW w:w="1059" w:type="dxa"/>
            <w:tcBorders>
              <w:top w:val="single" w:sz="4" w:space="0" w:color="000000"/>
              <w:bottom w:val="single" w:sz="4" w:space="0" w:color="000000"/>
            </w:tcBorders>
            <w:vAlign w:val="center"/>
          </w:tcPr>
          <w:p w14:paraId="250054BD" w14:textId="77777777" w:rsidR="00BA0745" w:rsidRDefault="00000000">
            <w:pPr>
              <w:spacing w:before="120" w:after="120"/>
              <w:jc w:val="center"/>
              <w:rPr>
                <w:sz w:val="22"/>
                <w:szCs w:val="22"/>
              </w:rPr>
            </w:pPr>
            <w:r>
              <w:rPr>
                <w:sz w:val="22"/>
                <w:szCs w:val="22"/>
              </w:rPr>
              <w:t>SD RMSE raw</w:t>
            </w:r>
          </w:p>
        </w:tc>
        <w:tc>
          <w:tcPr>
            <w:tcW w:w="762" w:type="dxa"/>
            <w:tcBorders>
              <w:top w:val="single" w:sz="4" w:space="0" w:color="000000"/>
              <w:bottom w:val="single" w:sz="4" w:space="0" w:color="000000"/>
            </w:tcBorders>
            <w:vAlign w:val="center"/>
          </w:tcPr>
          <w:p w14:paraId="18BF8A5D" w14:textId="77777777" w:rsidR="00BA0745" w:rsidRDefault="00000000">
            <w:pPr>
              <w:spacing w:before="120" w:after="120"/>
              <w:jc w:val="center"/>
              <w:rPr>
                <w:sz w:val="22"/>
                <w:szCs w:val="22"/>
              </w:rPr>
            </w:pPr>
            <w:r>
              <w:rPr>
                <w:sz w:val="22"/>
                <w:szCs w:val="22"/>
              </w:rPr>
              <w:t>Mean R²</w:t>
            </w:r>
          </w:p>
        </w:tc>
        <w:tc>
          <w:tcPr>
            <w:tcW w:w="585" w:type="dxa"/>
            <w:tcBorders>
              <w:top w:val="single" w:sz="4" w:space="0" w:color="000000"/>
              <w:bottom w:val="single" w:sz="4" w:space="0" w:color="000000"/>
            </w:tcBorders>
            <w:vAlign w:val="center"/>
          </w:tcPr>
          <w:p w14:paraId="072BD201" w14:textId="77777777" w:rsidR="00BA0745" w:rsidRDefault="00000000">
            <w:pPr>
              <w:spacing w:before="120" w:after="120"/>
              <w:jc w:val="center"/>
              <w:rPr>
                <w:sz w:val="22"/>
                <w:szCs w:val="22"/>
              </w:rPr>
            </w:pPr>
            <w:r>
              <w:rPr>
                <w:sz w:val="22"/>
                <w:szCs w:val="22"/>
              </w:rPr>
              <w:t>SD R²</w:t>
            </w:r>
          </w:p>
        </w:tc>
        <w:tc>
          <w:tcPr>
            <w:tcW w:w="1248" w:type="dxa"/>
            <w:tcBorders>
              <w:top w:val="single" w:sz="4" w:space="0" w:color="000000"/>
              <w:bottom w:val="single" w:sz="4" w:space="0" w:color="000000"/>
            </w:tcBorders>
            <w:vAlign w:val="center"/>
          </w:tcPr>
          <w:p w14:paraId="37241707" w14:textId="77777777" w:rsidR="00BA0745" w:rsidRDefault="00000000">
            <w:pPr>
              <w:spacing w:before="120" w:after="120"/>
              <w:jc w:val="center"/>
              <w:rPr>
                <w:sz w:val="22"/>
                <w:szCs w:val="22"/>
              </w:rPr>
            </w:pPr>
            <w:r>
              <w:rPr>
                <w:sz w:val="22"/>
                <w:szCs w:val="22"/>
              </w:rPr>
              <w:t>Mean Spearman</w:t>
            </w:r>
          </w:p>
        </w:tc>
        <w:tc>
          <w:tcPr>
            <w:tcW w:w="1141" w:type="dxa"/>
            <w:tcBorders>
              <w:top w:val="single" w:sz="4" w:space="0" w:color="000000"/>
              <w:bottom w:val="single" w:sz="4" w:space="0" w:color="000000"/>
            </w:tcBorders>
            <w:vAlign w:val="center"/>
          </w:tcPr>
          <w:p w14:paraId="7E9436E3" w14:textId="77777777" w:rsidR="00BA0745" w:rsidRDefault="00000000">
            <w:pPr>
              <w:spacing w:before="120" w:after="120"/>
              <w:jc w:val="center"/>
              <w:rPr>
                <w:sz w:val="22"/>
                <w:szCs w:val="22"/>
              </w:rPr>
            </w:pPr>
            <w:r>
              <w:rPr>
                <w:sz w:val="22"/>
                <w:szCs w:val="22"/>
              </w:rPr>
              <w:t>SD Spearman</w:t>
            </w:r>
          </w:p>
        </w:tc>
      </w:tr>
      <w:tr w:rsidR="00BA0745" w14:paraId="719D752B" w14:textId="77777777">
        <w:tc>
          <w:tcPr>
            <w:tcW w:w="2611" w:type="dxa"/>
            <w:vAlign w:val="center"/>
          </w:tcPr>
          <w:p w14:paraId="101D5421" w14:textId="77777777" w:rsidR="00BA0745" w:rsidRDefault="00000000">
            <w:pPr>
              <w:spacing w:before="120" w:after="120"/>
              <w:jc w:val="center"/>
              <w:rPr>
                <w:sz w:val="22"/>
                <w:szCs w:val="22"/>
              </w:rPr>
            </w:pPr>
            <w:r>
              <w:rPr>
                <w:sz w:val="22"/>
                <w:szCs w:val="22"/>
              </w:rPr>
              <w:t>M0 mean-only baseline</w:t>
            </w:r>
          </w:p>
        </w:tc>
        <w:tc>
          <w:tcPr>
            <w:tcW w:w="774" w:type="dxa"/>
            <w:vAlign w:val="center"/>
          </w:tcPr>
          <w:p w14:paraId="50313620" w14:textId="77777777" w:rsidR="00BA0745" w:rsidRDefault="00000000">
            <w:pPr>
              <w:spacing w:before="120" w:after="120"/>
              <w:jc w:val="center"/>
              <w:rPr>
                <w:sz w:val="22"/>
                <w:szCs w:val="22"/>
              </w:rPr>
            </w:pPr>
            <w:r>
              <w:rPr>
                <w:sz w:val="22"/>
                <w:szCs w:val="22"/>
              </w:rPr>
              <w:t>10</w:t>
            </w:r>
          </w:p>
        </w:tc>
        <w:tc>
          <w:tcPr>
            <w:tcW w:w="1180" w:type="dxa"/>
            <w:vAlign w:val="center"/>
          </w:tcPr>
          <w:p w14:paraId="0AF6560D" w14:textId="77777777" w:rsidR="00BA0745" w:rsidRDefault="00000000">
            <w:pPr>
              <w:spacing w:before="120" w:after="120"/>
              <w:jc w:val="center"/>
              <w:rPr>
                <w:sz w:val="22"/>
                <w:szCs w:val="22"/>
              </w:rPr>
            </w:pPr>
            <w:r>
              <w:rPr>
                <w:sz w:val="22"/>
                <w:szCs w:val="22"/>
              </w:rPr>
              <w:t>0.624</w:t>
            </w:r>
          </w:p>
        </w:tc>
        <w:tc>
          <w:tcPr>
            <w:tcW w:w="1059" w:type="dxa"/>
            <w:vAlign w:val="center"/>
          </w:tcPr>
          <w:p w14:paraId="274FDDD5" w14:textId="77777777" w:rsidR="00BA0745" w:rsidRDefault="00000000">
            <w:pPr>
              <w:spacing w:before="120" w:after="120"/>
              <w:jc w:val="center"/>
              <w:rPr>
                <w:sz w:val="22"/>
                <w:szCs w:val="22"/>
              </w:rPr>
            </w:pPr>
            <w:r>
              <w:rPr>
                <w:sz w:val="22"/>
                <w:szCs w:val="22"/>
              </w:rPr>
              <w:t>0.012</w:t>
            </w:r>
          </w:p>
        </w:tc>
        <w:tc>
          <w:tcPr>
            <w:tcW w:w="762" w:type="dxa"/>
            <w:vAlign w:val="center"/>
          </w:tcPr>
          <w:p w14:paraId="3DFDF531" w14:textId="38311CA9" w:rsidR="00BA0745" w:rsidRDefault="00500622" w:rsidP="00500622">
            <w:pPr>
              <w:rPr>
                <w:sz w:val="22"/>
                <w:szCs w:val="22"/>
              </w:rPr>
            </w:pPr>
            <w:r w:rsidRPr="00500622">
              <w:rPr>
                <w:sz w:val="22"/>
                <w:szCs w:val="22"/>
              </w:rPr>
              <w:t>−0.001</w:t>
            </w:r>
          </w:p>
        </w:tc>
        <w:tc>
          <w:tcPr>
            <w:tcW w:w="585" w:type="dxa"/>
            <w:vAlign w:val="center"/>
          </w:tcPr>
          <w:p w14:paraId="52B43736" w14:textId="77777777" w:rsidR="00BA0745" w:rsidRDefault="00000000">
            <w:pPr>
              <w:spacing w:before="120" w:after="120"/>
              <w:jc w:val="center"/>
              <w:rPr>
                <w:sz w:val="22"/>
                <w:szCs w:val="22"/>
              </w:rPr>
            </w:pPr>
            <w:r>
              <w:rPr>
                <w:sz w:val="22"/>
                <w:szCs w:val="22"/>
              </w:rPr>
              <w:t>0.001</w:t>
            </w:r>
          </w:p>
        </w:tc>
        <w:tc>
          <w:tcPr>
            <w:tcW w:w="1248" w:type="dxa"/>
            <w:vAlign w:val="center"/>
          </w:tcPr>
          <w:p w14:paraId="66B6E75C" w14:textId="77777777" w:rsidR="00BA0745" w:rsidRDefault="00000000">
            <w:pPr>
              <w:spacing w:before="120" w:after="120"/>
              <w:jc w:val="center"/>
              <w:rPr>
                <w:sz w:val="22"/>
                <w:szCs w:val="22"/>
              </w:rPr>
            </w:pPr>
            <w:r>
              <w:rPr>
                <w:sz w:val="22"/>
                <w:szCs w:val="22"/>
              </w:rPr>
              <w:t>—</w:t>
            </w:r>
          </w:p>
        </w:tc>
        <w:tc>
          <w:tcPr>
            <w:tcW w:w="1141" w:type="dxa"/>
            <w:vAlign w:val="center"/>
          </w:tcPr>
          <w:p w14:paraId="11D69EF9" w14:textId="77777777" w:rsidR="00BA0745" w:rsidRDefault="00000000">
            <w:pPr>
              <w:spacing w:before="120" w:after="120"/>
              <w:jc w:val="center"/>
              <w:rPr>
                <w:sz w:val="22"/>
                <w:szCs w:val="22"/>
              </w:rPr>
            </w:pPr>
            <w:r>
              <w:rPr>
                <w:sz w:val="22"/>
                <w:szCs w:val="22"/>
              </w:rPr>
              <w:t>—</w:t>
            </w:r>
          </w:p>
        </w:tc>
      </w:tr>
      <w:tr w:rsidR="00BA0745" w14:paraId="5FD09D0E" w14:textId="77777777">
        <w:tc>
          <w:tcPr>
            <w:tcW w:w="2611" w:type="dxa"/>
            <w:vAlign w:val="center"/>
          </w:tcPr>
          <w:p w14:paraId="40A4F419" w14:textId="77777777" w:rsidR="00BA0745" w:rsidRDefault="00000000">
            <w:pPr>
              <w:spacing w:before="120" w:after="120"/>
              <w:jc w:val="center"/>
              <w:rPr>
                <w:sz w:val="22"/>
                <w:szCs w:val="22"/>
              </w:rPr>
            </w:pPr>
            <w:r>
              <w:rPr>
                <w:sz w:val="22"/>
                <w:szCs w:val="22"/>
              </w:rPr>
              <w:t>M1 service-support</w:t>
            </w:r>
          </w:p>
        </w:tc>
        <w:tc>
          <w:tcPr>
            <w:tcW w:w="774" w:type="dxa"/>
            <w:vAlign w:val="center"/>
          </w:tcPr>
          <w:p w14:paraId="13353821" w14:textId="77777777" w:rsidR="00BA0745" w:rsidRDefault="00000000">
            <w:pPr>
              <w:spacing w:before="120" w:after="120"/>
              <w:jc w:val="center"/>
              <w:rPr>
                <w:sz w:val="22"/>
                <w:szCs w:val="22"/>
              </w:rPr>
            </w:pPr>
            <w:r>
              <w:rPr>
                <w:sz w:val="22"/>
                <w:szCs w:val="22"/>
              </w:rPr>
              <w:t>10</w:t>
            </w:r>
          </w:p>
        </w:tc>
        <w:tc>
          <w:tcPr>
            <w:tcW w:w="1180" w:type="dxa"/>
            <w:vAlign w:val="center"/>
          </w:tcPr>
          <w:p w14:paraId="7BB703AE" w14:textId="77777777" w:rsidR="00BA0745" w:rsidRDefault="00000000">
            <w:pPr>
              <w:spacing w:before="120" w:after="120"/>
              <w:jc w:val="center"/>
              <w:rPr>
                <w:sz w:val="22"/>
                <w:szCs w:val="22"/>
              </w:rPr>
            </w:pPr>
            <w:r>
              <w:rPr>
                <w:sz w:val="22"/>
                <w:szCs w:val="22"/>
              </w:rPr>
              <w:t>0.415</w:t>
            </w:r>
          </w:p>
        </w:tc>
        <w:tc>
          <w:tcPr>
            <w:tcW w:w="1059" w:type="dxa"/>
            <w:vAlign w:val="center"/>
          </w:tcPr>
          <w:p w14:paraId="3715252B" w14:textId="77777777" w:rsidR="00BA0745" w:rsidRDefault="00000000">
            <w:pPr>
              <w:spacing w:before="120" w:after="120"/>
              <w:jc w:val="center"/>
              <w:rPr>
                <w:sz w:val="22"/>
                <w:szCs w:val="22"/>
              </w:rPr>
            </w:pPr>
            <w:r>
              <w:rPr>
                <w:sz w:val="22"/>
                <w:szCs w:val="22"/>
              </w:rPr>
              <w:t>0.011</w:t>
            </w:r>
          </w:p>
        </w:tc>
        <w:tc>
          <w:tcPr>
            <w:tcW w:w="762" w:type="dxa"/>
            <w:vAlign w:val="center"/>
          </w:tcPr>
          <w:p w14:paraId="413FBF4F" w14:textId="77777777" w:rsidR="00BA0745" w:rsidRDefault="00000000">
            <w:pPr>
              <w:spacing w:before="120" w:after="120"/>
              <w:jc w:val="center"/>
              <w:rPr>
                <w:sz w:val="22"/>
                <w:szCs w:val="22"/>
              </w:rPr>
            </w:pPr>
            <w:r>
              <w:rPr>
                <w:sz w:val="22"/>
                <w:szCs w:val="22"/>
              </w:rPr>
              <w:t>0.556</w:t>
            </w:r>
          </w:p>
        </w:tc>
        <w:tc>
          <w:tcPr>
            <w:tcW w:w="585" w:type="dxa"/>
            <w:vAlign w:val="center"/>
          </w:tcPr>
          <w:p w14:paraId="459B07A0" w14:textId="77777777" w:rsidR="00BA0745" w:rsidRDefault="00000000">
            <w:pPr>
              <w:spacing w:before="120" w:after="120"/>
              <w:jc w:val="center"/>
              <w:rPr>
                <w:sz w:val="22"/>
                <w:szCs w:val="22"/>
              </w:rPr>
            </w:pPr>
            <w:r>
              <w:rPr>
                <w:sz w:val="22"/>
                <w:szCs w:val="22"/>
              </w:rPr>
              <w:t>0.033</w:t>
            </w:r>
          </w:p>
        </w:tc>
        <w:tc>
          <w:tcPr>
            <w:tcW w:w="1248" w:type="dxa"/>
            <w:vAlign w:val="center"/>
          </w:tcPr>
          <w:p w14:paraId="67805B5E" w14:textId="77777777" w:rsidR="00BA0745" w:rsidRDefault="00000000">
            <w:pPr>
              <w:spacing w:before="120" w:after="120"/>
              <w:jc w:val="center"/>
              <w:rPr>
                <w:sz w:val="22"/>
                <w:szCs w:val="22"/>
              </w:rPr>
            </w:pPr>
            <w:r>
              <w:rPr>
                <w:sz w:val="22"/>
                <w:szCs w:val="22"/>
              </w:rPr>
              <w:t>0.733</w:t>
            </w:r>
          </w:p>
        </w:tc>
        <w:tc>
          <w:tcPr>
            <w:tcW w:w="1141" w:type="dxa"/>
            <w:vAlign w:val="center"/>
          </w:tcPr>
          <w:p w14:paraId="423E019C" w14:textId="77777777" w:rsidR="00BA0745" w:rsidRDefault="00000000">
            <w:pPr>
              <w:spacing w:before="120" w:after="120"/>
              <w:jc w:val="center"/>
              <w:rPr>
                <w:sz w:val="22"/>
                <w:szCs w:val="22"/>
              </w:rPr>
            </w:pPr>
            <w:r>
              <w:rPr>
                <w:sz w:val="22"/>
                <w:szCs w:val="22"/>
              </w:rPr>
              <w:t>0.024</w:t>
            </w:r>
          </w:p>
        </w:tc>
      </w:tr>
      <w:tr w:rsidR="00BA0745" w14:paraId="6C9E9CB6" w14:textId="77777777">
        <w:tc>
          <w:tcPr>
            <w:tcW w:w="2611" w:type="dxa"/>
            <w:vAlign w:val="center"/>
          </w:tcPr>
          <w:p w14:paraId="612604B1" w14:textId="77777777" w:rsidR="00BA0745" w:rsidRDefault="00000000">
            <w:pPr>
              <w:spacing w:before="120" w:after="120"/>
              <w:jc w:val="center"/>
              <w:rPr>
                <w:sz w:val="22"/>
                <w:szCs w:val="22"/>
              </w:rPr>
            </w:pPr>
            <w:r>
              <w:rPr>
                <w:sz w:val="22"/>
                <w:szCs w:val="22"/>
              </w:rPr>
              <w:t>M2 service + household context</w:t>
            </w:r>
          </w:p>
        </w:tc>
        <w:tc>
          <w:tcPr>
            <w:tcW w:w="774" w:type="dxa"/>
            <w:vAlign w:val="center"/>
          </w:tcPr>
          <w:p w14:paraId="0A8ED5A4" w14:textId="77777777" w:rsidR="00BA0745" w:rsidRDefault="00000000">
            <w:pPr>
              <w:spacing w:before="120" w:after="120"/>
              <w:jc w:val="center"/>
              <w:rPr>
                <w:sz w:val="22"/>
                <w:szCs w:val="22"/>
              </w:rPr>
            </w:pPr>
            <w:r>
              <w:rPr>
                <w:sz w:val="22"/>
                <w:szCs w:val="22"/>
              </w:rPr>
              <w:t>10</w:t>
            </w:r>
          </w:p>
        </w:tc>
        <w:tc>
          <w:tcPr>
            <w:tcW w:w="1180" w:type="dxa"/>
            <w:vAlign w:val="center"/>
          </w:tcPr>
          <w:p w14:paraId="24A6B82A" w14:textId="77777777" w:rsidR="00BA0745" w:rsidRDefault="00000000">
            <w:pPr>
              <w:spacing w:before="120" w:after="120"/>
              <w:jc w:val="center"/>
              <w:rPr>
                <w:sz w:val="22"/>
                <w:szCs w:val="22"/>
              </w:rPr>
            </w:pPr>
            <w:r>
              <w:rPr>
                <w:sz w:val="22"/>
                <w:szCs w:val="22"/>
              </w:rPr>
              <w:t>0.415</w:t>
            </w:r>
          </w:p>
        </w:tc>
        <w:tc>
          <w:tcPr>
            <w:tcW w:w="1059" w:type="dxa"/>
            <w:vAlign w:val="center"/>
          </w:tcPr>
          <w:p w14:paraId="2AF3F6F4" w14:textId="77777777" w:rsidR="00BA0745" w:rsidRDefault="00000000">
            <w:pPr>
              <w:spacing w:before="120" w:after="120"/>
              <w:jc w:val="center"/>
              <w:rPr>
                <w:sz w:val="22"/>
                <w:szCs w:val="22"/>
              </w:rPr>
            </w:pPr>
            <w:r>
              <w:rPr>
                <w:sz w:val="22"/>
                <w:szCs w:val="22"/>
              </w:rPr>
              <w:t>0.011</w:t>
            </w:r>
          </w:p>
        </w:tc>
        <w:tc>
          <w:tcPr>
            <w:tcW w:w="762" w:type="dxa"/>
            <w:vAlign w:val="center"/>
          </w:tcPr>
          <w:p w14:paraId="6C55C45B" w14:textId="77777777" w:rsidR="00BA0745" w:rsidRDefault="00000000">
            <w:pPr>
              <w:spacing w:before="120" w:after="120"/>
              <w:jc w:val="center"/>
              <w:rPr>
                <w:sz w:val="22"/>
                <w:szCs w:val="22"/>
              </w:rPr>
            </w:pPr>
            <w:r>
              <w:rPr>
                <w:sz w:val="22"/>
                <w:szCs w:val="22"/>
              </w:rPr>
              <w:t>0.556</w:t>
            </w:r>
          </w:p>
        </w:tc>
        <w:tc>
          <w:tcPr>
            <w:tcW w:w="585" w:type="dxa"/>
            <w:vAlign w:val="center"/>
          </w:tcPr>
          <w:p w14:paraId="315ACF78" w14:textId="77777777" w:rsidR="00BA0745" w:rsidRDefault="00000000">
            <w:pPr>
              <w:spacing w:before="120" w:after="120"/>
              <w:jc w:val="center"/>
              <w:rPr>
                <w:sz w:val="22"/>
                <w:szCs w:val="22"/>
              </w:rPr>
            </w:pPr>
            <w:r>
              <w:rPr>
                <w:sz w:val="22"/>
                <w:szCs w:val="22"/>
              </w:rPr>
              <w:t>0.032</w:t>
            </w:r>
          </w:p>
        </w:tc>
        <w:tc>
          <w:tcPr>
            <w:tcW w:w="1248" w:type="dxa"/>
            <w:vAlign w:val="center"/>
          </w:tcPr>
          <w:p w14:paraId="03D6048A" w14:textId="77777777" w:rsidR="00BA0745" w:rsidRDefault="00000000">
            <w:pPr>
              <w:spacing w:before="120" w:after="120"/>
              <w:jc w:val="center"/>
              <w:rPr>
                <w:sz w:val="22"/>
                <w:szCs w:val="22"/>
              </w:rPr>
            </w:pPr>
            <w:r>
              <w:rPr>
                <w:sz w:val="22"/>
                <w:szCs w:val="22"/>
              </w:rPr>
              <w:t>0.732</w:t>
            </w:r>
          </w:p>
        </w:tc>
        <w:tc>
          <w:tcPr>
            <w:tcW w:w="1141" w:type="dxa"/>
            <w:vAlign w:val="center"/>
          </w:tcPr>
          <w:p w14:paraId="4478E2B9" w14:textId="77777777" w:rsidR="00BA0745" w:rsidRDefault="00000000">
            <w:pPr>
              <w:spacing w:before="120" w:after="120"/>
              <w:jc w:val="center"/>
              <w:rPr>
                <w:sz w:val="22"/>
                <w:szCs w:val="22"/>
              </w:rPr>
            </w:pPr>
            <w:r>
              <w:rPr>
                <w:sz w:val="22"/>
                <w:szCs w:val="22"/>
              </w:rPr>
              <w:t>0.023</w:t>
            </w:r>
          </w:p>
        </w:tc>
      </w:tr>
      <w:tr w:rsidR="00BA0745" w14:paraId="37F63DCA" w14:textId="77777777">
        <w:tc>
          <w:tcPr>
            <w:tcW w:w="2611" w:type="dxa"/>
            <w:tcBorders>
              <w:bottom w:val="single" w:sz="4" w:space="0" w:color="000000"/>
            </w:tcBorders>
            <w:vAlign w:val="center"/>
          </w:tcPr>
          <w:p w14:paraId="1BEED33A" w14:textId="77777777" w:rsidR="00BA0745" w:rsidRDefault="00000000">
            <w:pPr>
              <w:spacing w:before="120" w:after="120"/>
              <w:jc w:val="center"/>
              <w:rPr>
                <w:sz w:val="22"/>
                <w:szCs w:val="22"/>
              </w:rPr>
            </w:pPr>
            <w:r>
              <w:rPr>
                <w:sz w:val="22"/>
                <w:szCs w:val="22"/>
              </w:rPr>
              <w:t>M3 service + household context + priorities</w:t>
            </w:r>
          </w:p>
        </w:tc>
        <w:tc>
          <w:tcPr>
            <w:tcW w:w="774" w:type="dxa"/>
            <w:tcBorders>
              <w:bottom w:val="single" w:sz="4" w:space="0" w:color="000000"/>
            </w:tcBorders>
            <w:vAlign w:val="center"/>
          </w:tcPr>
          <w:p w14:paraId="342A1B22" w14:textId="77777777" w:rsidR="00BA0745" w:rsidRDefault="00000000">
            <w:pPr>
              <w:spacing w:before="120" w:after="120"/>
              <w:jc w:val="center"/>
              <w:rPr>
                <w:sz w:val="22"/>
                <w:szCs w:val="22"/>
              </w:rPr>
            </w:pPr>
            <w:r>
              <w:rPr>
                <w:sz w:val="22"/>
                <w:szCs w:val="22"/>
              </w:rPr>
              <w:t>10</w:t>
            </w:r>
          </w:p>
        </w:tc>
        <w:tc>
          <w:tcPr>
            <w:tcW w:w="1180" w:type="dxa"/>
            <w:tcBorders>
              <w:bottom w:val="single" w:sz="4" w:space="0" w:color="000000"/>
            </w:tcBorders>
            <w:vAlign w:val="center"/>
          </w:tcPr>
          <w:p w14:paraId="4E5FB0A2" w14:textId="77777777" w:rsidR="00BA0745" w:rsidRDefault="00000000">
            <w:pPr>
              <w:spacing w:before="120" w:after="120"/>
              <w:jc w:val="center"/>
              <w:rPr>
                <w:sz w:val="22"/>
                <w:szCs w:val="22"/>
              </w:rPr>
            </w:pPr>
            <w:r>
              <w:rPr>
                <w:sz w:val="22"/>
                <w:szCs w:val="22"/>
              </w:rPr>
              <w:t>0.413</w:t>
            </w:r>
          </w:p>
        </w:tc>
        <w:tc>
          <w:tcPr>
            <w:tcW w:w="1059" w:type="dxa"/>
            <w:tcBorders>
              <w:bottom w:val="single" w:sz="4" w:space="0" w:color="000000"/>
            </w:tcBorders>
            <w:vAlign w:val="center"/>
          </w:tcPr>
          <w:p w14:paraId="4808030E" w14:textId="77777777" w:rsidR="00BA0745" w:rsidRDefault="00000000">
            <w:pPr>
              <w:spacing w:before="120" w:after="120"/>
              <w:jc w:val="center"/>
              <w:rPr>
                <w:sz w:val="22"/>
                <w:szCs w:val="22"/>
              </w:rPr>
            </w:pPr>
            <w:r>
              <w:rPr>
                <w:sz w:val="22"/>
                <w:szCs w:val="22"/>
              </w:rPr>
              <w:t>0.011</w:t>
            </w:r>
          </w:p>
        </w:tc>
        <w:tc>
          <w:tcPr>
            <w:tcW w:w="762" w:type="dxa"/>
            <w:tcBorders>
              <w:bottom w:val="single" w:sz="4" w:space="0" w:color="000000"/>
            </w:tcBorders>
            <w:vAlign w:val="center"/>
          </w:tcPr>
          <w:p w14:paraId="7669FF82" w14:textId="77777777" w:rsidR="00BA0745" w:rsidRDefault="00000000">
            <w:pPr>
              <w:spacing w:before="120" w:after="120"/>
              <w:jc w:val="center"/>
              <w:rPr>
                <w:sz w:val="22"/>
                <w:szCs w:val="22"/>
              </w:rPr>
            </w:pPr>
            <w:r>
              <w:rPr>
                <w:sz w:val="22"/>
                <w:szCs w:val="22"/>
              </w:rPr>
              <w:t>0.561</w:t>
            </w:r>
          </w:p>
        </w:tc>
        <w:tc>
          <w:tcPr>
            <w:tcW w:w="585" w:type="dxa"/>
            <w:tcBorders>
              <w:bottom w:val="single" w:sz="4" w:space="0" w:color="000000"/>
            </w:tcBorders>
            <w:vAlign w:val="center"/>
          </w:tcPr>
          <w:p w14:paraId="5B7C0CBF" w14:textId="77777777" w:rsidR="00BA0745" w:rsidRDefault="00000000">
            <w:pPr>
              <w:spacing w:before="120" w:after="120"/>
              <w:jc w:val="center"/>
              <w:rPr>
                <w:sz w:val="22"/>
                <w:szCs w:val="22"/>
              </w:rPr>
            </w:pPr>
            <w:r>
              <w:rPr>
                <w:sz w:val="22"/>
                <w:szCs w:val="22"/>
              </w:rPr>
              <w:t>0.032</w:t>
            </w:r>
          </w:p>
        </w:tc>
        <w:tc>
          <w:tcPr>
            <w:tcW w:w="1248" w:type="dxa"/>
            <w:tcBorders>
              <w:bottom w:val="single" w:sz="4" w:space="0" w:color="000000"/>
            </w:tcBorders>
            <w:vAlign w:val="center"/>
          </w:tcPr>
          <w:p w14:paraId="4101D23B" w14:textId="77777777" w:rsidR="00BA0745" w:rsidRDefault="00000000">
            <w:pPr>
              <w:spacing w:before="120" w:after="120"/>
              <w:jc w:val="center"/>
              <w:rPr>
                <w:sz w:val="22"/>
                <w:szCs w:val="22"/>
              </w:rPr>
            </w:pPr>
            <w:r>
              <w:rPr>
                <w:sz w:val="22"/>
                <w:szCs w:val="22"/>
              </w:rPr>
              <w:t>0.735</w:t>
            </w:r>
          </w:p>
        </w:tc>
        <w:tc>
          <w:tcPr>
            <w:tcW w:w="1141" w:type="dxa"/>
            <w:tcBorders>
              <w:bottom w:val="single" w:sz="4" w:space="0" w:color="000000"/>
            </w:tcBorders>
            <w:vAlign w:val="center"/>
          </w:tcPr>
          <w:p w14:paraId="7DEAE8E9" w14:textId="77777777" w:rsidR="00BA0745" w:rsidRDefault="00000000">
            <w:pPr>
              <w:spacing w:before="120" w:after="120"/>
              <w:jc w:val="center"/>
              <w:rPr>
                <w:sz w:val="22"/>
                <w:szCs w:val="22"/>
              </w:rPr>
            </w:pPr>
            <w:r>
              <w:rPr>
                <w:sz w:val="22"/>
                <w:szCs w:val="22"/>
              </w:rPr>
              <w:t>0.024</w:t>
            </w:r>
          </w:p>
        </w:tc>
      </w:tr>
    </w:tbl>
    <w:p w14:paraId="7CAD2DB2" w14:textId="77777777" w:rsidR="00BA0745" w:rsidRDefault="00000000">
      <w:pPr>
        <w:spacing w:before="120" w:after="120"/>
        <w:jc w:val="both"/>
        <w:rPr>
          <w:b/>
          <w:bCs/>
          <w:sz w:val="22"/>
          <w:szCs w:val="22"/>
        </w:rPr>
      </w:pPr>
      <w:r>
        <w:rPr>
          <w:b/>
          <w:bCs/>
          <w:sz w:val="22"/>
          <w:szCs w:val="22"/>
        </w:rPr>
        <w:t>S2.5. Benchmark comparison across model families</w:t>
      </w:r>
    </w:p>
    <w:p w14:paraId="1ABEF22A" w14:textId="77777777" w:rsidR="00BA0745" w:rsidRDefault="00000000">
      <w:pPr>
        <w:spacing w:before="120" w:after="120"/>
        <w:jc w:val="both"/>
        <w:rPr>
          <w:sz w:val="22"/>
          <w:szCs w:val="22"/>
        </w:rPr>
      </w:pPr>
      <w:r>
        <w:rPr>
          <w:sz w:val="22"/>
          <w:szCs w:val="22"/>
        </w:rPr>
        <w:t>Benchmark comparisons showed that CatBoost performed best or comparably under the final M3 predictor set. Across five repeated splits, CatBoost had a mean RMSE of 0.413, followed by Histogram Gradient Boosting, Extra Trees, Random Forest, ElasticNet, and Ridge. The mean-only baseline had RMSE 0.625.</w:t>
      </w:r>
    </w:p>
    <w:p w14:paraId="2A5CE956" w14:textId="77777777" w:rsidR="00BA0745" w:rsidRDefault="00000000">
      <w:pPr>
        <w:spacing w:before="120" w:after="120"/>
        <w:jc w:val="both"/>
        <w:rPr>
          <w:sz w:val="22"/>
          <w:szCs w:val="22"/>
        </w:rPr>
      </w:pPr>
      <w:r>
        <w:rPr>
          <w:b/>
          <w:bCs/>
          <w:sz w:val="22"/>
          <w:szCs w:val="22"/>
        </w:rPr>
        <w:t xml:space="preserve">Supplementary Table S10. </w:t>
      </w:r>
      <w:r>
        <w:rPr>
          <w:sz w:val="22"/>
          <w:szCs w:val="22"/>
        </w:rPr>
        <w:t>Benchmark model comparison using the final predictor set.</w:t>
      </w:r>
    </w:p>
    <w:tbl>
      <w:tblPr>
        <w:tblStyle w:val="af9"/>
        <w:tblW w:w="9360" w:type="dxa"/>
        <w:tblLayout w:type="fixed"/>
        <w:tblLook w:val="0400" w:firstRow="0" w:lastRow="0" w:firstColumn="0" w:lastColumn="0" w:noHBand="0" w:noVBand="1"/>
      </w:tblPr>
      <w:tblGrid>
        <w:gridCol w:w="1822"/>
        <w:gridCol w:w="2725"/>
        <w:gridCol w:w="764"/>
        <w:gridCol w:w="1119"/>
        <w:gridCol w:w="1012"/>
        <w:gridCol w:w="692"/>
        <w:gridCol w:w="1226"/>
      </w:tblGrid>
      <w:tr w:rsidR="00BA0745" w14:paraId="6A67413E" w14:textId="77777777">
        <w:tc>
          <w:tcPr>
            <w:tcW w:w="1822" w:type="dxa"/>
            <w:tcBorders>
              <w:top w:val="single" w:sz="4" w:space="0" w:color="000000"/>
              <w:bottom w:val="single" w:sz="4" w:space="0" w:color="000000"/>
            </w:tcBorders>
            <w:vAlign w:val="center"/>
          </w:tcPr>
          <w:p w14:paraId="497044EF" w14:textId="77777777" w:rsidR="00BA0745" w:rsidRDefault="00000000">
            <w:pPr>
              <w:spacing w:before="120" w:after="120"/>
              <w:jc w:val="center"/>
              <w:rPr>
                <w:sz w:val="22"/>
                <w:szCs w:val="22"/>
              </w:rPr>
            </w:pPr>
            <w:r>
              <w:rPr>
                <w:sz w:val="22"/>
                <w:szCs w:val="22"/>
              </w:rPr>
              <w:t>Learner</w:t>
            </w:r>
          </w:p>
        </w:tc>
        <w:tc>
          <w:tcPr>
            <w:tcW w:w="2725" w:type="dxa"/>
            <w:tcBorders>
              <w:top w:val="single" w:sz="4" w:space="0" w:color="000000"/>
              <w:bottom w:val="single" w:sz="4" w:space="0" w:color="000000"/>
            </w:tcBorders>
            <w:vAlign w:val="center"/>
          </w:tcPr>
          <w:p w14:paraId="7311639B" w14:textId="77777777" w:rsidR="00BA0745" w:rsidRDefault="00000000">
            <w:pPr>
              <w:spacing w:before="120" w:after="120"/>
              <w:jc w:val="center"/>
              <w:rPr>
                <w:sz w:val="22"/>
                <w:szCs w:val="22"/>
              </w:rPr>
            </w:pPr>
            <w:r>
              <w:rPr>
                <w:sz w:val="22"/>
                <w:szCs w:val="22"/>
              </w:rPr>
              <w:t>Model family</w:t>
            </w:r>
          </w:p>
        </w:tc>
        <w:tc>
          <w:tcPr>
            <w:tcW w:w="764" w:type="dxa"/>
            <w:tcBorders>
              <w:top w:val="single" w:sz="4" w:space="0" w:color="000000"/>
              <w:bottom w:val="single" w:sz="4" w:space="0" w:color="000000"/>
            </w:tcBorders>
            <w:vAlign w:val="center"/>
          </w:tcPr>
          <w:p w14:paraId="7D2728E4" w14:textId="77777777" w:rsidR="00BA0745" w:rsidRDefault="00000000">
            <w:pPr>
              <w:spacing w:before="120" w:after="120"/>
              <w:jc w:val="center"/>
              <w:rPr>
                <w:sz w:val="22"/>
                <w:szCs w:val="22"/>
              </w:rPr>
            </w:pPr>
            <w:r>
              <w:rPr>
                <w:sz w:val="22"/>
                <w:szCs w:val="22"/>
              </w:rPr>
              <w:t>n repeats</w:t>
            </w:r>
          </w:p>
        </w:tc>
        <w:tc>
          <w:tcPr>
            <w:tcW w:w="1119" w:type="dxa"/>
            <w:tcBorders>
              <w:top w:val="single" w:sz="4" w:space="0" w:color="000000"/>
              <w:bottom w:val="single" w:sz="4" w:space="0" w:color="000000"/>
            </w:tcBorders>
            <w:vAlign w:val="center"/>
          </w:tcPr>
          <w:p w14:paraId="6258AF22" w14:textId="77777777" w:rsidR="00BA0745" w:rsidRDefault="00000000">
            <w:pPr>
              <w:spacing w:before="120" w:after="120"/>
              <w:jc w:val="center"/>
              <w:rPr>
                <w:sz w:val="22"/>
                <w:szCs w:val="22"/>
              </w:rPr>
            </w:pPr>
            <w:r>
              <w:rPr>
                <w:sz w:val="22"/>
                <w:szCs w:val="22"/>
              </w:rPr>
              <w:t>Mean RMSE raw</w:t>
            </w:r>
          </w:p>
        </w:tc>
        <w:tc>
          <w:tcPr>
            <w:tcW w:w="1012" w:type="dxa"/>
            <w:tcBorders>
              <w:top w:val="single" w:sz="4" w:space="0" w:color="000000"/>
              <w:bottom w:val="single" w:sz="4" w:space="0" w:color="000000"/>
            </w:tcBorders>
            <w:vAlign w:val="center"/>
          </w:tcPr>
          <w:p w14:paraId="7F439260" w14:textId="77777777" w:rsidR="00BA0745" w:rsidRDefault="00000000">
            <w:pPr>
              <w:spacing w:before="120" w:after="120"/>
              <w:jc w:val="center"/>
              <w:rPr>
                <w:sz w:val="22"/>
                <w:szCs w:val="22"/>
              </w:rPr>
            </w:pPr>
            <w:r>
              <w:rPr>
                <w:sz w:val="22"/>
                <w:szCs w:val="22"/>
              </w:rPr>
              <w:t>SD RMSE raw</w:t>
            </w:r>
          </w:p>
        </w:tc>
        <w:tc>
          <w:tcPr>
            <w:tcW w:w="692" w:type="dxa"/>
            <w:tcBorders>
              <w:top w:val="single" w:sz="4" w:space="0" w:color="000000"/>
              <w:bottom w:val="single" w:sz="4" w:space="0" w:color="000000"/>
            </w:tcBorders>
            <w:vAlign w:val="center"/>
          </w:tcPr>
          <w:p w14:paraId="5E5363B6" w14:textId="77777777" w:rsidR="00BA0745" w:rsidRDefault="00000000">
            <w:pPr>
              <w:spacing w:before="120" w:after="120"/>
              <w:jc w:val="center"/>
              <w:rPr>
                <w:sz w:val="22"/>
                <w:szCs w:val="22"/>
              </w:rPr>
            </w:pPr>
            <w:r>
              <w:rPr>
                <w:sz w:val="22"/>
                <w:szCs w:val="22"/>
              </w:rPr>
              <w:t>Mean R²</w:t>
            </w:r>
          </w:p>
        </w:tc>
        <w:tc>
          <w:tcPr>
            <w:tcW w:w="1226" w:type="dxa"/>
            <w:tcBorders>
              <w:top w:val="single" w:sz="4" w:space="0" w:color="000000"/>
              <w:bottom w:val="single" w:sz="4" w:space="0" w:color="000000"/>
            </w:tcBorders>
            <w:vAlign w:val="center"/>
          </w:tcPr>
          <w:p w14:paraId="40251A1A" w14:textId="77777777" w:rsidR="00BA0745" w:rsidRDefault="00000000">
            <w:pPr>
              <w:spacing w:before="120" w:after="120"/>
              <w:jc w:val="center"/>
              <w:rPr>
                <w:sz w:val="22"/>
                <w:szCs w:val="22"/>
              </w:rPr>
            </w:pPr>
            <w:r>
              <w:rPr>
                <w:sz w:val="22"/>
                <w:szCs w:val="22"/>
              </w:rPr>
              <w:t>Mean Spearman</w:t>
            </w:r>
          </w:p>
        </w:tc>
      </w:tr>
      <w:tr w:rsidR="00BA0745" w14:paraId="1DB99C65" w14:textId="77777777">
        <w:tc>
          <w:tcPr>
            <w:tcW w:w="1822" w:type="dxa"/>
            <w:vAlign w:val="center"/>
          </w:tcPr>
          <w:p w14:paraId="163ED3A6" w14:textId="77777777" w:rsidR="00BA0745" w:rsidRDefault="00000000">
            <w:pPr>
              <w:spacing w:before="120" w:after="120"/>
              <w:jc w:val="center"/>
              <w:rPr>
                <w:sz w:val="22"/>
                <w:szCs w:val="22"/>
              </w:rPr>
            </w:pPr>
            <w:r>
              <w:rPr>
                <w:sz w:val="22"/>
                <w:szCs w:val="22"/>
              </w:rPr>
              <w:t>CatBoost</w:t>
            </w:r>
          </w:p>
        </w:tc>
        <w:tc>
          <w:tcPr>
            <w:tcW w:w="2725" w:type="dxa"/>
            <w:vAlign w:val="center"/>
          </w:tcPr>
          <w:p w14:paraId="034A3EE8" w14:textId="77777777" w:rsidR="00BA0745" w:rsidRDefault="00000000">
            <w:pPr>
              <w:spacing w:before="120" w:after="120"/>
              <w:jc w:val="center"/>
              <w:rPr>
                <w:sz w:val="22"/>
                <w:szCs w:val="22"/>
              </w:rPr>
            </w:pPr>
            <w:r>
              <w:rPr>
                <w:sz w:val="22"/>
                <w:szCs w:val="22"/>
              </w:rPr>
              <w:t>Nonlinear tree boosting with categorical handling</w:t>
            </w:r>
          </w:p>
        </w:tc>
        <w:tc>
          <w:tcPr>
            <w:tcW w:w="764" w:type="dxa"/>
            <w:vAlign w:val="center"/>
          </w:tcPr>
          <w:p w14:paraId="525BF537" w14:textId="77777777" w:rsidR="00BA0745" w:rsidRDefault="00000000">
            <w:pPr>
              <w:spacing w:before="120" w:after="120"/>
              <w:jc w:val="center"/>
              <w:rPr>
                <w:sz w:val="22"/>
                <w:szCs w:val="22"/>
              </w:rPr>
            </w:pPr>
            <w:r>
              <w:rPr>
                <w:sz w:val="22"/>
                <w:szCs w:val="22"/>
              </w:rPr>
              <w:t>5</w:t>
            </w:r>
          </w:p>
        </w:tc>
        <w:tc>
          <w:tcPr>
            <w:tcW w:w="1119" w:type="dxa"/>
            <w:vAlign w:val="center"/>
          </w:tcPr>
          <w:p w14:paraId="2CDB1BE5" w14:textId="77777777" w:rsidR="00BA0745" w:rsidRDefault="00000000">
            <w:pPr>
              <w:spacing w:before="120" w:after="120"/>
              <w:jc w:val="center"/>
              <w:rPr>
                <w:sz w:val="22"/>
                <w:szCs w:val="22"/>
              </w:rPr>
            </w:pPr>
            <w:r>
              <w:rPr>
                <w:sz w:val="22"/>
                <w:szCs w:val="22"/>
              </w:rPr>
              <w:t>0.413</w:t>
            </w:r>
          </w:p>
        </w:tc>
        <w:tc>
          <w:tcPr>
            <w:tcW w:w="1012" w:type="dxa"/>
            <w:vAlign w:val="center"/>
          </w:tcPr>
          <w:p w14:paraId="6CC9F3A9" w14:textId="77777777" w:rsidR="00BA0745" w:rsidRDefault="00000000">
            <w:pPr>
              <w:spacing w:before="120" w:after="120"/>
              <w:jc w:val="center"/>
              <w:rPr>
                <w:sz w:val="22"/>
                <w:szCs w:val="22"/>
              </w:rPr>
            </w:pPr>
            <w:r>
              <w:rPr>
                <w:sz w:val="22"/>
                <w:szCs w:val="22"/>
              </w:rPr>
              <w:t>0.008</w:t>
            </w:r>
          </w:p>
        </w:tc>
        <w:tc>
          <w:tcPr>
            <w:tcW w:w="692" w:type="dxa"/>
            <w:vAlign w:val="center"/>
          </w:tcPr>
          <w:p w14:paraId="1A958193" w14:textId="77777777" w:rsidR="00BA0745" w:rsidRDefault="00000000">
            <w:pPr>
              <w:spacing w:before="120" w:after="120"/>
              <w:jc w:val="center"/>
              <w:rPr>
                <w:sz w:val="22"/>
                <w:szCs w:val="22"/>
              </w:rPr>
            </w:pPr>
            <w:r>
              <w:rPr>
                <w:sz w:val="22"/>
                <w:szCs w:val="22"/>
              </w:rPr>
              <w:t>0.563</w:t>
            </w:r>
          </w:p>
        </w:tc>
        <w:tc>
          <w:tcPr>
            <w:tcW w:w="1226" w:type="dxa"/>
            <w:vAlign w:val="center"/>
          </w:tcPr>
          <w:p w14:paraId="74989C85" w14:textId="77777777" w:rsidR="00BA0745" w:rsidRDefault="00000000">
            <w:pPr>
              <w:spacing w:before="120" w:after="120"/>
              <w:jc w:val="center"/>
              <w:rPr>
                <w:sz w:val="22"/>
                <w:szCs w:val="22"/>
              </w:rPr>
            </w:pPr>
            <w:r>
              <w:rPr>
                <w:sz w:val="22"/>
                <w:szCs w:val="22"/>
              </w:rPr>
              <w:t>0.744</w:t>
            </w:r>
          </w:p>
        </w:tc>
      </w:tr>
      <w:tr w:rsidR="00BA0745" w14:paraId="6E749B03" w14:textId="77777777">
        <w:tc>
          <w:tcPr>
            <w:tcW w:w="1822" w:type="dxa"/>
            <w:vAlign w:val="center"/>
          </w:tcPr>
          <w:p w14:paraId="74B18EC1" w14:textId="77777777" w:rsidR="00BA0745" w:rsidRDefault="00000000">
            <w:pPr>
              <w:spacing w:before="120" w:after="120"/>
              <w:jc w:val="center"/>
              <w:rPr>
                <w:sz w:val="22"/>
                <w:szCs w:val="22"/>
              </w:rPr>
            </w:pPr>
            <w:r>
              <w:rPr>
                <w:sz w:val="22"/>
                <w:szCs w:val="22"/>
              </w:rPr>
              <w:t>Histogram Gradient Boosting</w:t>
            </w:r>
          </w:p>
        </w:tc>
        <w:tc>
          <w:tcPr>
            <w:tcW w:w="2725" w:type="dxa"/>
            <w:vAlign w:val="center"/>
          </w:tcPr>
          <w:p w14:paraId="5ABE6791" w14:textId="77777777" w:rsidR="00BA0745" w:rsidRDefault="00000000">
            <w:pPr>
              <w:spacing w:before="120" w:after="120"/>
              <w:jc w:val="center"/>
              <w:rPr>
                <w:sz w:val="22"/>
                <w:szCs w:val="22"/>
              </w:rPr>
            </w:pPr>
            <w:r>
              <w:rPr>
                <w:sz w:val="22"/>
                <w:szCs w:val="22"/>
              </w:rPr>
              <w:t>Gradient boosted trees</w:t>
            </w:r>
          </w:p>
        </w:tc>
        <w:tc>
          <w:tcPr>
            <w:tcW w:w="764" w:type="dxa"/>
            <w:vAlign w:val="center"/>
          </w:tcPr>
          <w:p w14:paraId="5597FD44" w14:textId="77777777" w:rsidR="00BA0745" w:rsidRDefault="00000000">
            <w:pPr>
              <w:spacing w:before="120" w:after="120"/>
              <w:jc w:val="center"/>
              <w:rPr>
                <w:sz w:val="22"/>
                <w:szCs w:val="22"/>
              </w:rPr>
            </w:pPr>
            <w:r>
              <w:rPr>
                <w:sz w:val="22"/>
                <w:szCs w:val="22"/>
              </w:rPr>
              <w:t>5</w:t>
            </w:r>
          </w:p>
        </w:tc>
        <w:tc>
          <w:tcPr>
            <w:tcW w:w="1119" w:type="dxa"/>
            <w:vAlign w:val="center"/>
          </w:tcPr>
          <w:p w14:paraId="42DC0081" w14:textId="77777777" w:rsidR="00BA0745" w:rsidRDefault="00000000">
            <w:pPr>
              <w:spacing w:before="120" w:after="120"/>
              <w:jc w:val="center"/>
              <w:rPr>
                <w:sz w:val="22"/>
                <w:szCs w:val="22"/>
              </w:rPr>
            </w:pPr>
            <w:r>
              <w:rPr>
                <w:sz w:val="22"/>
                <w:szCs w:val="22"/>
              </w:rPr>
              <w:t>0.424</w:t>
            </w:r>
          </w:p>
        </w:tc>
        <w:tc>
          <w:tcPr>
            <w:tcW w:w="1012" w:type="dxa"/>
            <w:vAlign w:val="center"/>
          </w:tcPr>
          <w:p w14:paraId="0D0C36CC" w14:textId="77777777" w:rsidR="00BA0745" w:rsidRDefault="00000000">
            <w:pPr>
              <w:spacing w:before="120" w:after="120"/>
              <w:jc w:val="center"/>
              <w:rPr>
                <w:sz w:val="22"/>
                <w:szCs w:val="22"/>
              </w:rPr>
            </w:pPr>
            <w:r>
              <w:rPr>
                <w:sz w:val="22"/>
                <w:szCs w:val="22"/>
              </w:rPr>
              <w:t>0.009</w:t>
            </w:r>
          </w:p>
        </w:tc>
        <w:tc>
          <w:tcPr>
            <w:tcW w:w="692" w:type="dxa"/>
            <w:vAlign w:val="center"/>
          </w:tcPr>
          <w:p w14:paraId="289EF319" w14:textId="77777777" w:rsidR="00BA0745" w:rsidRDefault="00000000">
            <w:pPr>
              <w:spacing w:before="120" w:after="120"/>
              <w:jc w:val="center"/>
              <w:rPr>
                <w:sz w:val="22"/>
                <w:szCs w:val="22"/>
              </w:rPr>
            </w:pPr>
            <w:r>
              <w:rPr>
                <w:sz w:val="22"/>
                <w:szCs w:val="22"/>
              </w:rPr>
              <w:t>0.540</w:t>
            </w:r>
          </w:p>
        </w:tc>
        <w:tc>
          <w:tcPr>
            <w:tcW w:w="1226" w:type="dxa"/>
            <w:vAlign w:val="center"/>
          </w:tcPr>
          <w:p w14:paraId="74E0C864" w14:textId="77777777" w:rsidR="00BA0745" w:rsidRDefault="00000000">
            <w:pPr>
              <w:spacing w:before="120" w:after="120"/>
              <w:jc w:val="center"/>
              <w:rPr>
                <w:sz w:val="22"/>
                <w:szCs w:val="22"/>
              </w:rPr>
            </w:pPr>
            <w:r>
              <w:rPr>
                <w:sz w:val="22"/>
                <w:szCs w:val="22"/>
              </w:rPr>
              <w:t>0.724</w:t>
            </w:r>
          </w:p>
        </w:tc>
      </w:tr>
      <w:tr w:rsidR="00BA0745" w14:paraId="521277E1" w14:textId="77777777">
        <w:tc>
          <w:tcPr>
            <w:tcW w:w="1822" w:type="dxa"/>
            <w:vAlign w:val="center"/>
          </w:tcPr>
          <w:p w14:paraId="0A6BB782" w14:textId="77777777" w:rsidR="00BA0745" w:rsidRDefault="00000000">
            <w:pPr>
              <w:spacing w:before="120" w:after="120"/>
              <w:jc w:val="center"/>
              <w:rPr>
                <w:sz w:val="22"/>
                <w:szCs w:val="22"/>
              </w:rPr>
            </w:pPr>
            <w:r>
              <w:rPr>
                <w:sz w:val="22"/>
                <w:szCs w:val="22"/>
              </w:rPr>
              <w:t>Extra Trees</w:t>
            </w:r>
          </w:p>
        </w:tc>
        <w:tc>
          <w:tcPr>
            <w:tcW w:w="2725" w:type="dxa"/>
            <w:vAlign w:val="center"/>
          </w:tcPr>
          <w:p w14:paraId="616B9B9D" w14:textId="77777777" w:rsidR="00BA0745" w:rsidRDefault="00000000">
            <w:pPr>
              <w:spacing w:before="120" w:after="120"/>
              <w:jc w:val="center"/>
              <w:rPr>
                <w:sz w:val="22"/>
                <w:szCs w:val="22"/>
              </w:rPr>
            </w:pPr>
            <w:r>
              <w:rPr>
                <w:sz w:val="22"/>
                <w:szCs w:val="22"/>
              </w:rPr>
              <w:t>Tree ensemble</w:t>
            </w:r>
          </w:p>
        </w:tc>
        <w:tc>
          <w:tcPr>
            <w:tcW w:w="764" w:type="dxa"/>
            <w:vAlign w:val="center"/>
          </w:tcPr>
          <w:p w14:paraId="783DC85F" w14:textId="77777777" w:rsidR="00BA0745" w:rsidRDefault="00000000">
            <w:pPr>
              <w:spacing w:before="120" w:after="120"/>
              <w:jc w:val="center"/>
              <w:rPr>
                <w:sz w:val="22"/>
                <w:szCs w:val="22"/>
              </w:rPr>
            </w:pPr>
            <w:r>
              <w:rPr>
                <w:sz w:val="22"/>
                <w:szCs w:val="22"/>
              </w:rPr>
              <w:t>5</w:t>
            </w:r>
          </w:p>
        </w:tc>
        <w:tc>
          <w:tcPr>
            <w:tcW w:w="1119" w:type="dxa"/>
            <w:vAlign w:val="center"/>
          </w:tcPr>
          <w:p w14:paraId="753CEBC1" w14:textId="77777777" w:rsidR="00BA0745" w:rsidRDefault="00000000">
            <w:pPr>
              <w:spacing w:before="120" w:after="120"/>
              <w:jc w:val="center"/>
              <w:rPr>
                <w:sz w:val="22"/>
                <w:szCs w:val="22"/>
              </w:rPr>
            </w:pPr>
            <w:r>
              <w:rPr>
                <w:sz w:val="22"/>
                <w:szCs w:val="22"/>
              </w:rPr>
              <w:t>0.425</w:t>
            </w:r>
          </w:p>
        </w:tc>
        <w:tc>
          <w:tcPr>
            <w:tcW w:w="1012" w:type="dxa"/>
            <w:vAlign w:val="center"/>
          </w:tcPr>
          <w:p w14:paraId="3D2D4612" w14:textId="77777777" w:rsidR="00BA0745" w:rsidRDefault="00000000">
            <w:pPr>
              <w:spacing w:before="120" w:after="120"/>
              <w:jc w:val="center"/>
              <w:rPr>
                <w:sz w:val="22"/>
                <w:szCs w:val="22"/>
              </w:rPr>
            </w:pPr>
            <w:r>
              <w:rPr>
                <w:sz w:val="22"/>
                <w:szCs w:val="22"/>
              </w:rPr>
              <w:t>0.008</w:t>
            </w:r>
          </w:p>
        </w:tc>
        <w:tc>
          <w:tcPr>
            <w:tcW w:w="692" w:type="dxa"/>
            <w:vAlign w:val="center"/>
          </w:tcPr>
          <w:p w14:paraId="0CE5FD3B" w14:textId="77777777" w:rsidR="00BA0745" w:rsidRDefault="00000000">
            <w:pPr>
              <w:spacing w:before="120" w:after="120"/>
              <w:jc w:val="center"/>
              <w:rPr>
                <w:sz w:val="22"/>
                <w:szCs w:val="22"/>
              </w:rPr>
            </w:pPr>
            <w:r>
              <w:rPr>
                <w:sz w:val="22"/>
                <w:szCs w:val="22"/>
              </w:rPr>
              <w:t>0.537</w:t>
            </w:r>
          </w:p>
        </w:tc>
        <w:tc>
          <w:tcPr>
            <w:tcW w:w="1226" w:type="dxa"/>
            <w:vAlign w:val="center"/>
          </w:tcPr>
          <w:p w14:paraId="6E3067FE" w14:textId="77777777" w:rsidR="00BA0745" w:rsidRDefault="00000000">
            <w:pPr>
              <w:spacing w:before="120" w:after="120"/>
              <w:jc w:val="center"/>
              <w:rPr>
                <w:sz w:val="22"/>
                <w:szCs w:val="22"/>
              </w:rPr>
            </w:pPr>
            <w:r>
              <w:rPr>
                <w:sz w:val="22"/>
                <w:szCs w:val="22"/>
              </w:rPr>
              <w:t>0.724</w:t>
            </w:r>
          </w:p>
        </w:tc>
      </w:tr>
      <w:tr w:rsidR="00BA0745" w14:paraId="7F2E5CAA" w14:textId="77777777">
        <w:tc>
          <w:tcPr>
            <w:tcW w:w="1822" w:type="dxa"/>
            <w:vAlign w:val="center"/>
          </w:tcPr>
          <w:p w14:paraId="298DCF47" w14:textId="77777777" w:rsidR="00BA0745" w:rsidRDefault="00000000">
            <w:pPr>
              <w:spacing w:before="120" w:after="120"/>
              <w:jc w:val="center"/>
              <w:rPr>
                <w:sz w:val="22"/>
                <w:szCs w:val="22"/>
              </w:rPr>
            </w:pPr>
            <w:r>
              <w:rPr>
                <w:sz w:val="22"/>
                <w:szCs w:val="22"/>
              </w:rPr>
              <w:t>Random Forest</w:t>
            </w:r>
          </w:p>
        </w:tc>
        <w:tc>
          <w:tcPr>
            <w:tcW w:w="2725" w:type="dxa"/>
            <w:vAlign w:val="center"/>
          </w:tcPr>
          <w:p w14:paraId="405596C8" w14:textId="77777777" w:rsidR="00BA0745" w:rsidRDefault="00000000">
            <w:pPr>
              <w:spacing w:before="120" w:after="120"/>
              <w:jc w:val="center"/>
              <w:rPr>
                <w:sz w:val="22"/>
                <w:szCs w:val="22"/>
              </w:rPr>
            </w:pPr>
            <w:r>
              <w:rPr>
                <w:sz w:val="22"/>
                <w:szCs w:val="22"/>
              </w:rPr>
              <w:t>Tree ensemble</w:t>
            </w:r>
          </w:p>
        </w:tc>
        <w:tc>
          <w:tcPr>
            <w:tcW w:w="764" w:type="dxa"/>
            <w:vAlign w:val="center"/>
          </w:tcPr>
          <w:p w14:paraId="2E865524" w14:textId="77777777" w:rsidR="00BA0745" w:rsidRDefault="00000000">
            <w:pPr>
              <w:spacing w:before="120" w:after="120"/>
              <w:jc w:val="center"/>
              <w:rPr>
                <w:sz w:val="22"/>
                <w:szCs w:val="22"/>
              </w:rPr>
            </w:pPr>
            <w:r>
              <w:rPr>
                <w:sz w:val="22"/>
                <w:szCs w:val="22"/>
              </w:rPr>
              <w:t>5</w:t>
            </w:r>
          </w:p>
        </w:tc>
        <w:tc>
          <w:tcPr>
            <w:tcW w:w="1119" w:type="dxa"/>
            <w:vAlign w:val="center"/>
          </w:tcPr>
          <w:p w14:paraId="727D21CA" w14:textId="77777777" w:rsidR="00BA0745" w:rsidRDefault="00000000">
            <w:pPr>
              <w:spacing w:before="120" w:after="120"/>
              <w:jc w:val="center"/>
              <w:rPr>
                <w:sz w:val="22"/>
                <w:szCs w:val="22"/>
              </w:rPr>
            </w:pPr>
            <w:r>
              <w:rPr>
                <w:sz w:val="22"/>
                <w:szCs w:val="22"/>
              </w:rPr>
              <w:t>0.427</w:t>
            </w:r>
          </w:p>
        </w:tc>
        <w:tc>
          <w:tcPr>
            <w:tcW w:w="1012" w:type="dxa"/>
            <w:vAlign w:val="center"/>
          </w:tcPr>
          <w:p w14:paraId="458628CF" w14:textId="77777777" w:rsidR="00BA0745" w:rsidRDefault="00000000">
            <w:pPr>
              <w:spacing w:before="120" w:after="120"/>
              <w:jc w:val="center"/>
              <w:rPr>
                <w:sz w:val="22"/>
                <w:szCs w:val="22"/>
              </w:rPr>
            </w:pPr>
            <w:r>
              <w:rPr>
                <w:sz w:val="22"/>
                <w:szCs w:val="22"/>
              </w:rPr>
              <w:t>0.008</w:t>
            </w:r>
          </w:p>
        </w:tc>
        <w:tc>
          <w:tcPr>
            <w:tcW w:w="692" w:type="dxa"/>
            <w:vAlign w:val="center"/>
          </w:tcPr>
          <w:p w14:paraId="46D872BA" w14:textId="77777777" w:rsidR="00BA0745" w:rsidRDefault="00000000">
            <w:pPr>
              <w:spacing w:before="120" w:after="120"/>
              <w:jc w:val="center"/>
              <w:rPr>
                <w:sz w:val="22"/>
                <w:szCs w:val="22"/>
              </w:rPr>
            </w:pPr>
            <w:r>
              <w:rPr>
                <w:sz w:val="22"/>
                <w:szCs w:val="22"/>
              </w:rPr>
              <w:t>0.532</w:t>
            </w:r>
          </w:p>
        </w:tc>
        <w:tc>
          <w:tcPr>
            <w:tcW w:w="1226" w:type="dxa"/>
            <w:vAlign w:val="center"/>
          </w:tcPr>
          <w:p w14:paraId="78B62820" w14:textId="77777777" w:rsidR="00BA0745" w:rsidRDefault="00000000">
            <w:pPr>
              <w:spacing w:before="120" w:after="120"/>
              <w:jc w:val="center"/>
              <w:rPr>
                <w:sz w:val="22"/>
                <w:szCs w:val="22"/>
              </w:rPr>
            </w:pPr>
            <w:r>
              <w:rPr>
                <w:sz w:val="22"/>
                <w:szCs w:val="22"/>
              </w:rPr>
              <w:t>0.721</w:t>
            </w:r>
          </w:p>
        </w:tc>
      </w:tr>
      <w:tr w:rsidR="00BA0745" w14:paraId="55DF062D" w14:textId="77777777">
        <w:tc>
          <w:tcPr>
            <w:tcW w:w="1822" w:type="dxa"/>
            <w:vAlign w:val="center"/>
          </w:tcPr>
          <w:p w14:paraId="30A5EE81" w14:textId="77777777" w:rsidR="00BA0745" w:rsidRDefault="00000000">
            <w:pPr>
              <w:spacing w:before="120" w:after="120"/>
              <w:jc w:val="center"/>
              <w:rPr>
                <w:sz w:val="22"/>
                <w:szCs w:val="22"/>
              </w:rPr>
            </w:pPr>
            <w:r>
              <w:rPr>
                <w:sz w:val="22"/>
                <w:szCs w:val="22"/>
              </w:rPr>
              <w:t>ElasticNet</w:t>
            </w:r>
          </w:p>
        </w:tc>
        <w:tc>
          <w:tcPr>
            <w:tcW w:w="2725" w:type="dxa"/>
            <w:vAlign w:val="center"/>
          </w:tcPr>
          <w:p w14:paraId="68BB915E" w14:textId="77777777" w:rsidR="00BA0745" w:rsidRDefault="00000000">
            <w:pPr>
              <w:spacing w:before="120" w:after="120"/>
              <w:jc w:val="center"/>
              <w:rPr>
                <w:sz w:val="22"/>
                <w:szCs w:val="22"/>
              </w:rPr>
            </w:pPr>
            <w:r>
              <w:rPr>
                <w:sz w:val="22"/>
                <w:szCs w:val="22"/>
              </w:rPr>
              <w:t>Penalized linear benchmark</w:t>
            </w:r>
          </w:p>
        </w:tc>
        <w:tc>
          <w:tcPr>
            <w:tcW w:w="764" w:type="dxa"/>
            <w:vAlign w:val="center"/>
          </w:tcPr>
          <w:p w14:paraId="7EC4C06D" w14:textId="77777777" w:rsidR="00BA0745" w:rsidRDefault="00000000">
            <w:pPr>
              <w:spacing w:before="120" w:after="120"/>
              <w:jc w:val="center"/>
              <w:rPr>
                <w:sz w:val="22"/>
                <w:szCs w:val="22"/>
              </w:rPr>
            </w:pPr>
            <w:r>
              <w:rPr>
                <w:sz w:val="22"/>
                <w:szCs w:val="22"/>
              </w:rPr>
              <w:t>5</w:t>
            </w:r>
          </w:p>
        </w:tc>
        <w:tc>
          <w:tcPr>
            <w:tcW w:w="1119" w:type="dxa"/>
            <w:vAlign w:val="center"/>
          </w:tcPr>
          <w:p w14:paraId="5D170A69" w14:textId="77777777" w:rsidR="00BA0745" w:rsidRDefault="00000000">
            <w:pPr>
              <w:spacing w:before="120" w:after="120"/>
              <w:jc w:val="center"/>
              <w:rPr>
                <w:sz w:val="22"/>
                <w:szCs w:val="22"/>
              </w:rPr>
            </w:pPr>
            <w:r>
              <w:rPr>
                <w:sz w:val="22"/>
                <w:szCs w:val="22"/>
              </w:rPr>
              <w:t>0.431</w:t>
            </w:r>
          </w:p>
        </w:tc>
        <w:tc>
          <w:tcPr>
            <w:tcW w:w="1012" w:type="dxa"/>
            <w:vAlign w:val="center"/>
          </w:tcPr>
          <w:p w14:paraId="57F73EE0" w14:textId="77777777" w:rsidR="00BA0745" w:rsidRDefault="00000000">
            <w:pPr>
              <w:spacing w:before="120" w:after="120"/>
              <w:jc w:val="center"/>
              <w:rPr>
                <w:sz w:val="22"/>
                <w:szCs w:val="22"/>
              </w:rPr>
            </w:pPr>
            <w:r>
              <w:rPr>
                <w:sz w:val="22"/>
                <w:szCs w:val="22"/>
              </w:rPr>
              <w:t>0.007</w:t>
            </w:r>
          </w:p>
        </w:tc>
        <w:tc>
          <w:tcPr>
            <w:tcW w:w="692" w:type="dxa"/>
            <w:vAlign w:val="center"/>
          </w:tcPr>
          <w:p w14:paraId="43340452" w14:textId="77777777" w:rsidR="00BA0745" w:rsidRDefault="00000000">
            <w:pPr>
              <w:spacing w:before="120" w:after="120"/>
              <w:jc w:val="center"/>
              <w:rPr>
                <w:sz w:val="22"/>
                <w:szCs w:val="22"/>
              </w:rPr>
            </w:pPr>
            <w:r>
              <w:rPr>
                <w:sz w:val="22"/>
                <w:szCs w:val="22"/>
              </w:rPr>
              <w:t>0.523</w:t>
            </w:r>
          </w:p>
        </w:tc>
        <w:tc>
          <w:tcPr>
            <w:tcW w:w="1226" w:type="dxa"/>
            <w:vAlign w:val="center"/>
          </w:tcPr>
          <w:p w14:paraId="3D969BAD" w14:textId="77777777" w:rsidR="00BA0745" w:rsidRDefault="00000000">
            <w:pPr>
              <w:spacing w:before="120" w:after="120"/>
              <w:jc w:val="center"/>
              <w:rPr>
                <w:sz w:val="22"/>
                <w:szCs w:val="22"/>
              </w:rPr>
            </w:pPr>
            <w:r>
              <w:rPr>
                <w:sz w:val="22"/>
                <w:szCs w:val="22"/>
              </w:rPr>
              <w:t>0.709</w:t>
            </w:r>
          </w:p>
        </w:tc>
      </w:tr>
      <w:tr w:rsidR="00BA0745" w14:paraId="50B617F6" w14:textId="77777777">
        <w:tc>
          <w:tcPr>
            <w:tcW w:w="1822" w:type="dxa"/>
            <w:vAlign w:val="center"/>
          </w:tcPr>
          <w:p w14:paraId="67FCCD61" w14:textId="77777777" w:rsidR="00BA0745" w:rsidRDefault="00000000">
            <w:pPr>
              <w:spacing w:before="120" w:after="120"/>
              <w:jc w:val="center"/>
              <w:rPr>
                <w:sz w:val="22"/>
                <w:szCs w:val="22"/>
              </w:rPr>
            </w:pPr>
            <w:r>
              <w:rPr>
                <w:sz w:val="22"/>
                <w:szCs w:val="22"/>
              </w:rPr>
              <w:t>Ridge</w:t>
            </w:r>
          </w:p>
        </w:tc>
        <w:tc>
          <w:tcPr>
            <w:tcW w:w="2725" w:type="dxa"/>
            <w:vAlign w:val="center"/>
          </w:tcPr>
          <w:p w14:paraId="685FE4B1" w14:textId="77777777" w:rsidR="00BA0745" w:rsidRDefault="00000000">
            <w:pPr>
              <w:spacing w:before="120" w:after="120"/>
              <w:jc w:val="center"/>
              <w:rPr>
                <w:sz w:val="22"/>
                <w:szCs w:val="22"/>
              </w:rPr>
            </w:pPr>
            <w:r>
              <w:rPr>
                <w:sz w:val="22"/>
                <w:szCs w:val="22"/>
              </w:rPr>
              <w:t>Linear benchmark</w:t>
            </w:r>
          </w:p>
        </w:tc>
        <w:tc>
          <w:tcPr>
            <w:tcW w:w="764" w:type="dxa"/>
            <w:vAlign w:val="center"/>
          </w:tcPr>
          <w:p w14:paraId="41D54E11" w14:textId="77777777" w:rsidR="00BA0745" w:rsidRDefault="00000000">
            <w:pPr>
              <w:spacing w:before="120" w:after="120"/>
              <w:jc w:val="center"/>
              <w:rPr>
                <w:sz w:val="22"/>
                <w:szCs w:val="22"/>
              </w:rPr>
            </w:pPr>
            <w:r>
              <w:rPr>
                <w:sz w:val="22"/>
                <w:szCs w:val="22"/>
              </w:rPr>
              <w:t>5</w:t>
            </w:r>
          </w:p>
        </w:tc>
        <w:tc>
          <w:tcPr>
            <w:tcW w:w="1119" w:type="dxa"/>
            <w:vAlign w:val="center"/>
          </w:tcPr>
          <w:p w14:paraId="2F20AE01" w14:textId="77777777" w:rsidR="00BA0745" w:rsidRDefault="00000000">
            <w:pPr>
              <w:spacing w:before="120" w:after="120"/>
              <w:jc w:val="center"/>
              <w:rPr>
                <w:sz w:val="22"/>
                <w:szCs w:val="22"/>
              </w:rPr>
            </w:pPr>
            <w:r>
              <w:rPr>
                <w:sz w:val="22"/>
                <w:szCs w:val="22"/>
              </w:rPr>
              <w:t>0.431</w:t>
            </w:r>
          </w:p>
        </w:tc>
        <w:tc>
          <w:tcPr>
            <w:tcW w:w="1012" w:type="dxa"/>
            <w:vAlign w:val="center"/>
          </w:tcPr>
          <w:p w14:paraId="13C02F50" w14:textId="77777777" w:rsidR="00BA0745" w:rsidRDefault="00000000">
            <w:pPr>
              <w:spacing w:before="120" w:after="120"/>
              <w:jc w:val="center"/>
              <w:rPr>
                <w:sz w:val="22"/>
                <w:szCs w:val="22"/>
              </w:rPr>
            </w:pPr>
            <w:r>
              <w:rPr>
                <w:sz w:val="22"/>
                <w:szCs w:val="22"/>
              </w:rPr>
              <w:t>0.007</w:t>
            </w:r>
          </w:p>
        </w:tc>
        <w:tc>
          <w:tcPr>
            <w:tcW w:w="692" w:type="dxa"/>
            <w:vAlign w:val="center"/>
          </w:tcPr>
          <w:p w14:paraId="4EE3C676" w14:textId="77777777" w:rsidR="00BA0745" w:rsidRDefault="00000000">
            <w:pPr>
              <w:spacing w:before="120" w:after="120"/>
              <w:jc w:val="center"/>
              <w:rPr>
                <w:sz w:val="22"/>
                <w:szCs w:val="22"/>
              </w:rPr>
            </w:pPr>
            <w:r>
              <w:rPr>
                <w:sz w:val="22"/>
                <w:szCs w:val="22"/>
              </w:rPr>
              <w:t>0.523</w:t>
            </w:r>
          </w:p>
        </w:tc>
        <w:tc>
          <w:tcPr>
            <w:tcW w:w="1226" w:type="dxa"/>
            <w:vAlign w:val="center"/>
          </w:tcPr>
          <w:p w14:paraId="134171C4" w14:textId="77777777" w:rsidR="00BA0745" w:rsidRDefault="00000000">
            <w:pPr>
              <w:spacing w:before="120" w:after="120"/>
              <w:jc w:val="center"/>
              <w:rPr>
                <w:sz w:val="22"/>
                <w:szCs w:val="22"/>
              </w:rPr>
            </w:pPr>
            <w:r>
              <w:rPr>
                <w:sz w:val="22"/>
                <w:szCs w:val="22"/>
              </w:rPr>
              <w:t>0.709</w:t>
            </w:r>
          </w:p>
        </w:tc>
      </w:tr>
      <w:tr w:rsidR="00BA0745" w14:paraId="236D0BAE" w14:textId="77777777">
        <w:tc>
          <w:tcPr>
            <w:tcW w:w="1822" w:type="dxa"/>
            <w:tcBorders>
              <w:bottom w:val="single" w:sz="4" w:space="0" w:color="000000"/>
            </w:tcBorders>
            <w:vAlign w:val="center"/>
          </w:tcPr>
          <w:p w14:paraId="74C21533" w14:textId="77777777" w:rsidR="00BA0745" w:rsidRDefault="00000000">
            <w:pPr>
              <w:spacing w:before="120" w:after="120"/>
              <w:jc w:val="center"/>
              <w:rPr>
                <w:sz w:val="22"/>
                <w:szCs w:val="22"/>
              </w:rPr>
            </w:pPr>
            <w:r>
              <w:rPr>
                <w:sz w:val="22"/>
                <w:szCs w:val="22"/>
              </w:rPr>
              <w:t>Mean baseline</w:t>
            </w:r>
          </w:p>
        </w:tc>
        <w:tc>
          <w:tcPr>
            <w:tcW w:w="2725" w:type="dxa"/>
            <w:tcBorders>
              <w:bottom w:val="single" w:sz="4" w:space="0" w:color="000000"/>
            </w:tcBorders>
            <w:vAlign w:val="center"/>
          </w:tcPr>
          <w:p w14:paraId="54B447C0" w14:textId="77777777" w:rsidR="00BA0745" w:rsidRDefault="00000000">
            <w:pPr>
              <w:spacing w:before="120" w:after="120"/>
              <w:jc w:val="center"/>
              <w:rPr>
                <w:sz w:val="22"/>
                <w:szCs w:val="22"/>
              </w:rPr>
            </w:pPr>
            <w:r>
              <w:rPr>
                <w:sz w:val="22"/>
                <w:szCs w:val="22"/>
              </w:rPr>
              <w:t>No-information baseline</w:t>
            </w:r>
          </w:p>
        </w:tc>
        <w:tc>
          <w:tcPr>
            <w:tcW w:w="764" w:type="dxa"/>
            <w:tcBorders>
              <w:bottom w:val="single" w:sz="4" w:space="0" w:color="000000"/>
            </w:tcBorders>
            <w:vAlign w:val="center"/>
          </w:tcPr>
          <w:p w14:paraId="2331851E" w14:textId="77777777" w:rsidR="00BA0745" w:rsidRDefault="00000000">
            <w:pPr>
              <w:spacing w:before="120" w:after="120"/>
              <w:jc w:val="center"/>
              <w:rPr>
                <w:sz w:val="22"/>
                <w:szCs w:val="22"/>
              </w:rPr>
            </w:pPr>
            <w:r>
              <w:rPr>
                <w:sz w:val="22"/>
                <w:szCs w:val="22"/>
              </w:rPr>
              <w:t>5</w:t>
            </w:r>
          </w:p>
        </w:tc>
        <w:tc>
          <w:tcPr>
            <w:tcW w:w="1119" w:type="dxa"/>
            <w:tcBorders>
              <w:bottom w:val="single" w:sz="4" w:space="0" w:color="000000"/>
            </w:tcBorders>
            <w:vAlign w:val="center"/>
          </w:tcPr>
          <w:p w14:paraId="3DCC86BF" w14:textId="77777777" w:rsidR="00BA0745" w:rsidRDefault="00000000">
            <w:pPr>
              <w:spacing w:before="120" w:after="120"/>
              <w:jc w:val="center"/>
              <w:rPr>
                <w:sz w:val="22"/>
                <w:szCs w:val="22"/>
              </w:rPr>
            </w:pPr>
            <w:r>
              <w:rPr>
                <w:sz w:val="22"/>
                <w:szCs w:val="22"/>
              </w:rPr>
              <w:t>0.625</w:t>
            </w:r>
          </w:p>
        </w:tc>
        <w:tc>
          <w:tcPr>
            <w:tcW w:w="1012" w:type="dxa"/>
            <w:tcBorders>
              <w:bottom w:val="single" w:sz="4" w:space="0" w:color="000000"/>
            </w:tcBorders>
            <w:vAlign w:val="center"/>
          </w:tcPr>
          <w:p w14:paraId="6A5A25BA" w14:textId="77777777" w:rsidR="00BA0745" w:rsidRDefault="00000000">
            <w:pPr>
              <w:spacing w:before="120" w:after="120"/>
              <w:jc w:val="center"/>
              <w:rPr>
                <w:sz w:val="22"/>
                <w:szCs w:val="22"/>
              </w:rPr>
            </w:pPr>
            <w:r>
              <w:rPr>
                <w:sz w:val="22"/>
                <w:szCs w:val="22"/>
              </w:rPr>
              <w:t>0.011</w:t>
            </w:r>
          </w:p>
        </w:tc>
        <w:tc>
          <w:tcPr>
            <w:tcW w:w="692" w:type="dxa"/>
            <w:tcBorders>
              <w:bottom w:val="single" w:sz="4" w:space="0" w:color="000000"/>
            </w:tcBorders>
            <w:vAlign w:val="center"/>
          </w:tcPr>
          <w:p w14:paraId="1F663055" w14:textId="77777777" w:rsidR="00BA0745" w:rsidRDefault="00000000">
            <w:pPr>
              <w:spacing w:before="120" w:after="120"/>
              <w:jc w:val="center"/>
              <w:rPr>
                <w:sz w:val="22"/>
                <w:szCs w:val="22"/>
              </w:rPr>
            </w:pPr>
            <w:r>
              <w:rPr>
                <w:sz w:val="22"/>
                <w:szCs w:val="22"/>
              </w:rPr>
              <w:t>0.000</w:t>
            </w:r>
          </w:p>
        </w:tc>
        <w:tc>
          <w:tcPr>
            <w:tcW w:w="1226" w:type="dxa"/>
            <w:tcBorders>
              <w:bottom w:val="single" w:sz="4" w:space="0" w:color="000000"/>
            </w:tcBorders>
            <w:vAlign w:val="center"/>
          </w:tcPr>
          <w:p w14:paraId="2E58E59A" w14:textId="77777777" w:rsidR="00BA0745" w:rsidRDefault="00000000">
            <w:pPr>
              <w:spacing w:before="120" w:after="120"/>
              <w:jc w:val="center"/>
              <w:rPr>
                <w:sz w:val="22"/>
                <w:szCs w:val="22"/>
              </w:rPr>
            </w:pPr>
            <w:r>
              <w:rPr>
                <w:sz w:val="22"/>
                <w:szCs w:val="22"/>
              </w:rPr>
              <w:t>—</w:t>
            </w:r>
          </w:p>
        </w:tc>
      </w:tr>
    </w:tbl>
    <w:p w14:paraId="2965D7AC" w14:textId="77777777" w:rsidR="00BA0745" w:rsidRDefault="00000000">
      <w:pPr>
        <w:spacing w:before="120" w:after="120"/>
        <w:jc w:val="both"/>
        <w:rPr>
          <w:sz w:val="22"/>
          <w:szCs w:val="22"/>
        </w:rPr>
      </w:pPr>
      <w:r>
        <w:rPr>
          <w:sz w:val="22"/>
          <w:szCs w:val="22"/>
        </w:rPr>
        <w:t>These results justify using CatBoost as the primary model without making the interpretation dependent on a single learner.</w:t>
      </w:r>
    </w:p>
    <w:p w14:paraId="430FA392" w14:textId="77777777" w:rsidR="00BA0745" w:rsidRDefault="00000000">
      <w:pPr>
        <w:spacing w:before="120" w:after="120"/>
        <w:jc w:val="both"/>
        <w:rPr>
          <w:b/>
          <w:bCs/>
          <w:sz w:val="22"/>
          <w:szCs w:val="22"/>
        </w:rPr>
      </w:pPr>
      <w:r>
        <w:rPr>
          <w:b/>
          <w:bCs/>
          <w:sz w:val="22"/>
          <w:szCs w:val="22"/>
        </w:rPr>
        <w:t>S2.6. Context-specification sensitivity</w:t>
      </w:r>
    </w:p>
    <w:p w14:paraId="4A02F9D2" w14:textId="77777777" w:rsidR="00BA0745" w:rsidRDefault="00000000">
      <w:pPr>
        <w:spacing w:before="120" w:after="120"/>
        <w:jc w:val="both"/>
        <w:rPr>
          <w:sz w:val="22"/>
          <w:szCs w:val="22"/>
        </w:rPr>
      </w:pPr>
      <w:r>
        <w:rPr>
          <w:sz w:val="22"/>
          <w:szCs w:val="22"/>
        </w:rPr>
        <w:lastRenderedPageBreak/>
        <w:t>Context-specification sensitivity analyses tested whether the main conclusion depended on how household context was encoded. The service-only model had a mean RMSE of 0.410 across repeated splits. Adding the main household context slightly increased RMSE to 0.411, while adding full context or categorical income produced negligible changes. Adding priorities yielded a small improvement in RMSE relative to the service-only model.</w:t>
      </w:r>
    </w:p>
    <w:p w14:paraId="6F36C8B3" w14:textId="77777777" w:rsidR="00BA0745" w:rsidRDefault="00000000">
      <w:pPr>
        <w:spacing w:before="120" w:after="120"/>
        <w:jc w:val="both"/>
        <w:rPr>
          <w:sz w:val="22"/>
          <w:szCs w:val="22"/>
        </w:rPr>
      </w:pPr>
      <w:r>
        <w:rPr>
          <w:b/>
          <w:bCs/>
          <w:sz w:val="22"/>
          <w:szCs w:val="22"/>
        </w:rPr>
        <w:t xml:space="preserve">Supplementary Table S11. </w:t>
      </w:r>
      <w:r>
        <w:rPr>
          <w:sz w:val="22"/>
          <w:szCs w:val="22"/>
        </w:rPr>
        <w:t>Context-specification sensitivity.</w:t>
      </w:r>
    </w:p>
    <w:tbl>
      <w:tblPr>
        <w:tblStyle w:val="afa"/>
        <w:tblW w:w="9360" w:type="dxa"/>
        <w:tblLayout w:type="fixed"/>
        <w:tblLook w:val="0400" w:firstRow="0" w:lastRow="0" w:firstColumn="0" w:lastColumn="0" w:noHBand="0" w:noVBand="1"/>
      </w:tblPr>
      <w:tblGrid>
        <w:gridCol w:w="1769"/>
        <w:gridCol w:w="2591"/>
        <w:gridCol w:w="924"/>
        <w:gridCol w:w="863"/>
        <w:gridCol w:w="636"/>
        <w:gridCol w:w="1096"/>
        <w:gridCol w:w="1481"/>
      </w:tblGrid>
      <w:tr w:rsidR="00BA0745" w14:paraId="4BAE7216" w14:textId="77777777">
        <w:tc>
          <w:tcPr>
            <w:tcW w:w="1769" w:type="dxa"/>
            <w:tcBorders>
              <w:top w:val="single" w:sz="4" w:space="0" w:color="000000"/>
              <w:bottom w:val="single" w:sz="4" w:space="0" w:color="000000"/>
            </w:tcBorders>
            <w:vAlign w:val="center"/>
          </w:tcPr>
          <w:p w14:paraId="23BE6BF2" w14:textId="77777777" w:rsidR="00BA0745" w:rsidRDefault="00000000">
            <w:pPr>
              <w:spacing w:before="120" w:after="120"/>
              <w:jc w:val="center"/>
              <w:rPr>
                <w:sz w:val="22"/>
                <w:szCs w:val="22"/>
              </w:rPr>
            </w:pPr>
            <w:r>
              <w:rPr>
                <w:sz w:val="22"/>
                <w:szCs w:val="22"/>
              </w:rPr>
              <w:t>Specification</w:t>
            </w:r>
          </w:p>
        </w:tc>
        <w:tc>
          <w:tcPr>
            <w:tcW w:w="2591" w:type="dxa"/>
            <w:tcBorders>
              <w:top w:val="single" w:sz="4" w:space="0" w:color="000000"/>
              <w:bottom w:val="single" w:sz="4" w:space="0" w:color="000000"/>
            </w:tcBorders>
            <w:vAlign w:val="center"/>
          </w:tcPr>
          <w:p w14:paraId="5B3FF290" w14:textId="77777777" w:rsidR="00BA0745" w:rsidRDefault="00000000">
            <w:pPr>
              <w:spacing w:before="120" w:after="120"/>
              <w:jc w:val="center"/>
              <w:rPr>
                <w:sz w:val="22"/>
                <w:szCs w:val="22"/>
              </w:rPr>
            </w:pPr>
            <w:r>
              <w:rPr>
                <w:sz w:val="22"/>
                <w:szCs w:val="22"/>
              </w:rPr>
              <w:t>Context definition</w:t>
            </w:r>
          </w:p>
        </w:tc>
        <w:tc>
          <w:tcPr>
            <w:tcW w:w="924" w:type="dxa"/>
            <w:tcBorders>
              <w:top w:val="single" w:sz="4" w:space="0" w:color="000000"/>
              <w:bottom w:val="single" w:sz="4" w:space="0" w:color="000000"/>
            </w:tcBorders>
            <w:vAlign w:val="center"/>
          </w:tcPr>
          <w:p w14:paraId="3F495B60" w14:textId="77777777" w:rsidR="00BA0745" w:rsidRDefault="00000000">
            <w:pPr>
              <w:spacing w:before="120" w:after="120"/>
              <w:jc w:val="center"/>
              <w:rPr>
                <w:sz w:val="22"/>
                <w:szCs w:val="22"/>
              </w:rPr>
            </w:pPr>
            <w:r>
              <w:rPr>
                <w:sz w:val="22"/>
                <w:szCs w:val="22"/>
              </w:rPr>
              <w:t>Mean RMSE raw</w:t>
            </w:r>
          </w:p>
        </w:tc>
        <w:tc>
          <w:tcPr>
            <w:tcW w:w="863" w:type="dxa"/>
            <w:tcBorders>
              <w:top w:val="single" w:sz="4" w:space="0" w:color="000000"/>
              <w:bottom w:val="single" w:sz="4" w:space="0" w:color="000000"/>
            </w:tcBorders>
            <w:vAlign w:val="center"/>
          </w:tcPr>
          <w:p w14:paraId="7C433C47" w14:textId="77777777" w:rsidR="00BA0745" w:rsidRDefault="00000000">
            <w:pPr>
              <w:spacing w:before="120" w:after="120"/>
              <w:jc w:val="center"/>
              <w:rPr>
                <w:sz w:val="22"/>
                <w:szCs w:val="22"/>
              </w:rPr>
            </w:pPr>
            <w:r>
              <w:rPr>
                <w:sz w:val="22"/>
                <w:szCs w:val="22"/>
              </w:rPr>
              <w:t>SD RMSE raw</w:t>
            </w:r>
          </w:p>
        </w:tc>
        <w:tc>
          <w:tcPr>
            <w:tcW w:w="636" w:type="dxa"/>
            <w:tcBorders>
              <w:top w:val="single" w:sz="4" w:space="0" w:color="000000"/>
              <w:bottom w:val="single" w:sz="4" w:space="0" w:color="000000"/>
            </w:tcBorders>
            <w:vAlign w:val="center"/>
          </w:tcPr>
          <w:p w14:paraId="3A6C57CB" w14:textId="77777777" w:rsidR="00BA0745" w:rsidRDefault="00000000">
            <w:pPr>
              <w:spacing w:before="120" w:after="120"/>
              <w:jc w:val="center"/>
              <w:rPr>
                <w:sz w:val="22"/>
                <w:szCs w:val="22"/>
              </w:rPr>
            </w:pPr>
            <w:r>
              <w:rPr>
                <w:sz w:val="22"/>
                <w:szCs w:val="22"/>
              </w:rPr>
              <w:t>Mean R²</w:t>
            </w:r>
          </w:p>
        </w:tc>
        <w:tc>
          <w:tcPr>
            <w:tcW w:w="1096" w:type="dxa"/>
            <w:tcBorders>
              <w:top w:val="single" w:sz="4" w:space="0" w:color="000000"/>
              <w:bottom w:val="single" w:sz="4" w:space="0" w:color="000000"/>
            </w:tcBorders>
            <w:vAlign w:val="center"/>
          </w:tcPr>
          <w:p w14:paraId="6970E514" w14:textId="77777777" w:rsidR="00BA0745" w:rsidRDefault="00000000">
            <w:pPr>
              <w:spacing w:before="120" w:after="120"/>
              <w:jc w:val="center"/>
              <w:rPr>
                <w:sz w:val="22"/>
                <w:szCs w:val="22"/>
              </w:rPr>
            </w:pPr>
            <w:r>
              <w:rPr>
                <w:sz w:val="22"/>
                <w:szCs w:val="22"/>
              </w:rPr>
              <w:t>Mean Spearman</w:t>
            </w:r>
          </w:p>
        </w:tc>
        <w:tc>
          <w:tcPr>
            <w:tcW w:w="1481" w:type="dxa"/>
            <w:tcBorders>
              <w:top w:val="single" w:sz="4" w:space="0" w:color="000000"/>
              <w:bottom w:val="single" w:sz="4" w:space="0" w:color="000000"/>
            </w:tcBorders>
            <w:vAlign w:val="center"/>
          </w:tcPr>
          <w:p w14:paraId="2B112468" w14:textId="77777777" w:rsidR="00BA0745" w:rsidRDefault="00000000">
            <w:pPr>
              <w:spacing w:before="120" w:after="120"/>
              <w:jc w:val="center"/>
              <w:rPr>
                <w:sz w:val="22"/>
                <w:szCs w:val="22"/>
              </w:rPr>
            </w:pPr>
            <w:r>
              <w:rPr>
                <w:sz w:val="22"/>
                <w:szCs w:val="22"/>
              </w:rPr>
              <w:t>RMSE reduction vs service-only</w:t>
            </w:r>
          </w:p>
        </w:tc>
      </w:tr>
      <w:tr w:rsidR="00BA0745" w14:paraId="4C9CE9B6" w14:textId="77777777">
        <w:tc>
          <w:tcPr>
            <w:tcW w:w="1769" w:type="dxa"/>
            <w:vAlign w:val="center"/>
          </w:tcPr>
          <w:p w14:paraId="7E5B9AB1" w14:textId="77777777" w:rsidR="00BA0745" w:rsidRDefault="00000000">
            <w:pPr>
              <w:spacing w:before="120" w:after="120"/>
              <w:jc w:val="center"/>
              <w:rPr>
                <w:sz w:val="22"/>
                <w:szCs w:val="22"/>
              </w:rPr>
            </w:pPr>
            <w:r>
              <w:rPr>
                <w:sz w:val="22"/>
                <w:szCs w:val="22"/>
              </w:rPr>
              <w:t>M1 service only</w:t>
            </w:r>
          </w:p>
        </w:tc>
        <w:tc>
          <w:tcPr>
            <w:tcW w:w="2591" w:type="dxa"/>
            <w:vAlign w:val="center"/>
          </w:tcPr>
          <w:p w14:paraId="1B4A7D4D" w14:textId="77777777" w:rsidR="00BA0745" w:rsidRDefault="00000000">
            <w:pPr>
              <w:spacing w:before="120" w:after="120"/>
              <w:jc w:val="center"/>
              <w:rPr>
                <w:sz w:val="22"/>
                <w:szCs w:val="22"/>
              </w:rPr>
            </w:pPr>
            <w:r>
              <w:rPr>
                <w:sz w:val="22"/>
                <w:szCs w:val="22"/>
              </w:rPr>
              <w:t>No household context</w:t>
            </w:r>
          </w:p>
        </w:tc>
        <w:tc>
          <w:tcPr>
            <w:tcW w:w="924" w:type="dxa"/>
            <w:vAlign w:val="center"/>
          </w:tcPr>
          <w:p w14:paraId="13B5B656" w14:textId="77777777" w:rsidR="00BA0745" w:rsidRDefault="00000000">
            <w:pPr>
              <w:spacing w:before="120" w:after="120"/>
              <w:jc w:val="center"/>
              <w:rPr>
                <w:sz w:val="22"/>
                <w:szCs w:val="22"/>
              </w:rPr>
            </w:pPr>
            <w:r>
              <w:rPr>
                <w:sz w:val="22"/>
                <w:szCs w:val="22"/>
              </w:rPr>
              <w:t>0.410</w:t>
            </w:r>
          </w:p>
        </w:tc>
        <w:tc>
          <w:tcPr>
            <w:tcW w:w="863" w:type="dxa"/>
            <w:vAlign w:val="center"/>
          </w:tcPr>
          <w:p w14:paraId="3D20C008" w14:textId="77777777" w:rsidR="00BA0745" w:rsidRDefault="00000000">
            <w:pPr>
              <w:spacing w:before="120" w:after="120"/>
              <w:jc w:val="center"/>
              <w:rPr>
                <w:sz w:val="22"/>
                <w:szCs w:val="22"/>
              </w:rPr>
            </w:pPr>
            <w:r>
              <w:rPr>
                <w:sz w:val="22"/>
                <w:szCs w:val="22"/>
              </w:rPr>
              <w:t>0.011</w:t>
            </w:r>
          </w:p>
        </w:tc>
        <w:tc>
          <w:tcPr>
            <w:tcW w:w="636" w:type="dxa"/>
            <w:vAlign w:val="center"/>
          </w:tcPr>
          <w:p w14:paraId="2C73D4FD" w14:textId="77777777" w:rsidR="00BA0745" w:rsidRDefault="00000000">
            <w:pPr>
              <w:spacing w:before="120" w:after="120"/>
              <w:jc w:val="center"/>
              <w:rPr>
                <w:sz w:val="22"/>
                <w:szCs w:val="22"/>
              </w:rPr>
            </w:pPr>
            <w:r>
              <w:rPr>
                <w:sz w:val="22"/>
                <w:szCs w:val="22"/>
              </w:rPr>
              <w:t>0.566</w:t>
            </w:r>
          </w:p>
        </w:tc>
        <w:tc>
          <w:tcPr>
            <w:tcW w:w="1096" w:type="dxa"/>
            <w:vAlign w:val="center"/>
          </w:tcPr>
          <w:p w14:paraId="72BEBED4" w14:textId="77777777" w:rsidR="00BA0745" w:rsidRDefault="00000000">
            <w:pPr>
              <w:spacing w:before="120" w:after="120"/>
              <w:jc w:val="center"/>
              <w:rPr>
                <w:sz w:val="22"/>
                <w:szCs w:val="22"/>
              </w:rPr>
            </w:pPr>
            <w:r>
              <w:rPr>
                <w:sz w:val="22"/>
                <w:szCs w:val="22"/>
              </w:rPr>
              <w:t>0.737</w:t>
            </w:r>
          </w:p>
        </w:tc>
        <w:tc>
          <w:tcPr>
            <w:tcW w:w="1481" w:type="dxa"/>
            <w:vAlign w:val="center"/>
          </w:tcPr>
          <w:p w14:paraId="1AABD1D0" w14:textId="77777777" w:rsidR="00BA0745" w:rsidRDefault="00000000">
            <w:pPr>
              <w:spacing w:before="120" w:after="120"/>
              <w:jc w:val="center"/>
              <w:rPr>
                <w:sz w:val="22"/>
                <w:szCs w:val="22"/>
              </w:rPr>
            </w:pPr>
            <w:r>
              <w:rPr>
                <w:sz w:val="22"/>
                <w:szCs w:val="22"/>
              </w:rPr>
              <w:t>0.0000</w:t>
            </w:r>
          </w:p>
        </w:tc>
      </w:tr>
      <w:tr w:rsidR="00BA0745" w14:paraId="3DFCFEA7" w14:textId="77777777">
        <w:tc>
          <w:tcPr>
            <w:tcW w:w="1769" w:type="dxa"/>
            <w:vAlign w:val="center"/>
          </w:tcPr>
          <w:p w14:paraId="3ABEBA18" w14:textId="77777777" w:rsidR="00BA0745" w:rsidRDefault="00000000">
            <w:pPr>
              <w:spacing w:before="120" w:after="120"/>
              <w:jc w:val="center"/>
              <w:rPr>
                <w:sz w:val="22"/>
                <w:szCs w:val="22"/>
              </w:rPr>
            </w:pPr>
            <w:r>
              <w:rPr>
                <w:sz w:val="22"/>
                <w:szCs w:val="22"/>
              </w:rPr>
              <w:t>M2 main context</w:t>
            </w:r>
          </w:p>
        </w:tc>
        <w:tc>
          <w:tcPr>
            <w:tcW w:w="2591" w:type="dxa"/>
            <w:vAlign w:val="center"/>
          </w:tcPr>
          <w:p w14:paraId="41F5EF6E" w14:textId="77777777" w:rsidR="00BA0745" w:rsidRDefault="00000000">
            <w:pPr>
              <w:spacing w:before="120" w:after="120"/>
              <w:jc w:val="center"/>
              <w:rPr>
                <w:sz w:val="22"/>
                <w:szCs w:val="22"/>
              </w:rPr>
            </w:pPr>
            <w:r>
              <w:rPr>
                <w:sz w:val="22"/>
                <w:szCs w:val="22"/>
              </w:rPr>
              <w:t>Source/regime + ordered income + household size + dwelling</w:t>
            </w:r>
          </w:p>
        </w:tc>
        <w:tc>
          <w:tcPr>
            <w:tcW w:w="924" w:type="dxa"/>
            <w:vAlign w:val="center"/>
          </w:tcPr>
          <w:p w14:paraId="12EF1818" w14:textId="77777777" w:rsidR="00BA0745" w:rsidRDefault="00000000">
            <w:pPr>
              <w:spacing w:before="120" w:after="120"/>
              <w:jc w:val="center"/>
              <w:rPr>
                <w:sz w:val="22"/>
                <w:szCs w:val="22"/>
              </w:rPr>
            </w:pPr>
            <w:r>
              <w:rPr>
                <w:sz w:val="22"/>
                <w:szCs w:val="22"/>
              </w:rPr>
              <w:t>0.411</w:t>
            </w:r>
          </w:p>
        </w:tc>
        <w:tc>
          <w:tcPr>
            <w:tcW w:w="863" w:type="dxa"/>
            <w:vAlign w:val="center"/>
          </w:tcPr>
          <w:p w14:paraId="797C0EFB" w14:textId="77777777" w:rsidR="00BA0745" w:rsidRDefault="00000000">
            <w:pPr>
              <w:spacing w:before="120" w:after="120"/>
              <w:jc w:val="center"/>
              <w:rPr>
                <w:sz w:val="22"/>
                <w:szCs w:val="22"/>
              </w:rPr>
            </w:pPr>
            <w:r>
              <w:rPr>
                <w:sz w:val="22"/>
                <w:szCs w:val="22"/>
              </w:rPr>
              <w:t>0.010</w:t>
            </w:r>
          </w:p>
        </w:tc>
        <w:tc>
          <w:tcPr>
            <w:tcW w:w="636" w:type="dxa"/>
            <w:vAlign w:val="center"/>
          </w:tcPr>
          <w:p w14:paraId="2757B137" w14:textId="77777777" w:rsidR="00BA0745" w:rsidRDefault="00000000">
            <w:pPr>
              <w:spacing w:before="120" w:after="120"/>
              <w:jc w:val="center"/>
              <w:rPr>
                <w:sz w:val="22"/>
                <w:szCs w:val="22"/>
              </w:rPr>
            </w:pPr>
            <w:r>
              <w:rPr>
                <w:sz w:val="22"/>
                <w:szCs w:val="22"/>
              </w:rPr>
              <w:t>0.564</w:t>
            </w:r>
          </w:p>
        </w:tc>
        <w:tc>
          <w:tcPr>
            <w:tcW w:w="1096" w:type="dxa"/>
            <w:vAlign w:val="center"/>
          </w:tcPr>
          <w:p w14:paraId="6A365263" w14:textId="77777777" w:rsidR="00BA0745" w:rsidRDefault="00000000">
            <w:pPr>
              <w:spacing w:before="120" w:after="120"/>
              <w:jc w:val="center"/>
              <w:rPr>
                <w:sz w:val="22"/>
                <w:szCs w:val="22"/>
              </w:rPr>
            </w:pPr>
            <w:r>
              <w:rPr>
                <w:sz w:val="22"/>
                <w:szCs w:val="22"/>
              </w:rPr>
              <w:t>0.737</w:t>
            </w:r>
          </w:p>
        </w:tc>
        <w:tc>
          <w:tcPr>
            <w:tcW w:w="1481" w:type="dxa"/>
            <w:vAlign w:val="center"/>
          </w:tcPr>
          <w:p w14:paraId="41037DC6" w14:textId="1EB17A3C" w:rsidR="00BA0745" w:rsidRDefault="00500622" w:rsidP="00500622">
            <w:pPr>
              <w:jc w:val="center"/>
              <w:rPr>
                <w:sz w:val="22"/>
                <w:szCs w:val="22"/>
              </w:rPr>
            </w:pPr>
            <w:r w:rsidRPr="00500622">
              <w:rPr>
                <w:sz w:val="22"/>
                <w:szCs w:val="22"/>
              </w:rPr>
              <w:t>−0.0007</w:t>
            </w:r>
          </w:p>
        </w:tc>
      </w:tr>
      <w:tr w:rsidR="00BA0745" w14:paraId="5DFE7375" w14:textId="77777777">
        <w:tc>
          <w:tcPr>
            <w:tcW w:w="1769" w:type="dxa"/>
            <w:vAlign w:val="center"/>
          </w:tcPr>
          <w:p w14:paraId="2DC231D3" w14:textId="77777777" w:rsidR="00BA0745" w:rsidRDefault="00000000">
            <w:pPr>
              <w:spacing w:before="120" w:after="120"/>
              <w:jc w:val="center"/>
              <w:rPr>
                <w:sz w:val="22"/>
                <w:szCs w:val="22"/>
              </w:rPr>
            </w:pPr>
            <w:r>
              <w:rPr>
                <w:sz w:val="22"/>
                <w:szCs w:val="22"/>
              </w:rPr>
              <w:t>M2 full context</w:t>
            </w:r>
          </w:p>
        </w:tc>
        <w:tc>
          <w:tcPr>
            <w:tcW w:w="2591" w:type="dxa"/>
            <w:vAlign w:val="center"/>
          </w:tcPr>
          <w:p w14:paraId="0DFE2760" w14:textId="77777777" w:rsidR="00BA0745" w:rsidRDefault="00000000">
            <w:pPr>
              <w:spacing w:before="120" w:after="120"/>
              <w:jc w:val="center"/>
              <w:rPr>
                <w:sz w:val="22"/>
                <w:szCs w:val="22"/>
              </w:rPr>
            </w:pPr>
            <w:r>
              <w:rPr>
                <w:sz w:val="22"/>
                <w:szCs w:val="22"/>
              </w:rPr>
              <w:t>Main context + age + gender</w:t>
            </w:r>
          </w:p>
        </w:tc>
        <w:tc>
          <w:tcPr>
            <w:tcW w:w="924" w:type="dxa"/>
            <w:vAlign w:val="center"/>
          </w:tcPr>
          <w:p w14:paraId="6A39386F" w14:textId="77777777" w:rsidR="00BA0745" w:rsidRDefault="00000000">
            <w:pPr>
              <w:spacing w:before="120" w:after="120"/>
              <w:jc w:val="center"/>
              <w:rPr>
                <w:sz w:val="22"/>
                <w:szCs w:val="22"/>
              </w:rPr>
            </w:pPr>
            <w:r>
              <w:rPr>
                <w:sz w:val="22"/>
                <w:szCs w:val="22"/>
              </w:rPr>
              <w:t>0.411</w:t>
            </w:r>
          </w:p>
        </w:tc>
        <w:tc>
          <w:tcPr>
            <w:tcW w:w="863" w:type="dxa"/>
            <w:vAlign w:val="center"/>
          </w:tcPr>
          <w:p w14:paraId="3036DAC2" w14:textId="77777777" w:rsidR="00BA0745" w:rsidRDefault="00000000">
            <w:pPr>
              <w:spacing w:before="120" w:after="120"/>
              <w:jc w:val="center"/>
              <w:rPr>
                <w:sz w:val="22"/>
                <w:szCs w:val="22"/>
              </w:rPr>
            </w:pPr>
            <w:r>
              <w:rPr>
                <w:sz w:val="22"/>
                <w:szCs w:val="22"/>
              </w:rPr>
              <w:t>0.011</w:t>
            </w:r>
          </w:p>
        </w:tc>
        <w:tc>
          <w:tcPr>
            <w:tcW w:w="636" w:type="dxa"/>
            <w:vAlign w:val="center"/>
          </w:tcPr>
          <w:p w14:paraId="4373158D" w14:textId="77777777" w:rsidR="00BA0745" w:rsidRDefault="00000000">
            <w:pPr>
              <w:spacing w:before="120" w:after="120"/>
              <w:jc w:val="center"/>
              <w:rPr>
                <w:sz w:val="22"/>
                <w:szCs w:val="22"/>
              </w:rPr>
            </w:pPr>
            <w:r>
              <w:rPr>
                <w:sz w:val="22"/>
                <w:szCs w:val="22"/>
              </w:rPr>
              <w:t>0.563</w:t>
            </w:r>
          </w:p>
        </w:tc>
        <w:tc>
          <w:tcPr>
            <w:tcW w:w="1096" w:type="dxa"/>
            <w:vAlign w:val="center"/>
          </w:tcPr>
          <w:p w14:paraId="310E8A3B" w14:textId="77777777" w:rsidR="00BA0745" w:rsidRDefault="00000000">
            <w:pPr>
              <w:spacing w:before="120" w:after="120"/>
              <w:jc w:val="center"/>
              <w:rPr>
                <w:sz w:val="22"/>
                <w:szCs w:val="22"/>
              </w:rPr>
            </w:pPr>
            <w:r>
              <w:rPr>
                <w:sz w:val="22"/>
                <w:szCs w:val="22"/>
              </w:rPr>
              <w:t>0.736</w:t>
            </w:r>
          </w:p>
        </w:tc>
        <w:tc>
          <w:tcPr>
            <w:tcW w:w="1481" w:type="dxa"/>
            <w:vAlign w:val="center"/>
          </w:tcPr>
          <w:p w14:paraId="15D9C244" w14:textId="6C7E25FC" w:rsidR="00BA0745" w:rsidRDefault="00500622">
            <w:pPr>
              <w:spacing w:before="120" w:after="120"/>
              <w:jc w:val="center"/>
              <w:rPr>
                <w:sz w:val="22"/>
                <w:szCs w:val="22"/>
              </w:rPr>
            </w:pPr>
            <w:r w:rsidRPr="00500622">
              <w:rPr>
                <w:sz w:val="22"/>
                <w:szCs w:val="22"/>
              </w:rPr>
              <w:t>−0.0011</w:t>
            </w:r>
          </w:p>
        </w:tc>
      </w:tr>
      <w:tr w:rsidR="00BA0745" w14:paraId="0187BDF1" w14:textId="77777777">
        <w:tc>
          <w:tcPr>
            <w:tcW w:w="1769" w:type="dxa"/>
            <w:vAlign w:val="center"/>
          </w:tcPr>
          <w:p w14:paraId="05A037A8" w14:textId="77777777" w:rsidR="00BA0745" w:rsidRDefault="00000000">
            <w:pPr>
              <w:spacing w:before="120" w:after="120"/>
              <w:jc w:val="center"/>
              <w:rPr>
                <w:sz w:val="22"/>
                <w:szCs w:val="22"/>
              </w:rPr>
            </w:pPr>
            <w:r>
              <w:rPr>
                <w:sz w:val="22"/>
                <w:szCs w:val="22"/>
              </w:rPr>
              <w:t>M2 income categorical</w:t>
            </w:r>
          </w:p>
        </w:tc>
        <w:tc>
          <w:tcPr>
            <w:tcW w:w="2591" w:type="dxa"/>
            <w:vAlign w:val="center"/>
          </w:tcPr>
          <w:p w14:paraId="6E83EDF0" w14:textId="77777777" w:rsidR="00BA0745" w:rsidRDefault="00000000">
            <w:pPr>
              <w:spacing w:before="120" w:after="120"/>
              <w:jc w:val="center"/>
              <w:rPr>
                <w:sz w:val="22"/>
                <w:szCs w:val="22"/>
              </w:rPr>
            </w:pPr>
            <w:r>
              <w:rPr>
                <w:sz w:val="22"/>
                <w:szCs w:val="22"/>
              </w:rPr>
              <w:t>Source/regime + categorical income + household size + dwelling</w:t>
            </w:r>
          </w:p>
        </w:tc>
        <w:tc>
          <w:tcPr>
            <w:tcW w:w="924" w:type="dxa"/>
            <w:vAlign w:val="center"/>
          </w:tcPr>
          <w:p w14:paraId="564BFC15" w14:textId="77777777" w:rsidR="00BA0745" w:rsidRDefault="00000000">
            <w:pPr>
              <w:spacing w:before="120" w:after="120"/>
              <w:jc w:val="center"/>
              <w:rPr>
                <w:sz w:val="22"/>
                <w:szCs w:val="22"/>
              </w:rPr>
            </w:pPr>
            <w:r>
              <w:rPr>
                <w:sz w:val="22"/>
                <w:szCs w:val="22"/>
              </w:rPr>
              <w:t>0.411</w:t>
            </w:r>
          </w:p>
        </w:tc>
        <w:tc>
          <w:tcPr>
            <w:tcW w:w="863" w:type="dxa"/>
            <w:vAlign w:val="center"/>
          </w:tcPr>
          <w:p w14:paraId="3C12A10C" w14:textId="77777777" w:rsidR="00BA0745" w:rsidRDefault="00000000">
            <w:pPr>
              <w:spacing w:before="120" w:after="120"/>
              <w:jc w:val="center"/>
              <w:rPr>
                <w:sz w:val="22"/>
                <w:szCs w:val="22"/>
              </w:rPr>
            </w:pPr>
            <w:r>
              <w:rPr>
                <w:sz w:val="22"/>
                <w:szCs w:val="22"/>
              </w:rPr>
              <w:t>0.010</w:t>
            </w:r>
          </w:p>
        </w:tc>
        <w:tc>
          <w:tcPr>
            <w:tcW w:w="636" w:type="dxa"/>
            <w:vAlign w:val="center"/>
          </w:tcPr>
          <w:p w14:paraId="31B92705" w14:textId="77777777" w:rsidR="00BA0745" w:rsidRDefault="00000000">
            <w:pPr>
              <w:spacing w:before="120" w:after="120"/>
              <w:jc w:val="center"/>
              <w:rPr>
                <w:sz w:val="22"/>
                <w:szCs w:val="22"/>
              </w:rPr>
            </w:pPr>
            <w:r>
              <w:rPr>
                <w:sz w:val="22"/>
                <w:szCs w:val="22"/>
              </w:rPr>
              <w:t>0.564</w:t>
            </w:r>
          </w:p>
        </w:tc>
        <w:tc>
          <w:tcPr>
            <w:tcW w:w="1096" w:type="dxa"/>
            <w:vAlign w:val="center"/>
          </w:tcPr>
          <w:p w14:paraId="271AC69B" w14:textId="77777777" w:rsidR="00BA0745" w:rsidRDefault="00000000">
            <w:pPr>
              <w:spacing w:before="120" w:after="120"/>
              <w:jc w:val="center"/>
              <w:rPr>
                <w:sz w:val="22"/>
                <w:szCs w:val="22"/>
              </w:rPr>
            </w:pPr>
            <w:r>
              <w:rPr>
                <w:sz w:val="22"/>
                <w:szCs w:val="22"/>
              </w:rPr>
              <w:t>0.737</w:t>
            </w:r>
          </w:p>
        </w:tc>
        <w:tc>
          <w:tcPr>
            <w:tcW w:w="1481" w:type="dxa"/>
            <w:vAlign w:val="center"/>
          </w:tcPr>
          <w:p w14:paraId="4941EF57" w14:textId="20C2AE58" w:rsidR="00BA0745" w:rsidRDefault="00500622">
            <w:pPr>
              <w:spacing w:before="120" w:after="120"/>
              <w:jc w:val="center"/>
              <w:rPr>
                <w:sz w:val="22"/>
                <w:szCs w:val="22"/>
              </w:rPr>
            </w:pPr>
            <w:r w:rsidRPr="00500622">
              <w:rPr>
                <w:sz w:val="22"/>
                <w:szCs w:val="22"/>
              </w:rPr>
              <w:t>−0.0008</w:t>
            </w:r>
          </w:p>
        </w:tc>
      </w:tr>
      <w:tr w:rsidR="00BA0745" w14:paraId="6B5E7296" w14:textId="77777777">
        <w:tc>
          <w:tcPr>
            <w:tcW w:w="1769" w:type="dxa"/>
            <w:vAlign w:val="center"/>
          </w:tcPr>
          <w:p w14:paraId="4F8E7827" w14:textId="77777777" w:rsidR="00BA0745" w:rsidRDefault="00000000">
            <w:pPr>
              <w:spacing w:before="120" w:after="120"/>
              <w:jc w:val="center"/>
              <w:rPr>
                <w:sz w:val="22"/>
                <w:szCs w:val="22"/>
              </w:rPr>
            </w:pPr>
            <w:r>
              <w:rPr>
                <w:sz w:val="22"/>
                <w:szCs w:val="22"/>
              </w:rPr>
              <w:t>M3 main context + priorities</w:t>
            </w:r>
          </w:p>
        </w:tc>
        <w:tc>
          <w:tcPr>
            <w:tcW w:w="2591" w:type="dxa"/>
            <w:vAlign w:val="center"/>
          </w:tcPr>
          <w:p w14:paraId="27A45373" w14:textId="77777777" w:rsidR="00BA0745" w:rsidRDefault="00000000">
            <w:pPr>
              <w:spacing w:before="120" w:after="120"/>
              <w:jc w:val="center"/>
              <w:rPr>
                <w:sz w:val="22"/>
                <w:szCs w:val="22"/>
              </w:rPr>
            </w:pPr>
            <w:r>
              <w:rPr>
                <w:sz w:val="22"/>
                <w:szCs w:val="22"/>
              </w:rPr>
              <w:t>Main context + stated priorities</w:t>
            </w:r>
          </w:p>
        </w:tc>
        <w:tc>
          <w:tcPr>
            <w:tcW w:w="924" w:type="dxa"/>
            <w:vAlign w:val="center"/>
          </w:tcPr>
          <w:p w14:paraId="66223B91" w14:textId="77777777" w:rsidR="00BA0745" w:rsidRDefault="00000000">
            <w:pPr>
              <w:spacing w:before="120" w:after="120"/>
              <w:jc w:val="center"/>
              <w:rPr>
                <w:sz w:val="22"/>
                <w:szCs w:val="22"/>
              </w:rPr>
            </w:pPr>
            <w:r>
              <w:rPr>
                <w:sz w:val="22"/>
                <w:szCs w:val="22"/>
              </w:rPr>
              <w:t>0.410</w:t>
            </w:r>
          </w:p>
        </w:tc>
        <w:tc>
          <w:tcPr>
            <w:tcW w:w="863" w:type="dxa"/>
            <w:vAlign w:val="center"/>
          </w:tcPr>
          <w:p w14:paraId="4A540CE1" w14:textId="77777777" w:rsidR="00BA0745" w:rsidRDefault="00000000">
            <w:pPr>
              <w:spacing w:before="120" w:after="120"/>
              <w:jc w:val="center"/>
              <w:rPr>
                <w:sz w:val="22"/>
                <w:szCs w:val="22"/>
              </w:rPr>
            </w:pPr>
            <w:r>
              <w:rPr>
                <w:sz w:val="22"/>
                <w:szCs w:val="22"/>
              </w:rPr>
              <w:t>0.011</w:t>
            </w:r>
          </w:p>
        </w:tc>
        <w:tc>
          <w:tcPr>
            <w:tcW w:w="636" w:type="dxa"/>
            <w:vAlign w:val="center"/>
          </w:tcPr>
          <w:p w14:paraId="157F0076" w14:textId="77777777" w:rsidR="00BA0745" w:rsidRDefault="00000000">
            <w:pPr>
              <w:spacing w:before="120" w:after="120"/>
              <w:jc w:val="center"/>
              <w:rPr>
                <w:sz w:val="22"/>
                <w:szCs w:val="22"/>
              </w:rPr>
            </w:pPr>
            <w:r>
              <w:rPr>
                <w:sz w:val="22"/>
                <w:szCs w:val="22"/>
              </w:rPr>
              <w:t>0.566</w:t>
            </w:r>
          </w:p>
        </w:tc>
        <w:tc>
          <w:tcPr>
            <w:tcW w:w="1096" w:type="dxa"/>
            <w:vAlign w:val="center"/>
          </w:tcPr>
          <w:p w14:paraId="444177D9" w14:textId="77777777" w:rsidR="00BA0745" w:rsidRDefault="00000000">
            <w:pPr>
              <w:spacing w:before="120" w:after="120"/>
              <w:jc w:val="center"/>
              <w:rPr>
                <w:sz w:val="22"/>
                <w:szCs w:val="22"/>
              </w:rPr>
            </w:pPr>
            <w:r>
              <w:rPr>
                <w:sz w:val="22"/>
                <w:szCs w:val="22"/>
              </w:rPr>
              <w:t>0.738</w:t>
            </w:r>
          </w:p>
        </w:tc>
        <w:tc>
          <w:tcPr>
            <w:tcW w:w="1481" w:type="dxa"/>
            <w:vAlign w:val="center"/>
          </w:tcPr>
          <w:p w14:paraId="1E9F9687" w14:textId="77777777" w:rsidR="00BA0745" w:rsidRDefault="00000000">
            <w:pPr>
              <w:spacing w:before="120" w:after="120"/>
              <w:jc w:val="center"/>
              <w:rPr>
                <w:sz w:val="22"/>
                <w:szCs w:val="22"/>
              </w:rPr>
            </w:pPr>
            <w:r>
              <w:rPr>
                <w:sz w:val="22"/>
                <w:szCs w:val="22"/>
              </w:rPr>
              <w:t>0.0003</w:t>
            </w:r>
          </w:p>
        </w:tc>
      </w:tr>
      <w:tr w:rsidR="00BA0745" w14:paraId="2900020D" w14:textId="77777777">
        <w:tc>
          <w:tcPr>
            <w:tcW w:w="1769" w:type="dxa"/>
            <w:vAlign w:val="center"/>
          </w:tcPr>
          <w:p w14:paraId="215ED184" w14:textId="77777777" w:rsidR="00BA0745" w:rsidRDefault="00000000">
            <w:pPr>
              <w:spacing w:before="120" w:after="120"/>
              <w:jc w:val="center"/>
              <w:rPr>
                <w:sz w:val="22"/>
                <w:szCs w:val="22"/>
              </w:rPr>
            </w:pPr>
            <w:r>
              <w:rPr>
                <w:sz w:val="22"/>
                <w:szCs w:val="22"/>
              </w:rPr>
              <w:t>M3 full context + priorities</w:t>
            </w:r>
          </w:p>
        </w:tc>
        <w:tc>
          <w:tcPr>
            <w:tcW w:w="2591" w:type="dxa"/>
            <w:vAlign w:val="center"/>
          </w:tcPr>
          <w:p w14:paraId="4D987385" w14:textId="77777777" w:rsidR="00BA0745" w:rsidRDefault="00000000">
            <w:pPr>
              <w:spacing w:before="120" w:after="120"/>
              <w:jc w:val="center"/>
              <w:rPr>
                <w:sz w:val="22"/>
                <w:szCs w:val="22"/>
              </w:rPr>
            </w:pPr>
            <w:r>
              <w:rPr>
                <w:sz w:val="22"/>
                <w:szCs w:val="22"/>
              </w:rPr>
              <w:t>Full context + stated priorities</w:t>
            </w:r>
          </w:p>
        </w:tc>
        <w:tc>
          <w:tcPr>
            <w:tcW w:w="924" w:type="dxa"/>
            <w:vAlign w:val="center"/>
          </w:tcPr>
          <w:p w14:paraId="6C94827D" w14:textId="77777777" w:rsidR="00BA0745" w:rsidRDefault="00000000">
            <w:pPr>
              <w:spacing w:before="120" w:after="120"/>
              <w:jc w:val="center"/>
              <w:rPr>
                <w:sz w:val="22"/>
                <w:szCs w:val="22"/>
              </w:rPr>
            </w:pPr>
            <w:r>
              <w:rPr>
                <w:sz w:val="22"/>
                <w:szCs w:val="22"/>
              </w:rPr>
              <w:t>0.409</w:t>
            </w:r>
          </w:p>
        </w:tc>
        <w:tc>
          <w:tcPr>
            <w:tcW w:w="863" w:type="dxa"/>
            <w:vAlign w:val="center"/>
          </w:tcPr>
          <w:p w14:paraId="185EF910" w14:textId="77777777" w:rsidR="00BA0745" w:rsidRDefault="00000000">
            <w:pPr>
              <w:spacing w:before="120" w:after="120"/>
              <w:jc w:val="center"/>
              <w:rPr>
                <w:sz w:val="22"/>
                <w:szCs w:val="22"/>
              </w:rPr>
            </w:pPr>
            <w:r>
              <w:rPr>
                <w:sz w:val="22"/>
                <w:szCs w:val="22"/>
              </w:rPr>
              <w:t>0.012</w:t>
            </w:r>
          </w:p>
        </w:tc>
        <w:tc>
          <w:tcPr>
            <w:tcW w:w="636" w:type="dxa"/>
            <w:vAlign w:val="center"/>
          </w:tcPr>
          <w:p w14:paraId="0E8593D6" w14:textId="77777777" w:rsidR="00BA0745" w:rsidRDefault="00000000">
            <w:pPr>
              <w:spacing w:before="120" w:after="120"/>
              <w:jc w:val="center"/>
              <w:rPr>
                <w:sz w:val="22"/>
                <w:szCs w:val="22"/>
              </w:rPr>
            </w:pPr>
            <w:r>
              <w:rPr>
                <w:sz w:val="22"/>
                <w:szCs w:val="22"/>
              </w:rPr>
              <w:t>0.567</w:t>
            </w:r>
          </w:p>
        </w:tc>
        <w:tc>
          <w:tcPr>
            <w:tcW w:w="1096" w:type="dxa"/>
            <w:vAlign w:val="center"/>
          </w:tcPr>
          <w:p w14:paraId="358534FC" w14:textId="77777777" w:rsidR="00BA0745" w:rsidRDefault="00000000">
            <w:pPr>
              <w:spacing w:before="120" w:after="120"/>
              <w:jc w:val="center"/>
              <w:rPr>
                <w:sz w:val="22"/>
                <w:szCs w:val="22"/>
              </w:rPr>
            </w:pPr>
            <w:r>
              <w:rPr>
                <w:sz w:val="22"/>
                <w:szCs w:val="22"/>
              </w:rPr>
              <w:t>0.738</w:t>
            </w:r>
          </w:p>
        </w:tc>
        <w:tc>
          <w:tcPr>
            <w:tcW w:w="1481" w:type="dxa"/>
            <w:vAlign w:val="center"/>
          </w:tcPr>
          <w:p w14:paraId="524E82E2" w14:textId="77777777" w:rsidR="00BA0745" w:rsidRDefault="00000000">
            <w:pPr>
              <w:spacing w:before="120" w:after="120"/>
              <w:jc w:val="center"/>
              <w:rPr>
                <w:sz w:val="22"/>
                <w:szCs w:val="22"/>
              </w:rPr>
            </w:pPr>
            <w:r>
              <w:rPr>
                <w:sz w:val="22"/>
                <w:szCs w:val="22"/>
              </w:rPr>
              <w:t>0.0005</w:t>
            </w:r>
          </w:p>
        </w:tc>
      </w:tr>
      <w:tr w:rsidR="00BA0745" w14:paraId="53DB3443" w14:textId="77777777">
        <w:tc>
          <w:tcPr>
            <w:tcW w:w="1769" w:type="dxa"/>
            <w:tcBorders>
              <w:bottom w:val="single" w:sz="4" w:space="0" w:color="000000"/>
            </w:tcBorders>
            <w:vAlign w:val="center"/>
          </w:tcPr>
          <w:p w14:paraId="005B806C" w14:textId="77777777" w:rsidR="00BA0745" w:rsidRDefault="00000000">
            <w:pPr>
              <w:spacing w:before="120" w:after="120"/>
              <w:jc w:val="center"/>
              <w:rPr>
                <w:sz w:val="22"/>
                <w:szCs w:val="22"/>
              </w:rPr>
            </w:pPr>
            <w:r>
              <w:rPr>
                <w:sz w:val="22"/>
                <w:szCs w:val="22"/>
              </w:rPr>
              <w:t>M3 income categorical + priorities</w:t>
            </w:r>
          </w:p>
        </w:tc>
        <w:tc>
          <w:tcPr>
            <w:tcW w:w="2591" w:type="dxa"/>
            <w:tcBorders>
              <w:bottom w:val="single" w:sz="4" w:space="0" w:color="000000"/>
            </w:tcBorders>
            <w:vAlign w:val="center"/>
          </w:tcPr>
          <w:p w14:paraId="515A5E97" w14:textId="77777777" w:rsidR="00BA0745" w:rsidRDefault="00000000">
            <w:pPr>
              <w:spacing w:before="120" w:after="120"/>
              <w:jc w:val="center"/>
              <w:rPr>
                <w:sz w:val="22"/>
                <w:szCs w:val="22"/>
              </w:rPr>
            </w:pPr>
            <w:r>
              <w:rPr>
                <w:sz w:val="22"/>
                <w:szCs w:val="22"/>
              </w:rPr>
              <w:t>Income categorical context + stated priorities</w:t>
            </w:r>
          </w:p>
        </w:tc>
        <w:tc>
          <w:tcPr>
            <w:tcW w:w="924" w:type="dxa"/>
            <w:tcBorders>
              <w:bottom w:val="single" w:sz="4" w:space="0" w:color="000000"/>
            </w:tcBorders>
            <w:vAlign w:val="center"/>
          </w:tcPr>
          <w:p w14:paraId="12EB98E8" w14:textId="77777777" w:rsidR="00BA0745" w:rsidRDefault="00000000">
            <w:pPr>
              <w:spacing w:before="120" w:after="120"/>
              <w:jc w:val="center"/>
              <w:rPr>
                <w:sz w:val="22"/>
                <w:szCs w:val="22"/>
              </w:rPr>
            </w:pPr>
            <w:r>
              <w:rPr>
                <w:sz w:val="22"/>
                <w:szCs w:val="22"/>
              </w:rPr>
              <w:t>0.410</w:t>
            </w:r>
          </w:p>
        </w:tc>
        <w:tc>
          <w:tcPr>
            <w:tcW w:w="863" w:type="dxa"/>
            <w:tcBorders>
              <w:bottom w:val="single" w:sz="4" w:space="0" w:color="000000"/>
            </w:tcBorders>
            <w:vAlign w:val="center"/>
          </w:tcPr>
          <w:p w14:paraId="7355BA2B" w14:textId="77777777" w:rsidR="00BA0745" w:rsidRDefault="00000000">
            <w:pPr>
              <w:spacing w:before="120" w:after="120"/>
              <w:jc w:val="center"/>
              <w:rPr>
                <w:sz w:val="22"/>
                <w:szCs w:val="22"/>
              </w:rPr>
            </w:pPr>
            <w:r>
              <w:rPr>
                <w:sz w:val="22"/>
                <w:szCs w:val="22"/>
              </w:rPr>
              <w:t>0.011</w:t>
            </w:r>
          </w:p>
        </w:tc>
        <w:tc>
          <w:tcPr>
            <w:tcW w:w="636" w:type="dxa"/>
            <w:tcBorders>
              <w:bottom w:val="single" w:sz="4" w:space="0" w:color="000000"/>
            </w:tcBorders>
            <w:vAlign w:val="center"/>
          </w:tcPr>
          <w:p w14:paraId="3AD4052C" w14:textId="77777777" w:rsidR="00BA0745" w:rsidRDefault="00000000">
            <w:pPr>
              <w:spacing w:before="120" w:after="120"/>
              <w:jc w:val="center"/>
              <w:rPr>
                <w:sz w:val="22"/>
                <w:szCs w:val="22"/>
              </w:rPr>
            </w:pPr>
            <w:r>
              <w:rPr>
                <w:sz w:val="22"/>
                <w:szCs w:val="22"/>
              </w:rPr>
              <w:t>0.566</w:t>
            </w:r>
          </w:p>
        </w:tc>
        <w:tc>
          <w:tcPr>
            <w:tcW w:w="1096" w:type="dxa"/>
            <w:tcBorders>
              <w:bottom w:val="single" w:sz="4" w:space="0" w:color="000000"/>
            </w:tcBorders>
            <w:vAlign w:val="center"/>
          </w:tcPr>
          <w:p w14:paraId="72D74512" w14:textId="77777777" w:rsidR="00BA0745" w:rsidRDefault="00000000">
            <w:pPr>
              <w:spacing w:before="120" w:after="120"/>
              <w:jc w:val="center"/>
              <w:rPr>
                <w:sz w:val="22"/>
                <w:szCs w:val="22"/>
              </w:rPr>
            </w:pPr>
            <w:r>
              <w:rPr>
                <w:sz w:val="22"/>
                <w:szCs w:val="22"/>
              </w:rPr>
              <w:t>0.738</w:t>
            </w:r>
          </w:p>
        </w:tc>
        <w:tc>
          <w:tcPr>
            <w:tcW w:w="1481" w:type="dxa"/>
            <w:tcBorders>
              <w:bottom w:val="single" w:sz="4" w:space="0" w:color="000000"/>
            </w:tcBorders>
            <w:vAlign w:val="center"/>
          </w:tcPr>
          <w:p w14:paraId="4781A672" w14:textId="77777777" w:rsidR="00BA0745" w:rsidRDefault="00000000">
            <w:pPr>
              <w:spacing w:before="120" w:after="120"/>
              <w:jc w:val="center"/>
              <w:rPr>
                <w:sz w:val="22"/>
                <w:szCs w:val="22"/>
              </w:rPr>
            </w:pPr>
            <w:r>
              <w:rPr>
                <w:sz w:val="22"/>
                <w:szCs w:val="22"/>
              </w:rPr>
              <w:t>0.0002</w:t>
            </w:r>
          </w:p>
        </w:tc>
      </w:tr>
    </w:tbl>
    <w:p w14:paraId="1B70C7CF" w14:textId="77777777" w:rsidR="00BA0745" w:rsidRDefault="00000000">
      <w:pPr>
        <w:spacing w:before="120" w:after="120"/>
        <w:jc w:val="both"/>
        <w:rPr>
          <w:sz w:val="22"/>
          <w:szCs w:val="22"/>
        </w:rPr>
      </w:pPr>
      <w:r>
        <w:rPr>
          <w:sz w:val="22"/>
          <w:szCs w:val="22"/>
        </w:rPr>
        <w:t>These results indicate that the substantive conclusion is not sensitive to whether context is represented using the main specification, an expanded demographic specification, or categorical income encoding.</w:t>
      </w:r>
    </w:p>
    <w:p w14:paraId="50ADFF07" w14:textId="77777777" w:rsidR="00BA0745" w:rsidRDefault="00000000">
      <w:pPr>
        <w:spacing w:before="120" w:after="120"/>
        <w:jc w:val="both"/>
        <w:rPr>
          <w:b/>
          <w:bCs/>
          <w:sz w:val="22"/>
          <w:szCs w:val="22"/>
        </w:rPr>
      </w:pPr>
      <w:r>
        <w:rPr>
          <w:b/>
          <w:bCs/>
          <w:sz w:val="22"/>
          <w:szCs w:val="22"/>
        </w:rPr>
        <w:t>S3. Model interpretation and extended results</w:t>
      </w:r>
    </w:p>
    <w:p w14:paraId="3E1D9D8A" w14:textId="77777777" w:rsidR="00BA0745" w:rsidRDefault="00000000">
      <w:pPr>
        <w:spacing w:before="120" w:after="120"/>
        <w:jc w:val="both"/>
        <w:rPr>
          <w:b/>
          <w:bCs/>
          <w:sz w:val="22"/>
          <w:szCs w:val="22"/>
        </w:rPr>
      </w:pPr>
      <w:r>
        <w:rPr>
          <w:b/>
          <w:bCs/>
          <w:sz w:val="22"/>
          <w:szCs w:val="22"/>
        </w:rPr>
        <w:t>S3.1. Grouped SHAP attribution stability</w:t>
      </w:r>
    </w:p>
    <w:p w14:paraId="1131837D" w14:textId="77777777" w:rsidR="00BA0745" w:rsidRDefault="00000000">
      <w:pPr>
        <w:spacing w:before="120" w:after="120"/>
        <w:jc w:val="both"/>
        <w:rPr>
          <w:sz w:val="22"/>
          <w:szCs w:val="22"/>
        </w:rPr>
      </w:pPr>
      <w:r>
        <w:rPr>
          <w:sz w:val="22"/>
          <w:szCs w:val="22"/>
        </w:rPr>
        <w:t>Grouped SHAP attribution was evaluated in the primary held-out split and across repeated held-out splits. Both analyses produced the same qualitative ranking: service-support variables dominated, stated priorities contributed a small but nonzero share, and household context contributed the smallest share.</w:t>
      </w:r>
    </w:p>
    <w:p w14:paraId="338E0969" w14:textId="77777777" w:rsidR="00BA0745" w:rsidRDefault="00000000">
      <w:pPr>
        <w:spacing w:before="120" w:after="120"/>
        <w:jc w:val="both"/>
        <w:rPr>
          <w:sz w:val="22"/>
          <w:szCs w:val="22"/>
        </w:rPr>
      </w:pPr>
      <w:r>
        <w:rPr>
          <w:b/>
          <w:bCs/>
          <w:sz w:val="22"/>
          <w:szCs w:val="22"/>
        </w:rPr>
        <w:t xml:space="preserve">Supplementary Table S12. </w:t>
      </w:r>
      <w:r>
        <w:rPr>
          <w:sz w:val="22"/>
          <w:szCs w:val="22"/>
        </w:rPr>
        <w:t>Grouped SHAP attribution in primary and repeated held-out splits.</w:t>
      </w:r>
    </w:p>
    <w:tbl>
      <w:tblPr>
        <w:tblStyle w:val="afb"/>
        <w:tblW w:w="9360" w:type="dxa"/>
        <w:jc w:val="center"/>
        <w:tblLayout w:type="fixed"/>
        <w:tblLook w:val="0400" w:firstRow="0" w:lastRow="0" w:firstColumn="0" w:lastColumn="0" w:noHBand="0" w:noVBand="1"/>
      </w:tblPr>
      <w:tblGrid>
        <w:gridCol w:w="1222"/>
        <w:gridCol w:w="870"/>
        <w:gridCol w:w="1248"/>
        <w:gridCol w:w="1549"/>
        <w:gridCol w:w="1346"/>
        <w:gridCol w:w="1292"/>
        <w:gridCol w:w="1833"/>
      </w:tblGrid>
      <w:tr w:rsidR="00BA0745" w14:paraId="314D30AF" w14:textId="77777777">
        <w:trPr>
          <w:jc w:val="center"/>
        </w:trPr>
        <w:tc>
          <w:tcPr>
            <w:tcW w:w="1222" w:type="dxa"/>
            <w:tcBorders>
              <w:top w:val="single" w:sz="4" w:space="0" w:color="000000"/>
              <w:bottom w:val="single" w:sz="4" w:space="0" w:color="000000"/>
            </w:tcBorders>
            <w:vAlign w:val="center"/>
          </w:tcPr>
          <w:p w14:paraId="6B0BC10E" w14:textId="77777777" w:rsidR="00BA0745" w:rsidRDefault="00000000">
            <w:pPr>
              <w:spacing w:before="120" w:after="120"/>
              <w:jc w:val="center"/>
              <w:rPr>
                <w:sz w:val="22"/>
                <w:szCs w:val="22"/>
              </w:rPr>
            </w:pPr>
            <w:r>
              <w:rPr>
                <w:sz w:val="22"/>
                <w:szCs w:val="22"/>
              </w:rPr>
              <w:t>Predictor block</w:t>
            </w:r>
          </w:p>
        </w:tc>
        <w:tc>
          <w:tcPr>
            <w:tcW w:w="870" w:type="dxa"/>
            <w:tcBorders>
              <w:top w:val="single" w:sz="4" w:space="0" w:color="000000"/>
              <w:bottom w:val="single" w:sz="4" w:space="0" w:color="000000"/>
            </w:tcBorders>
            <w:vAlign w:val="center"/>
          </w:tcPr>
          <w:p w14:paraId="3CFA33F7" w14:textId="77777777" w:rsidR="00BA0745" w:rsidRDefault="00000000">
            <w:pPr>
              <w:spacing w:before="120" w:after="120"/>
              <w:jc w:val="center"/>
              <w:rPr>
                <w:sz w:val="22"/>
                <w:szCs w:val="22"/>
              </w:rPr>
            </w:pPr>
            <w:r>
              <w:rPr>
                <w:sz w:val="22"/>
                <w:szCs w:val="22"/>
              </w:rPr>
              <w:t>Feature count</w:t>
            </w:r>
          </w:p>
        </w:tc>
        <w:tc>
          <w:tcPr>
            <w:tcW w:w="1248" w:type="dxa"/>
            <w:tcBorders>
              <w:top w:val="single" w:sz="4" w:space="0" w:color="000000"/>
              <w:bottom w:val="single" w:sz="4" w:space="0" w:color="000000"/>
            </w:tcBorders>
            <w:vAlign w:val="center"/>
          </w:tcPr>
          <w:p w14:paraId="65A86A90" w14:textId="77777777" w:rsidR="00BA0745" w:rsidRDefault="00000000">
            <w:pPr>
              <w:spacing w:before="120" w:after="120"/>
              <w:jc w:val="center"/>
              <w:rPr>
                <w:sz w:val="22"/>
                <w:szCs w:val="22"/>
              </w:rPr>
            </w:pPr>
            <w:r>
              <w:rPr>
                <w:sz w:val="22"/>
                <w:szCs w:val="22"/>
              </w:rPr>
              <w:t>Primary held-out split share</w:t>
            </w:r>
          </w:p>
        </w:tc>
        <w:tc>
          <w:tcPr>
            <w:tcW w:w="1549" w:type="dxa"/>
            <w:tcBorders>
              <w:top w:val="single" w:sz="4" w:space="0" w:color="000000"/>
              <w:bottom w:val="single" w:sz="4" w:space="0" w:color="000000"/>
            </w:tcBorders>
            <w:vAlign w:val="center"/>
          </w:tcPr>
          <w:p w14:paraId="090CFC5E" w14:textId="77777777" w:rsidR="00BA0745" w:rsidRDefault="00000000">
            <w:pPr>
              <w:spacing w:before="120" w:after="120"/>
              <w:jc w:val="center"/>
              <w:rPr>
                <w:sz w:val="22"/>
                <w:szCs w:val="22"/>
              </w:rPr>
            </w:pPr>
            <w:r>
              <w:rPr>
                <w:sz w:val="22"/>
                <w:szCs w:val="22"/>
              </w:rPr>
              <w:t>Primary total mean absolute SHAP raw</w:t>
            </w:r>
          </w:p>
        </w:tc>
        <w:tc>
          <w:tcPr>
            <w:tcW w:w="1346" w:type="dxa"/>
            <w:tcBorders>
              <w:top w:val="single" w:sz="4" w:space="0" w:color="000000"/>
              <w:bottom w:val="single" w:sz="4" w:space="0" w:color="000000"/>
            </w:tcBorders>
            <w:vAlign w:val="center"/>
          </w:tcPr>
          <w:p w14:paraId="523A64C2" w14:textId="77777777" w:rsidR="00BA0745" w:rsidRDefault="00000000">
            <w:pPr>
              <w:spacing w:before="120" w:after="120"/>
              <w:jc w:val="center"/>
              <w:rPr>
                <w:sz w:val="22"/>
                <w:szCs w:val="22"/>
              </w:rPr>
            </w:pPr>
            <w:r>
              <w:rPr>
                <w:sz w:val="22"/>
                <w:szCs w:val="22"/>
              </w:rPr>
              <w:t>Repeated-split mean share</w:t>
            </w:r>
          </w:p>
        </w:tc>
        <w:tc>
          <w:tcPr>
            <w:tcW w:w="1292" w:type="dxa"/>
            <w:tcBorders>
              <w:top w:val="single" w:sz="4" w:space="0" w:color="000000"/>
              <w:bottom w:val="single" w:sz="4" w:space="0" w:color="000000"/>
            </w:tcBorders>
            <w:vAlign w:val="center"/>
          </w:tcPr>
          <w:p w14:paraId="253852AD" w14:textId="77777777" w:rsidR="00BA0745" w:rsidRDefault="00000000">
            <w:pPr>
              <w:spacing w:before="120" w:after="120"/>
              <w:jc w:val="center"/>
              <w:rPr>
                <w:sz w:val="22"/>
                <w:szCs w:val="22"/>
              </w:rPr>
            </w:pPr>
            <w:r>
              <w:rPr>
                <w:sz w:val="22"/>
                <w:szCs w:val="22"/>
              </w:rPr>
              <w:t>Repeated-split SD share</w:t>
            </w:r>
          </w:p>
        </w:tc>
        <w:tc>
          <w:tcPr>
            <w:tcW w:w="1833" w:type="dxa"/>
            <w:tcBorders>
              <w:top w:val="single" w:sz="4" w:space="0" w:color="000000"/>
              <w:bottom w:val="single" w:sz="4" w:space="0" w:color="000000"/>
            </w:tcBorders>
            <w:vAlign w:val="center"/>
          </w:tcPr>
          <w:p w14:paraId="7CC87569" w14:textId="77777777" w:rsidR="00BA0745" w:rsidRDefault="00000000">
            <w:pPr>
              <w:spacing w:before="120" w:after="120"/>
              <w:jc w:val="center"/>
              <w:rPr>
                <w:sz w:val="22"/>
                <w:szCs w:val="22"/>
              </w:rPr>
            </w:pPr>
            <w:r>
              <w:rPr>
                <w:sz w:val="22"/>
                <w:szCs w:val="22"/>
              </w:rPr>
              <w:t>Repeated-split mean total absolute SHAP raw</w:t>
            </w:r>
          </w:p>
        </w:tc>
      </w:tr>
      <w:tr w:rsidR="00BA0745" w14:paraId="20FEBD91" w14:textId="77777777">
        <w:trPr>
          <w:jc w:val="center"/>
        </w:trPr>
        <w:tc>
          <w:tcPr>
            <w:tcW w:w="1222" w:type="dxa"/>
            <w:vAlign w:val="center"/>
          </w:tcPr>
          <w:p w14:paraId="795186DB" w14:textId="77777777" w:rsidR="00BA0745" w:rsidRDefault="00000000">
            <w:pPr>
              <w:spacing w:before="120" w:after="120"/>
              <w:jc w:val="center"/>
              <w:rPr>
                <w:sz w:val="22"/>
                <w:szCs w:val="22"/>
              </w:rPr>
            </w:pPr>
            <w:r>
              <w:rPr>
                <w:sz w:val="22"/>
                <w:szCs w:val="22"/>
              </w:rPr>
              <w:lastRenderedPageBreak/>
              <w:t>Service-support</w:t>
            </w:r>
          </w:p>
        </w:tc>
        <w:tc>
          <w:tcPr>
            <w:tcW w:w="870" w:type="dxa"/>
            <w:vAlign w:val="center"/>
          </w:tcPr>
          <w:p w14:paraId="47AF853B" w14:textId="77777777" w:rsidR="00BA0745" w:rsidRDefault="00000000">
            <w:pPr>
              <w:spacing w:before="120" w:after="120"/>
              <w:jc w:val="center"/>
              <w:rPr>
                <w:sz w:val="22"/>
                <w:szCs w:val="22"/>
              </w:rPr>
            </w:pPr>
            <w:r>
              <w:rPr>
                <w:sz w:val="22"/>
                <w:szCs w:val="22"/>
              </w:rPr>
              <w:t>25</w:t>
            </w:r>
          </w:p>
        </w:tc>
        <w:tc>
          <w:tcPr>
            <w:tcW w:w="1248" w:type="dxa"/>
            <w:vAlign w:val="center"/>
          </w:tcPr>
          <w:p w14:paraId="33970412" w14:textId="77777777" w:rsidR="00BA0745" w:rsidRDefault="00000000">
            <w:pPr>
              <w:spacing w:before="120" w:after="120"/>
              <w:jc w:val="center"/>
              <w:rPr>
                <w:sz w:val="22"/>
                <w:szCs w:val="22"/>
              </w:rPr>
            </w:pPr>
            <w:r>
              <w:rPr>
                <w:sz w:val="22"/>
                <w:szCs w:val="22"/>
              </w:rPr>
              <w:t>94.91%</w:t>
            </w:r>
          </w:p>
        </w:tc>
        <w:tc>
          <w:tcPr>
            <w:tcW w:w="1549" w:type="dxa"/>
            <w:vAlign w:val="center"/>
          </w:tcPr>
          <w:p w14:paraId="438405FF" w14:textId="77777777" w:rsidR="00BA0745" w:rsidRDefault="00000000">
            <w:pPr>
              <w:spacing w:before="120" w:after="120"/>
              <w:jc w:val="center"/>
              <w:rPr>
                <w:sz w:val="22"/>
                <w:szCs w:val="22"/>
              </w:rPr>
            </w:pPr>
            <w:r>
              <w:rPr>
                <w:sz w:val="22"/>
                <w:szCs w:val="22"/>
              </w:rPr>
              <w:t>0.808</w:t>
            </w:r>
          </w:p>
        </w:tc>
        <w:tc>
          <w:tcPr>
            <w:tcW w:w="1346" w:type="dxa"/>
            <w:vAlign w:val="center"/>
          </w:tcPr>
          <w:p w14:paraId="3AE6F136" w14:textId="77777777" w:rsidR="00BA0745" w:rsidRDefault="00000000">
            <w:pPr>
              <w:spacing w:before="120" w:after="120"/>
              <w:jc w:val="center"/>
              <w:rPr>
                <w:sz w:val="22"/>
                <w:szCs w:val="22"/>
              </w:rPr>
            </w:pPr>
            <w:r>
              <w:rPr>
                <w:sz w:val="22"/>
                <w:szCs w:val="22"/>
              </w:rPr>
              <w:t>93.22%</w:t>
            </w:r>
          </w:p>
        </w:tc>
        <w:tc>
          <w:tcPr>
            <w:tcW w:w="1292" w:type="dxa"/>
            <w:vAlign w:val="center"/>
          </w:tcPr>
          <w:p w14:paraId="48C07BD5" w14:textId="77777777" w:rsidR="00BA0745" w:rsidRDefault="00000000">
            <w:pPr>
              <w:spacing w:before="120" w:after="120"/>
              <w:jc w:val="center"/>
              <w:rPr>
                <w:sz w:val="22"/>
                <w:szCs w:val="22"/>
              </w:rPr>
            </w:pPr>
            <w:r>
              <w:rPr>
                <w:sz w:val="22"/>
                <w:szCs w:val="22"/>
              </w:rPr>
              <w:t>1.48%</w:t>
            </w:r>
          </w:p>
        </w:tc>
        <w:tc>
          <w:tcPr>
            <w:tcW w:w="1833" w:type="dxa"/>
            <w:vAlign w:val="center"/>
          </w:tcPr>
          <w:p w14:paraId="1B5B84B4" w14:textId="77777777" w:rsidR="00BA0745" w:rsidRDefault="00000000">
            <w:pPr>
              <w:spacing w:before="120" w:after="120"/>
              <w:jc w:val="center"/>
              <w:rPr>
                <w:sz w:val="22"/>
                <w:szCs w:val="22"/>
              </w:rPr>
            </w:pPr>
            <w:r>
              <w:rPr>
                <w:sz w:val="22"/>
                <w:szCs w:val="22"/>
              </w:rPr>
              <w:t>0.816</w:t>
            </w:r>
          </w:p>
        </w:tc>
      </w:tr>
      <w:tr w:rsidR="00BA0745" w14:paraId="48130C9C" w14:textId="77777777">
        <w:trPr>
          <w:jc w:val="center"/>
        </w:trPr>
        <w:tc>
          <w:tcPr>
            <w:tcW w:w="1222" w:type="dxa"/>
            <w:vAlign w:val="center"/>
          </w:tcPr>
          <w:p w14:paraId="67BB24C9" w14:textId="77777777" w:rsidR="00BA0745" w:rsidRDefault="00000000">
            <w:pPr>
              <w:spacing w:before="120" w:after="120"/>
              <w:jc w:val="center"/>
              <w:rPr>
                <w:sz w:val="22"/>
                <w:szCs w:val="22"/>
              </w:rPr>
            </w:pPr>
            <w:r>
              <w:rPr>
                <w:sz w:val="22"/>
                <w:szCs w:val="22"/>
              </w:rPr>
              <w:t>Household context</w:t>
            </w:r>
          </w:p>
        </w:tc>
        <w:tc>
          <w:tcPr>
            <w:tcW w:w="870" w:type="dxa"/>
            <w:vAlign w:val="center"/>
          </w:tcPr>
          <w:p w14:paraId="117F2D4E" w14:textId="77777777" w:rsidR="00BA0745" w:rsidRDefault="00000000">
            <w:pPr>
              <w:spacing w:before="120" w:after="120"/>
              <w:jc w:val="center"/>
              <w:rPr>
                <w:sz w:val="22"/>
                <w:szCs w:val="22"/>
              </w:rPr>
            </w:pPr>
            <w:r>
              <w:rPr>
                <w:sz w:val="22"/>
                <w:szCs w:val="22"/>
              </w:rPr>
              <w:t>4</w:t>
            </w:r>
          </w:p>
        </w:tc>
        <w:tc>
          <w:tcPr>
            <w:tcW w:w="1248" w:type="dxa"/>
            <w:vAlign w:val="center"/>
          </w:tcPr>
          <w:p w14:paraId="56F9CD98" w14:textId="77777777" w:rsidR="00BA0745" w:rsidRDefault="00000000">
            <w:pPr>
              <w:spacing w:before="120" w:after="120"/>
              <w:jc w:val="center"/>
              <w:rPr>
                <w:sz w:val="22"/>
                <w:szCs w:val="22"/>
              </w:rPr>
            </w:pPr>
            <w:r>
              <w:rPr>
                <w:sz w:val="22"/>
                <w:szCs w:val="22"/>
              </w:rPr>
              <w:t>0.94%</w:t>
            </w:r>
          </w:p>
        </w:tc>
        <w:tc>
          <w:tcPr>
            <w:tcW w:w="1549" w:type="dxa"/>
            <w:vAlign w:val="center"/>
          </w:tcPr>
          <w:p w14:paraId="48512C44" w14:textId="77777777" w:rsidR="00BA0745" w:rsidRDefault="00000000">
            <w:pPr>
              <w:spacing w:before="120" w:after="120"/>
              <w:jc w:val="center"/>
              <w:rPr>
                <w:sz w:val="22"/>
                <w:szCs w:val="22"/>
              </w:rPr>
            </w:pPr>
            <w:r>
              <w:rPr>
                <w:sz w:val="22"/>
                <w:szCs w:val="22"/>
              </w:rPr>
              <w:t>0.008</w:t>
            </w:r>
          </w:p>
        </w:tc>
        <w:tc>
          <w:tcPr>
            <w:tcW w:w="1346" w:type="dxa"/>
            <w:vAlign w:val="center"/>
          </w:tcPr>
          <w:p w14:paraId="6D1C03B1" w14:textId="77777777" w:rsidR="00BA0745" w:rsidRDefault="00000000">
            <w:pPr>
              <w:spacing w:before="120" w:after="120"/>
              <w:jc w:val="center"/>
              <w:rPr>
                <w:sz w:val="22"/>
                <w:szCs w:val="22"/>
              </w:rPr>
            </w:pPr>
            <w:r>
              <w:rPr>
                <w:sz w:val="22"/>
                <w:szCs w:val="22"/>
              </w:rPr>
              <w:t>2.04%</w:t>
            </w:r>
          </w:p>
        </w:tc>
        <w:tc>
          <w:tcPr>
            <w:tcW w:w="1292" w:type="dxa"/>
            <w:vAlign w:val="center"/>
          </w:tcPr>
          <w:p w14:paraId="66C69915" w14:textId="77777777" w:rsidR="00BA0745" w:rsidRDefault="00000000">
            <w:pPr>
              <w:spacing w:before="120" w:after="120"/>
              <w:jc w:val="center"/>
              <w:rPr>
                <w:sz w:val="22"/>
                <w:szCs w:val="22"/>
              </w:rPr>
            </w:pPr>
            <w:r>
              <w:rPr>
                <w:sz w:val="22"/>
                <w:szCs w:val="22"/>
              </w:rPr>
              <w:t>0.65%</w:t>
            </w:r>
          </w:p>
        </w:tc>
        <w:tc>
          <w:tcPr>
            <w:tcW w:w="1833" w:type="dxa"/>
            <w:vAlign w:val="center"/>
          </w:tcPr>
          <w:p w14:paraId="6BEB972A" w14:textId="77777777" w:rsidR="00BA0745" w:rsidRDefault="00000000">
            <w:pPr>
              <w:spacing w:before="120" w:after="120"/>
              <w:jc w:val="center"/>
              <w:rPr>
                <w:sz w:val="22"/>
                <w:szCs w:val="22"/>
              </w:rPr>
            </w:pPr>
            <w:r>
              <w:rPr>
                <w:sz w:val="22"/>
                <w:szCs w:val="22"/>
              </w:rPr>
              <w:t>0.018</w:t>
            </w:r>
          </w:p>
        </w:tc>
      </w:tr>
      <w:tr w:rsidR="00BA0745" w14:paraId="484AFBF5" w14:textId="77777777">
        <w:trPr>
          <w:jc w:val="center"/>
        </w:trPr>
        <w:tc>
          <w:tcPr>
            <w:tcW w:w="1222" w:type="dxa"/>
            <w:tcBorders>
              <w:bottom w:val="single" w:sz="4" w:space="0" w:color="000000"/>
            </w:tcBorders>
            <w:vAlign w:val="center"/>
          </w:tcPr>
          <w:p w14:paraId="1DD79B29" w14:textId="77777777" w:rsidR="00BA0745" w:rsidRDefault="00000000">
            <w:pPr>
              <w:spacing w:before="120" w:after="120"/>
              <w:jc w:val="center"/>
              <w:rPr>
                <w:sz w:val="22"/>
                <w:szCs w:val="22"/>
              </w:rPr>
            </w:pPr>
            <w:r>
              <w:rPr>
                <w:sz w:val="22"/>
                <w:szCs w:val="22"/>
              </w:rPr>
              <w:t>Stated priorities</w:t>
            </w:r>
          </w:p>
        </w:tc>
        <w:tc>
          <w:tcPr>
            <w:tcW w:w="870" w:type="dxa"/>
            <w:tcBorders>
              <w:bottom w:val="single" w:sz="4" w:space="0" w:color="000000"/>
            </w:tcBorders>
            <w:vAlign w:val="center"/>
          </w:tcPr>
          <w:p w14:paraId="7368293E" w14:textId="77777777" w:rsidR="00BA0745" w:rsidRDefault="00000000">
            <w:pPr>
              <w:spacing w:before="120" w:after="120"/>
              <w:jc w:val="center"/>
              <w:rPr>
                <w:sz w:val="22"/>
                <w:szCs w:val="22"/>
              </w:rPr>
            </w:pPr>
            <w:r>
              <w:rPr>
                <w:sz w:val="22"/>
                <w:szCs w:val="22"/>
              </w:rPr>
              <w:t>8</w:t>
            </w:r>
          </w:p>
        </w:tc>
        <w:tc>
          <w:tcPr>
            <w:tcW w:w="1248" w:type="dxa"/>
            <w:tcBorders>
              <w:bottom w:val="single" w:sz="4" w:space="0" w:color="000000"/>
            </w:tcBorders>
            <w:vAlign w:val="center"/>
          </w:tcPr>
          <w:p w14:paraId="7E0315F2" w14:textId="77777777" w:rsidR="00BA0745" w:rsidRDefault="00000000">
            <w:pPr>
              <w:spacing w:before="120" w:after="120"/>
              <w:jc w:val="center"/>
              <w:rPr>
                <w:sz w:val="22"/>
                <w:szCs w:val="22"/>
              </w:rPr>
            </w:pPr>
            <w:r>
              <w:rPr>
                <w:sz w:val="22"/>
                <w:szCs w:val="22"/>
              </w:rPr>
              <w:t>4.15%</w:t>
            </w:r>
          </w:p>
        </w:tc>
        <w:tc>
          <w:tcPr>
            <w:tcW w:w="1549" w:type="dxa"/>
            <w:tcBorders>
              <w:bottom w:val="single" w:sz="4" w:space="0" w:color="000000"/>
            </w:tcBorders>
            <w:vAlign w:val="center"/>
          </w:tcPr>
          <w:p w14:paraId="576DF0CE" w14:textId="77777777" w:rsidR="00BA0745" w:rsidRDefault="00000000">
            <w:pPr>
              <w:spacing w:before="120" w:after="120"/>
              <w:jc w:val="center"/>
              <w:rPr>
                <w:sz w:val="22"/>
                <w:szCs w:val="22"/>
              </w:rPr>
            </w:pPr>
            <w:r>
              <w:rPr>
                <w:sz w:val="22"/>
                <w:szCs w:val="22"/>
              </w:rPr>
              <w:t>0.035</w:t>
            </w:r>
          </w:p>
        </w:tc>
        <w:tc>
          <w:tcPr>
            <w:tcW w:w="1346" w:type="dxa"/>
            <w:tcBorders>
              <w:bottom w:val="single" w:sz="4" w:space="0" w:color="000000"/>
            </w:tcBorders>
            <w:vAlign w:val="center"/>
          </w:tcPr>
          <w:p w14:paraId="2FBBED79" w14:textId="77777777" w:rsidR="00BA0745" w:rsidRDefault="00000000">
            <w:pPr>
              <w:spacing w:before="120" w:after="120"/>
              <w:jc w:val="center"/>
              <w:rPr>
                <w:sz w:val="22"/>
                <w:szCs w:val="22"/>
              </w:rPr>
            </w:pPr>
            <w:r>
              <w:rPr>
                <w:sz w:val="22"/>
                <w:szCs w:val="22"/>
              </w:rPr>
              <w:t>4.74%</w:t>
            </w:r>
          </w:p>
        </w:tc>
        <w:tc>
          <w:tcPr>
            <w:tcW w:w="1292" w:type="dxa"/>
            <w:tcBorders>
              <w:bottom w:val="single" w:sz="4" w:space="0" w:color="000000"/>
            </w:tcBorders>
            <w:vAlign w:val="center"/>
          </w:tcPr>
          <w:p w14:paraId="5791FE3E" w14:textId="77777777" w:rsidR="00BA0745" w:rsidRDefault="00000000">
            <w:pPr>
              <w:spacing w:before="120" w:after="120"/>
              <w:jc w:val="center"/>
              <w:rPr>
                <w:sz w:val="22"/>
                <w:szCs w:val="22"/>
              </w:rPr>
            </w:pPr>
            <w:r>
              <w:rPr>
                <w:sz w:val="22"/>
                <w:szCs w:val="22"/>
              </w:rPr>
              <w:t>0.92%</w:t>
            </w:r>
          </w:p>
        </w:tc>
        <w:tc>
          <w:tcPr>
            <w:tcW w:w="1833" w:type="dxa"/>
            <w:tcBorders>
              <w:bottom w:val="single" w:sz="4" w:space="0" w:color="000000"/>
            </w:tcBorders>
            <w:vAlign w:val="center"/>
          </w:tcPr>
          <w:p w14:paraId="16D36EB6" w14:textId="77777777" w:rsidR="00BA0745" w:rsidRDefault="00000000">
            <w:pPr>
              <w:spacing w:before="120" w:after="120"/>
              <w:jc w:val="center"/>
              <w:rPr>
                <w:sz w:val="22"/>
                <w:szCs w:val="22"/>
              </w:rPr>
            </w:pPr>
            <w:r>
              <w:rPr>
                <w:sz w:val="22"/>
                <w:szCs w:val="22"/>
              </w:rPr>
              <w:t>0.042</w:t>
            </w:r>
          </w:p>
        </w:tc>
      </w:tr>
    </w:tbl>
    <w:p w14:paraId="7FB0B68C" w14:textId="77777777" w:rsidR="00BA0745" w:rsidRDefault="00000000">
      <w:pPr>
        <w:spacing w:before="120" w:after="120"/>
        <w:jc w:val="both"/>
        <w:rPr>
          <w:sz w:val="22"/>
          <w:szCs w:val="22"/>
        </w:rPr>
      </w:pPr>
      <w:r>
        <w:rPr>
          <w:sz w:val="22"/>
          <w:szCs w:val="22"/>
        </w:rPr>
        <w:t>This comparison shows that the service-support dominance is not a one-split occurrence. It also clarifies that the model does not ignore context, but its contribution is small once direct service-support conditions are included.</w:t>
      </w:r>
    </w:p>
    <w:p w14:paraId="3958232D" w14:textId="77777777" w:rsidR="00BA0745" w:rsidRDefault="00000000">
      <w:pPr>
        <w:spacing w:before="120" w:after="120"/>
        <w:jc w:val="both"/>
        <w:rPr>
          <w:b/>
          <w:bCs/>
          <w:sz w:val="22"/>
          <w:szCs w:val="22"/>
        </w:rPr>
      </w:pPr>
      <w:r>
        <w:rPr>
          <w:b/>
          <w:bCs/>
          <w:sz w:val="22"/>
          <w:szCs w:val="22"/>
        </w:rPr>
        <w:t>S3.2. Extended predictor-level SHAP ranking</w:t>
      </w:r>
    </w:p>
    <w:p w14:paraId="054A5B07" w14:textId="77777777" w:rsidR="00BA0745" w:rsidRDefault="00000000">
      <w:pPr>
        <w:spacing w:before="120" w:after="120"/>
        <w:jc w:val="both"/>
        <w:rPr>
          <w:sz w:val="22"/>
          <w:szCs w:val="22"/>
        </w:rPr>
      </w:pPr>
      <w:r>
        <w:rPr>
          <w:sz w:val="22"/>
          <w:szCs w:val="22"/>
        </w:rPr>
        <w:t>Main Table 6 reports the top 15 predictors by mean absolute SHAP. Supplementary Figure S4 reports the extended all-predictor ranking from the final M3 model.</w:t>
      </w:r>
    </w:p>
    <w:p w14:paraId="1092E1AE" w14:textId="77777777" w:rsidR="00BA0745" w:rsidRDefault="00000000">
      <w:pPr>
        <w:spacing w:before="120" w:after="120"/>
        <w:jc w:val="both"/>
        <w:rPr>
          <w:sz w:val="22"/>
          <w:szCs w:val="22"/>
        </w:rPr>
      </w:pPr>
      <w:r>
        <w:rPr>
          <w:b/>
          <w:bCs/>
          <w:sz w:val="22"/>
          <w:szCs w:val="22"/>
        </w:rPr>
        <w:t xml:space="preserve">Supplementary Figure S4. </w:t>
      </w:r>
      <w:r>
        <w:rPr>
          <w:sz w:val="22"/>
          <w:szCs w:val="22"/>
        </w:rPr>
        <w:t>Extended all-predictor SHAP ranking.</w:t>
      </w:r>
    </w:p>
    <w:p w14:paraId="6DE88449" w14:textId="77777777" w:rsidR="00BA0745" w:rsidRDefault="00000000">
      <w:pPr>
        <w:spacing w:before="120" w:after="120"/>
        <w:jc w:val="center"/>
        <w:rPr>
          <w:sz w:val="22"/>
          <w:szCs w:val="22"/>
        </w:rPr>
      </w:pPr>
      <w:r>
        <w:rPr>
          <w:noProof/>
          <w:sz w:val="22"/>
          <w:szCs w:val="22"/>
        </w:rPr>
        <w:lastRenderedPageBreak/>
        <w:drawing>
          <wp:inline distT="0" distB="0" distL="0" distR="0" wp14:anchorId="216820FB" wp14:editId="32C60EEE">
            <wp:extent cx="5422900" cy="5930900"/>
            <wp:effectExtent l="0" t="0" r="0" b="0"/>
            <wp:docPr id="173559666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srcRect/>
                    <a:stretch>
                      <a:fillRect/>
                    </a:stretch>
                  </pic:blipFill>
                  <pic:spPr>
                    <a:xfrm>
                      <a:off x="0" y="0"/>
                      <a:ext cx="5422900" cy="5930900"/>
                    </a:xfrm>
                    <a:prstGeom prst="rect">
                      <a:avLst/>
                    </a:prstGeom>
                    <a:ln/>
                  </pic:spPr>
                </pic:pic>
              </a:graphicData>
            </a:graphic>
          </wp:inline>
        </w:drawing>
      </w:r>
    </w:p>
    <w:p w14:paraId="0C27C794" w14:textId="77777777" w:rsidR="00BA0745" w:rsidRDefault="00000000">
      <w:pPr>
        <w:spacing w:before="120" w:after="120"/>
        <w:jc w:val="both"/>
        <w:rPr>
          <w:sz w:val="22"/>
          <w:szCs w:val="22"/>
        </w:rPr>
      </w:pPr>
      <w:r>
        <w:rPr>
          <w:sz w:val="22"/>
          <w:szCs w:val="22"/>
        </w:rPr>
        <w:t>This figure reports all predictors in the final M3 model ranked by mean absolute SHAP value. It supports the main result that WSQS prediction is dominated by diagnostic service-support variables while also showing the smaller contributions of stated priorities and household context.</w:t>
      </w:r>
    </w:p>
    <w:p w14:paraId="6D20312F" w14:textId="77777777" w:rsidR="00BA0745" w:rsidRDefault="00000000">
      <w:pPr>
        <w:spacing w:before="120" w:after="120"/>
        <w:jc w:val="both"/>
        <w:rPr>
          <w:b/>
          <w:bCs/>
          <w:sz w:val="22"/>
          <w:szCs w:val="22"/>
        </w:rPr>
      </w:pPr>
      <w:r>
        <w:rPr>
          <w:b/>
          <w:bCs/>
          <w:sz w:val="22"/>
          <w:szCs w:val="22"/>
        </w:rPr>
        <w:t>S3.3. Priority-conditioned service-priority pairs</w:t>
      </w:r>
    </w:p>
    <w:p w14:paraId="070BCFAA" w14:textId="77777777" w:rsidR="00BA0745" w:rsidRDefault="00000000">
      <w:pPr>
        <w:spacing w:before="120" w:after="120"/>
        <w:jc w:val="both"/>
        <w:rPr>
          <w:sz w:val="22"/>
          <w:szCs w:val="22"/>
        </w:rPr>
      </w:pPr>
      <w:r>
        <w:rPr>
          <w:sz w:val="22"/>
          <w:szCs w:val="22"/>
        </w:rPr>
        <w:t>Priority-conditioned contrasts were used to evaluate whether the predicted relationship between a service condition and WSQS differed by stated priority. The resolved priority-conditioned pairs linked service-support variables to their corresponding domain priorities. These contrasts were interpreted as model-based associations, not as causal interaction effects.</w:t>
      </w:r>
    </w:p>
    <w:p w14:paraId="6B2A5C56" w14:textId="77777777" w:rsidR="00BA0745" w:rsidRDefault="00000000">
      <w:pPr>
        <w:spacing w:before="120" w:after="120"/>
        <w:jc w:val="both"/>
        <w:rPr>
          <w:sz w:val="22"/>
          <w:szCs w:val="22"/>
        </w:rPr>
      </w:pPr>
      <w:r>
        <w:rPr>
          <w:b/>
          <w:bCs/>
          <w:sz w:val="22"/>
          <w:szCs w:val="22"/>
        </w:rPr>
        <w:t xml:space="preserve">Supplementary Table S13. </w:t>
      </w:r>
      <w:r>
        <w:rPr>
          <w:sz w:val="22"/>
          <w:szCs w:val="22"/>
        </w:rPr>
        <w:t>Resolved priority-conditioned service-priority pairs.</w:t>
      </w:r>
    </w:p>
    <w:tbl>
      <w:tblPr>
        <w:tblStyle w:val="afc"/>
        <w:tblW w:w="9360" w:type="dxa"/>
        <w:jc w:val="center"/>
        <w:tblLayout w:type="fixed"/>
        <w:tblLook w:val="0400" w:firstRow="0" w:lastRow="0" w:firstColumn="0" w:lastColumn="0" w:noHBand="0" w:noVBand="1"/>
      </w:tblPr>
      <w:tblGrid>
        <w:gridCol w:w="945"/>
        <w:gridCol w:w="2836"/>
        <w:gridCol w:w="943"/>
        <w:gridCol w:w="1756"/>
        <w:gridCol w:w="2880"/>
      </w:tblGrid>
      <w:tr w:rsidR="00BA0745" w14:paraId="601F05F1" w14:textId="77777777">
        <w:trPr>
          <w:jc w:val="center"/>
        </w:trPr>
        <w:tc>
          <w:tcPr>
            <w:tcW w:w="945" w:type="dxa"/>
            <w:tcBorders>
              <w:top w:val="single" w:sz="4" w:space="0" w:color="000000"/>
              <w:bottom w:val="single" w:sz="4" w:space="0" w:color="000000"/>
            </w:tcBorders>
            <w:vAlign w:val="center"/>
          </w:tcPr>
          <w:p w14:paraId="53253631" w14:textId="77777777" w:rsidR="00BA0745" w:rsidRDefault="00000000">
            <w:pPr>
              <w:spacing w:before="120" w:after="120"/>
              <w:jc w:val="center"/>
              <w:rPr>
                <w:sz w:val="22"/>
                <w:szCs w:val="22"/>
              </w:rPr>
            </w:pPr>
            <w:r>
              <w:rPr>
                <w:sz w:val="22"/>
                <w:szCs w:val="22"/>
              </w:rPr>
              <w:lastRenderedPageBreak/>
              <w:t>Service QID</w:t>
            </w:r>
          </w:p>
        </w:tc>
        <w:tc>
          <w:tcPr>
            <w:tcW w:w="2836" w:type="dxa"/>
            <w:tcBorders>
              <w:top w:val="single" w:sz="4" w:space="0" w:color="000000"/>
              <w:bottom w:val="single" w:sz="4" w:space="0" w:color="000000"/>
            </w:tcBorders>
            <w:vAlign w:val="center"/>
          </w:tcPr>
          <w:p w14:paraId="559CE5AB" w14:textId="77777777" w:rsidR="00BA0745" w:rsidRDefault="00000000">
            <w:pPr>
              <w:spacing w:before="120" w:after="120"/>
              <w:jc w:val="center"/>
              <w:rPr>
                <w:sz w:val="22"/>
                <w:szCs w:val="22"/>
              </w:rPr>
            </w:pPr>
            <w:r>
              <w:rPr>
                <w:sz w:val="22"/>
                <w:szCs w:val="22"/>
              </w:rPr>
              <w:t>Service variable</w:t>
            </w:r>
          </w:p>
        </w:tc>
        <w:tc>
          <w:tcPr>
            <w:tcW w:w="943" w:type="dxa"/>
            <w:tcBorders>
              <w:top w:val="single" w:sz="4" w:space="0" w:color="000000"/>
              <w:bottom w:val="single" w:sz="4" w:space="0" w:color="000000"/>
            </w:tcBorders>
            <w:vAlign w:val="center"/>
          </w:tcPr>
          <w:p w14:paraId="7F23B23A" w14:textId="77777777" w:rsidR="00BA0745" w:rsidRDefault="00000000">
            <w:pPr>
              <w:spacing w:before="120" w:after="120"/>
              <w:jc w:val="center"/>
              <w:rPr>
                <w:sz w:val="22"/>
                <w:szCs w:val="22"/>
              </w:rPr>
            </w:pPr>
            <w:r>
              <w:rPr>
                <w:sz w:val="22"/>
                <w:szCs w:val="22"/>
              </w:rPr>
              <w:t>Priority QID</w:t>
            </w:r>
          </w:p>
        </w:tc>
        <w:tc>
          <w:tcPr>
            <w:tcW w:w="1756" w:type="dxa"/>
            <w:tcBorders>
              <w:top w:val="single" w:sz="4" w:space="0" w:color="000000"/>
              <w:bottom w:val="single" w:sz="4" w:space="0" w:color="000000"/>
            </w:tcBorders>
            <w:vAlign w:val="center"/>
          </w:tcPr>
          <w:p w14:paraId="1779447F" w14:textId="77777777" w:rsidR="00BA0745" w:rsidRDefault="00000000">
            <w:pPr>
              <w:spacing w:before="120" w:after="120"/>
              <w:jc w:val="center"/>
              <w:rPr>
                <w:sz w:val="22"/>
                <w:szCs w:val="22"/>
              </w:rPr>
            </w:pPr>
            <w:r>
              <w:rPr>
                <w:sz w:val="22"/>
                <w:szCs w:val="22"/>
              </w:rPr>
              <w:t>Priority variable</w:t>
            </w:r>
          </w:p>
        </w:tc>
        <w:tc>
          <w:tcPr>
            <w:tcW w:w="2880" w:type="dxa"/>
            <w:tcBorders>
              <w:top w:val="single" w:sz="4" w:space="0" w:color="000000"/>
              <w:bottom w:val="single" w:sz="4" w:space="0" w:color="000000"/>
            </w:tcBorders>
            <w:vAlign w:val="center"/>
          </w:tcPr>
          <w:p w14:paraId="2245857E" w14:textId="77777777" w:rsidR="00BA0745" w:rsidRDefault="00000000">
            <w:pPr>
              <w:spacing w:before="120" w:after="120"/>
              <w:jc w:val="center"/>
              <w:rPr>
                <w:sz w:val="22"/>
                <w:szCs w:val="22"/>
              </w:rPr>
            </w:pPr>
            <w:r>
              <w:rPr>
                <w:sz w:val="22"/>
                <w:szCs w:val="22"/>
              </w:rPr>
              <w:t>Pair label</w:t>
            </w:r>
          </w:p>
        </w:tc>
      </w:tr>
      <w:tr w:rsidR="00BA0745" w14:paraId="287505D5" w14:textId="77777777">
        <w:trPr>
          <w:jc w:val="center"/>
        </w:trPr>
        <w:tc>
          <w:tcPr>
            <w:tcW w:w="945" w:type="dxa"/>
            <w:vAlign w:val="center"/>
          </w:tcPr>
          <w:p w14:paraId="2133E038" w14:textId="77777777" w:rsidR="00BA0745" w:rsidRDefault="00000000">
            <w:pPr>
              <w:spacing w:before="120" w:after="120"/>
              <w:jc w:val="center"/>
              <w:rPr>
                <w:sz w:val="22"/>
                <w:szCs w:val="22"/>
              </w:rPr>
            </w:pPr>
            <w:r>
              <w:rPr>
                <w:sz w:val="22"/>
                <w:szCs w:val="22"/>
              </w:rPr>
              <w:t>Q8.2</w:t>
            </w:r>
          </w:p>
        </w:tc>
        <w:tc>
          <w:tcPr>
            <w:tcW w:w="2836" w:type="dxa"/>
            <w:vAlign w:val="center"/>
          </w:tcPr>
          <w:p w14:paraId="5E2D8CDF" w14:textId="77777777" w:rsidR="00BA0745" w:rsidRDefault="00000000">
            <w:pPr>
              <w:spacing w:before="120" w:after="120"/>
              <w:jc w:val="center"/>
              <w:rPr>
                <w:sz w:val="22"/>
                <w:szCs w:val="22"/>
              </w:rPr>
            </w:pPr>
            <w:r>
              <w:rPr>
                <w:sz w:val="22"/>
                <w:szCs w:val="22"/>
              </w:rPr>
              <w:t>Weekly/available water volume</w:t>
            </w:r>
          </w:p>
        </w:tc>
        <w:tc>
          <w:tcPr>
            <w:tcW w:w="943" w:type="dxa"/>
            <w:vAlign w:val="center"/>
          </w:tcPr>
          <w:p w14:paraId="148240A0" w14:textId="77777777" w:rsidR="00BA0745" w:rsidRDefault="00000000">
            <w:pPr>
              <w:spacing w:before="120" w:after="120"/>
              <w:jc w:val="center"/>
              <w:rPr>
                <w:sz w:val="22"/>
                <w:szCs w:val="22"/>
              </w:rPr>
            </w:pPr>
            <w:r>
              <w:rPr>
                <w:sz w:val="22"/>
                <w:szCs w:val="22"/>
              </w:rPr>
              <w:t>Q8.6</w:t>
            </w:r>
          </w:p>
        </w:tc>
        <w:tc>
          <w:tcPr>
            <w:tcW w:w="1756" w:type="dxa"/>
            <w:vAlign w:val="center"/>
          </w:tcPr>
          <w:p w14:paraId="63F5E608" w14:textId="77777777" w:rsidR="00BA0745" w:rsidRDefault="00000000">
            <w:pPr>
              <w:spacing w:before="120" w:after="120"/>
              <w:jc w:val="center"/>
              <w:rPr>
                <w:sz w:val="22"/>
                <w:szCs w:val="22"/>
              </w:rPr>
            </w:pPr>
            <w:r>
              <w:rPr>
                <w:sz w:val="22"/>
                <w:szCs w:val="22"/>
              </w:rPr>
              <w:t>Quantity priority</w:t>
            </w:r>
          </w:p>
        </w:tc>
        <w:tc>
          <w:tcPr>
            <w:tcW w:w="2880" w:type="dxa"/>
            <w:vAlign w:val="center"/>
          </w:tcPr>
          <w:p w14:paraId="6B86ABAD" w14:textId="77777777" w:rsidR="00BA0745" w:rsidRDefault="00000000">
            <w:pPr>
              <w:spacing w:before="120" w:after="120"/>
              <w:jc w:val="center"/>
              <w:rPr>
                <w:sz w:val="22"/>
                <w:szCs w:val="22"/>
              </w:rPr>
            </w:pPr>
            <w:r>
              <w:rPr>
                <w:sz w:val="22"/>
                <w:szCs w:val="22"/>
              </w:rPr>
              <w:t>Available quantity × quantity priority</w:t>
            </w:r>
          </w:p>
        </w:tc>
      </w:tr>
      <w:tr w:rsidR="00BA0745" w14:paraId="71CBB4E1" w14:textId="77777777">
        <w:trPr>
          <w:jc w:val="center"/>
        </w:trPr>
        <w:tc>
          <w:tcPr>
            <w:tcW w:w="945" w:type="dxa"/>
            <w:vAlign w:val="center"/>
          </w:tcPr>
          <w:p w14:paraId="2C6D8B21" w14:textId="77777777" w:rsidR="00BA0745" w:rsidRDefault="00000000">
            <w:pPr>
              <w:spacing w:before="120" w:after="120"/>
              <w:jc w:val="center"/>
              <w:rPr>
                <w:sz w:val="22"/>
                <w:szCs w:val="22"/>
              </w:rPr>
            </w:pPr>
            <w:r>
              <w:rPr>
                <w:sz w:val="22"/>
                <w:szCs w:val="22"/>
              </w:rPr>
              <w:t>Q2.8</w:t>
            </w:r>
          </w:p>
        </w:tc>
        <w:tc>
          <w:tcPr>
            <w:tcW w:w="2836" w:type="dxa"/>
            <w:vAlign w:val="center"/>
          </w:tcPr>
          <w:p w14:paraId="017F4729" w14:textId="77777777" w:rsidR="00BA0745" w:rsidRDefault="00000000">
            <w:pPr>
              <w:spacing w:before="120" w:after="120"/>
              <w:jc w:val="center"/>
              <w:rPr>
                <w:sz w:val="22"/>
                <w:szCs w:val="22"/>
              </w:rPr>
            </w:pPr>
            <w:r>
              <w:rPr>
                <w:sz w:val="22"/>
                <w:szCs w:val="22"/>
              </w:rPr>
              <w:t>Affordability disruption</w:t>
            </w:r>
          </w:p>
        </w:tc>
        <w:tc>
          <w:tcPr>
            <w:tcW w:w="943" w:type="dxa"/>
            <w:vAlign w:val="center"/>
          </w:tcPr>
          <w:p w14:paraId="0AD99F07" w14:textId="77777777" w:rsidR="00BA0745" w:rsidRDefault="00000000">
            <w:pPr>
              <w:spacing w:before="120" w:after="120"/>
              <w:jc w:val="center"/>
              <w:rPr>
                <w:sz w:val="22"/>
                <w:szCs w:val="22"/>
              </w:rPr>
            </w:pPr>
            <w:r>
              <w:rPr>
                <w:sz w:val="22"/>
                <w:szCs w:val="22"/>
              </w:rPr>
              <w:t>Q2.9</w:t>
            </w:r>
          </w:p>
        </w:tc>
        <w:tc>
          <w:tcPr>
            <w:tcW w:w="1756" w:type="dxa"/>
            <w:vAlign w:val="center"/>
          </w:tcPr>
          <w:p w14:paraId="59B68CAF" w14:textId="77777777" w:rsidR="00BA0745" w:rsidRDefault="00000000">
            <w:pPr>
              <w:spacing w:before="120" w:after="120"/>
              <w:jc w:val="center"/>
              <w:rPr>
                <w:sz w:val="22"/>
                <w:szCs w:val="22"/>
              </w:rPr>
            </w:pPr>
            <w:r>
              <w:rPr>
                <w:sz w:val="22"/>
                <w:szCs w:val="22"/>
              </w:rPr>
              <w:t>Affordability priority</w:t>
            </w:r>
          </w:p>
        </w:tc>
        <w:tc>
          <w:tcPr>
            <w:tcW w:w="2880" w:type="dxa"/>
            <w:vAlign w:val="center"/>
          </w:tcPr>
          <w:p w14:paraId="4B40034E" w14:textId="77777777" w:rsidR="00BA0745" w:rsidRDefault="00000000">
            <w:pPr>
              <w:spacing w:before="120" w:after="120"/>
              <w:jc w:val="center"/>
              <w:rPr>
                <w:sz w:val="22"/>
                <w:szCs w:val="22"/>
              </w:rPr>
            </w:pPr>
            <w:r>
              <w:rPr>
                <w:sz w:val="22"/>
                <w:szCs w:val="22"/>
              </w:rPr>
              <w:t>Affordability disruption × affordability priority</w:t>
            </w:r>
          </w:p>
        </w:tc>
      </w:tr>
      <w:tr w:rsidR="00BA0745" w14:paraId="4D007580" w14:textId="77777777">
        <w:trPr>
          <w:jc w:val="center"/>
        </w:trPr>
        <w:tc>
          <w:tcPr>
            <w:tcW w:w="945" w:type="dxa"/>
            <w:vAlign w:val="center"/>
          </w:tcPr>
          <w:p w14:paraId="2EE70B02" w14:textId="77777777" w:rsidR="00BA0745" w:rsidRDefault="00000000">
            <w:pPr>
              <w:spacing w:before="120" w:after="120"/>
              <w:jc w:val="center"/>
              <w:rPr>
                <w:sz w:val="22"/>
                <w:szCs w:val="22"/>
              </w:rPr>
            </w:pPr>
            <w:r>
              <w:rPr>
                <w:sz w:val="22"/>
                <w:szCs w:val="22"/>
              </w:rPr>
              <w:t>Q2.3</w:t>
            </w:r>
          </w:p>
        </w:tc>
        <w:tc>
          <w:tcPr>
            <w:tcW w:w="2836" w:type="dxa"/>
            <w:vAlign w:val="center"/>
          </w:tcPr>
          <w:p w14:paraId="709E1B86" w14:textId="77777777" w:rsidR="00BA0745" w:rsidRDefault="00000000">
            <w:pPr>
              <w:spacing w:before="120" w:after="120"/>
              <w:jc w:val="center"/>
              <w:rPr>
                <w:sz w:val="22"/>
                <w:szCs w:val="22"/>
              </w:rPr>
            </w:pPr>
            <w:r>
              <w:rPr>
                <w:sz w:val="22"/>
                <w:szCs w:val="22"/>
              </w:rPr>
              <w:t>Monthly/drinking-water cost</w:t>
            </w:r>
          </w:p>
        </w:tc>
        <w:tc>
          <w:tcPr>
            <w:tcW w:w="943" w:type="dxa"/>
            <w:vAlign w:val="center"/>
          </w:tcPr>
          <w:p w14:paraId="7C92CEAD" w14:textId="77777777" w:rsidR="00BA0745" w:rsidRDefault="00000000">
            <w:pPr>
              <w:spacing w:before="120" w:after="120"/>
              <w:jc w:val="center"/>
              <w:rPr>
                <w:sz w:val="22"/>
                <w:szCs w:val="22"/>
              </w:rPr>
            </w:pPr>
            <w:r>
              <w:rPr>
                <w:sz w:val="22"/>
                <w:szCs w:val="22"/>
              </w:rPr>
              <w:t>Q2.9</w:t>
            </w:r>
          </w:p>
        </w:tc>
        <w:tc>
          <w:tcPr>
            <w:tcW w:w="1756" w:type="dxa"/>
            <w:vAlign w:val="center"/>
          </w:tcPr>
          <w:p w14:paraId="270FAB60" w14:textId="77777777" w:rsidR="00BA0745" w:rsidRDefault="00000000">
            <w:pPr>
              <w:spacing w:before="120" w:after="120"/>
              <w:jc w:val="center"/>
              <w:rPr>
                <w:sz w:val="22"/>
                <w:szCs w:val="22"/>
              </w:rPr>
            </w:pPr>
            <w:r>
              <w:rPr>
                <w:sz w:val="22"/>
                <w:szCs w:val="22"/>
              </w:rPr>
              <w:t>Affordability priority</w:t>
            </w:r>
          </w:p>
        </w:tc>
        <w:tc>
          <w:tcPr>
            <w:tcW w:w="2880" w:type="dxa"/>
            <w:vAlign w:val="center"/>
          </w:tcPr>
          <w:p w14:paraId="1F2E4457" w14:textId="77777777" w:rsidR="00BA0745" w:rsidRDefault="00000000">
            <w:pPr>
              <w:spacing w:before="120" w:after="120"/>
              <w:jc w:val="center"/>
              <w:rPr>
                <w:sz w:val="22"/>
                <w:szCs w:val="22"/>
              </w:rPr>
            </w:pPr>
            <w:r>
              <w:rPr>
                <w:sz w:val="22"/>
                <w:szCs w:val="22"/>
              </w:rPr>
              <w:t>Monthly cost × affordability priority</w:t>
            </w:r>
          </w:p>
        </w:tc>
      </w:tr>
      <w:tr w:rsidR="00BA0745" w14:paraId="66706C68" w14:textId="77777777">
        <w:trPr>
          <w:jc w:val="center"/>
        </w:trPr>
        <w:tc>
          <w:tcPr>
            <w:tcW w:w="945" w:type="dxa"/>
            <w:vAlign w:val="center"/>
          </w:tcPr>
          <w:p w14:paraId="25A89CAC" w14:textId="77777777" w:rsidR="00BA0745" w:rsidRDefault="00000000">
            <w:pPr>
              <w:spacing w:before="120" w:after="120"/>
              <w:jc w:val="center"/>
              <w:rPr>
                <w:sz w:val="22"/>
                <w:szCs w:val="22"/>
              </w:rPr>
            </w:pPr>
            <w:r>
              <w:rPr>
                <w:sz w:val="22"/>
                <w:szCs w:val="22"/>
              </w:rPr>
              <w:t>Q2.5</w:t>
            </w:r>
          </w:p>
        </w:tc>
        <w:tc>
          <w:tcPr>
            <w:tcW w:w="2836" w:type="dxa"/>
            <w:vAlign w:val="center"/>
          </w:tcPr>
          <w:p w14:paraId="508F3EE9" w14:textId="77777777" w:rsidR="00BA0745" w:rsidRDefault="00000000">
            <w:pPr>
              <w:spacing w:before="120" w:after="120"/>
              <w:jc w:val="center"/>
              <w:rPr>
                <w:sz w:val="22"/>
                <w:szCs w:val="22"/>
              </w:rPr>
            </w:pPr>
            <w:r>
              <w:rPr>
                <w:sz w:val="22"/>
                <w:szCs w:val="22"/>
              </w:rPr>
              <w:t>Value for money</w:t>
            </w:r>
          </w:p>
        </w:tc>
        <w:tc>
          <w:tcPr>
            <w:tcW w:w="943" w:type="dxa"/>
            <w:vAlign w:val="center"/>
          </w:tcPr>
          <w:p w14:paraId="226D54FA" w14:textId="77777777" w:rsidR="00BA0745" w:rsidRDefault="00000000">
            <w:pPr>
              <w:spacing w:before="120" w:after="120"/>
              <w:jc w:val="center"/>
              <w:rPr>
                <w:sz w:val="22"/>
                <w:szCs w:val="22"/>
              </w:rPr>
            </w:pPr>
            <w:r>
              <w:rPr>
                <w:sz w:val="22"/>
                <w:szCs w:val="22"/>
              </w:rPr>
              <w:t>Q2.9</w:t>
            </w:r>
          </w:p>
        </w:tc>
        <w:tc>
          <w:tcPr>
            <w:tcW w:w="1756" w:type="dxa"/>
            <w:vAlign w:val="center"/>
          </w:tcPr>
          <w:p w14:paraId="5761B69D" w14:textId="77777777" w:rsidR="00BA0745" w:rsidRDefault="00000000">
            <w:pPr>
              <w:spacing w:before="120" w:after="120"/>
              <w:jc w:val="center"/>
              <w:rPr>
                <w:sz w:val="22"/>
                <w:szCs w:val="22"/>
              </w:rPr>
            </w:pPr>
            <w:r>
              <w:rPr>
                <w:sz w:val="22"/>
                <w:szCs w:val="22"/>
              </w:rPr>
              <w:t>Affordability priority</w:t>
            </w:r>
          </w:p>
        </w:tc>
        <w:tc>
          <w:tcPr>
            <w:tcW w:w="2880" w:type="dxa"/>
            <w:vAlign w:val="center"/>
          </w:tcPr>
          <w:p w14:paraId="5AA77CED" w14:textId="77777777" w:rsidR="00BA0745" w:rsidRDefault="00000000">
            <w:pPr>
              <w:spacing w:before="120" w:after="120"/>
              <w:jc w:val="center"/>
              <w:rPr>
                <w:sz w:val="22"/>
                <w:szCs w:val="22"/>
              </w:rPr>
            </w:pPr>
            <w:r>
              <w:rPr>
                <w:sz w:val="22"/>
                <w:szCs w:val="22"/>
              </w:rPr>
              <w:t>Value for money × affordability priority</w:t>
            </w:r>
          </w:p>
        </w:tc>
      </w:tr>
      <w:tr w:rsidR="00BA0745" w14:paraId="68AE2236" w14:textId="77777777">
        <w:trPr>
          <w:jc w:val="center"/>
        </w:trPr>
        <w:tc>
          <w:tcPr>
            <w:tcW w:w="945" w:type="dxa"/>
            <w:vAlign w:val="center"/>
          </w:tcPr>
          <w:p w14:paraId="01FBC998" w14:textId="77777777" w:rsidR="00BA0745" w:rsidRDefault="00000000">
            <w:pPr>
              <w:spacing w:before="120" w:after="120"/>
              <w:jc w:val="center"/>
              <w:rPr>
                <w:sz w:val="22"/>
                <w:szCs w:val="22"/>
              </w:rPr>
            </w:pPr>
            <w:r>
              <w:rPr>
                <w:sz w:val="22"/>
                <w:szCs w:val="22"/>
              </w:rPr>
              <w:t>Q3.2</w:t>
            </w:r>
          </w:p>
        </w:tc>
        <w:tc>
          <w:tcPr>
            <w:tcW w:w="2836" w:type="dxa"/>
            <w:vAlign w:val="center"/>
          </w:tcPr>
          <w:p w14:paraId="337190B4" w14:textId="77777777" w:rsidR="00BA0745" w:rsidRDefault="00000000">
            <w:pPr>
              <w:spacing w:before="120" w:after="120"/>
              <w:jc w:val="center"/>
              <w:rPr>
                <w:sz w:val="22"/>
                <w:szCs w:val="22"/>
              </w:rPr>
            </w:pPr>
            <w:r>
              <w:rPr>
                <w:sz w:val="22"/>
                <w:szCs w:val="22"/>
              </w:rPr>
              <w:t>Travel time</w:t>
            </w:r>
          </w:p>
        </w:tc>
        <w:tc>
          <w:tcPr>
            <w:tcW w:w="943" w:type="dxa"/>
            <w:vAlign w:val="center"/>
          </w:tcPr>
          <w:p w14:paraId="26C923FC" w14:textId="77777777" w:rsidR="00BA0745" w:rsidRDefault="00000000">
            <w:pPr>
              <w:spacing w:before="120" w:after="120"/>
              <w:jc w:val="center"/>
              <w:rPr>
                <w:sz w:val="22"/>
                <w:szCs w:val="22"/>
              </w:rPr>
            </w:pPr>
            <w:r>
              <w:rPr>
                <w:sz w:val="22"/>
                <w:szCs w:val="22"/>
              </w:rPr>
              <w:t>Q3.9</w:t>
            </w:r>
          </w:p>
        </w:tc>
        <w:tc>
          <w:tcPr>
            <w:tcW w:w="1756" w:type="dxa"/>
            <w:vAlign w:val="center"/>
          </w:tcPr>
          <w:p w14:paraId="0D7635D2" w14:textId="77777777" w:rsidR="00BA0745" w:rsidRDefault="00000000">
            <w:pPr>
              <w:spacing w:before="120" w:after="120"/>
              <w:jc w:val="center"/>
              <w:rPr>
                <w:sz w:val="22"/>
                <w:szCs w:val="22"/>
              </w:rPr>
            </w:pPr>
            <w:r>
              <w:rPr>
                <w:sz w:val="22"/>
                <w:szCs w:val="22"/>
              </w:rPr>
              <w:t>Access priority</w:t>
            </w:r>
          </w:p>
        </w:tc>
        <w:tc>
          <w:tcPr>
            <w:tcW w:w="2880" w:type="dxa"/>
            <w:vAlign w:val="center"/>
          </w:tcPr>
          <w:p w14:paraId="0AFB6068" w14:textId="77777777" w:rsidR="00BA0745" w:rsidRDefault="00000000">
            <w:pPr>
              <w:spacing w:before="120" w:after="120"/>
              <w:jc w:val="center"/>
              <w:rPr>
                <w:sz w:val="22"/>
                <w:szCs w:val="22"/>
              </w:rPr>
            </w:pPr>
            <w:r>
              <w:rPr>
                <w:sz w:val="22"/>
                <w:szCs w:val="22"/>
              </w:rPr>
              <w:t>Travel time × access priority</w:t>
            </w:r>
          </w:p>
        </w:tc>
      </w:tr>
      <w:tr w:rsidR="00BA0745" w14:paraId="3F527160" w14:textId="77777777">
        <w:trPr>
          <w:jc w:val="center"/>
        </w:trPr>
        <w:tc>
          <w:tcPr>
            <w:tcW w:w="945" w:type="dxa"/>
            <w:vAlign w:val="center"/>
          </w:tcPr>
          <w:p w14:paraId="7B6366CD" w14:textId="77777777" w:rsidR="00BA0745" w:rsidRDefault="00000000">
            <w:pPr>
              <w:spacing w:before="120" w:after="120"/>
              <w:jc w:val="center"/>
              <w:rPr>
                <w:sz w:val="22"/>
                <w:szCs w:val="22"/>
              </w:rPr>
            </w:pPr>
            <w:r>
              <w:rPr>
                <w:sz w:val="22"/>
                <w:szCs w:val="22"/>
              </w:rPr>
              <w:t>Q3.3</w:t>
            </w:r>
          </w:p>
        </w:tc>
        <w:tc>
          <w:tcPr>
            <w:tcW w:w="2836" w:type="dxa"/>
            <w:vAlign w:val="center"/>
          </w:tcPr>
          <w:p w14:paraId="2F6BC9F9" w14:textId="77777777" w:rsidR="00BA0745" w:rsidRDefault="00000000">
            <w:pPr>
              <w:spacing w:before="120" w:after="120"/>
              <w:jc w:val="center"/>
              <w:rPr>
                <w:sz w:val="22"/>
                <w:szCs w:val="22"/>
              </w:rPr>
            </w:pPr>
            <w:r>
              <w:rPr>
                <w:sz w:val="22"/>
                <w:szCs w:val="22"/>
              </w:rPr>
              <w:t>Waiting time</w:t>
            </w:r>
          </w:p>
        </w:tc>
        <w:tc>
          <w:tcPr>
            <w:tcW w:w="943" w:type="dxa"/>
            <w:vAlign w:val="center"/>
          </w:tcPr>
          <w:p w14:paraId="553026E7" w14:textId="77777777" w:rsidR="00BA0745" w:rsidRDefault="00000000">
            <w:pPr>
              <w:spacing w:before="120" w:after="120"/>
              <w:jc w:val="center"/>
              <w:rPr>
                <w:sz w:val="22"/>
                <w:szCs w:val="22"/>
              </w:rPr>
            </w:pPr>
            <w:r>
              <w:rPr>
                <w:sz w:val="22"/>
                <w:szCs w:val="22"/>
              </w:rPr>
              <w:t>Q3.9</w:t>
            </w:r>
          </w:p>
        </w:tc>
        <w:tc>
          <w:tcPr>
            <w:tcW w:w="1756" w:type="dxa"/>
            <w:vAlign w:val="center"/>
          </w:tcPr>
          <w:p w14:paraId="335156C4" w14:textId="77777777" w:rsidR="00BA0745" w:rsidRDefault="00000000">
            <w:pPr>
              <w:spacing w:before="120" w:after="120"/>
              <w:jc w:val="center"/>
              <w:rPr>
                <w:sz w:val="22"/>
                <w:szCs w:val="22"/>
              </w:rPr>
            </w:pPr>
            <w:r>
              <w:rPr>
                <w:sz w:val="22"/>
                <w:szCs w:val="22"/>
              </w:rPr>
              <w:t>Access priority</w:t>
            </w:r>
          </w:p>
        </w:tc>
        <w:tc>
          <w:tcPr>
            <w:tcW w:w="2880" w:type="dxa"/>
            <w:vAlign w:val="center"/>
          </w:tcPr>
          <w:p w14:paraId="527A77CA" w14:textId="77777777" w:rsidR="00BA0745" w:rsidRDefault="00000000">
            <w:pPr>
              <w:spacing w:before="120" w:after="120"/>
              <w:jc w:val="center"/>
              <w:rPr>
                <w:sz w:val="22"/>
                <w:szCs w:val="22"/>
              </w:rPr>
            </w:pPr>
            <w:r>
              <w:rPr>
                <w:sz w:val="22"/>
                <w:szCs w:val="22"/>
              </w:rPr>
              <w:t>Waiting time × access priority</w:t>
            </w:r>
          </w:p>
        </w:tc>
      </w:tr>
      <w:tr w:rsidR="00BA0745" w14:paraId="1FD5178B" w14:textId="77777777">
        <w:trPr>
          <w:jc w:val="center"/>
        </w:trPr>
        <w:tc>
          <w:tcPr>
            <w:tcW w:w="945" w:type="dxa"/>
            <w:vAlign w:val="center"/>
          </w:tcPr>
          <w:p w14:paraId="58D4466A" w14:textId="77777777" w:rsidR="00BA0745" w:rsidRDefault="00000000">
            <w:pPr>
              <w:spacing w:before="120" w:after="120"/>
              <w:jc w:val="center"/>
              <w:rPr>
                <w:sz w:val="22"/>
                <w:szCs w:val="22"/>
              </w:rPr>
            </w:pPr>
            <w:r>
              <w:rPr>
                <w:sz w:val="22"/>
                <w:szCs w:val="22"/>
              </w:rPr>
              <w:t>Q3.5</w:t>
            </w:r>
          </w:p>
        </w:tc>
        <w:tc>
          <w:tcPr>
            <w:tcW w:w="2836" w:type="dxa"/>
            <w:vAlign w:val="center"/>
          </w:tcPr>
          <w:p w14:paraId="629E48D7" w14:textId="77777777" w:rsidR="00BA0745" w:rsidRDefault="00000000">
            <w:pPr>
              <w:spacing w:before="120" w:after="120"/>
              <w:jc w:val="center"/>
              <w:rPr>
                <w:sz w:val="22"/>
                <w:szCs w:val="22"/>
              </w:rPr>
            </w:pPr>
            <w:r>
              <w:rPr>
                <w:sz w:val="22"/>
                <w:szCs w:val="22"/>
              </w:rPr>
              <w:t>Municipal/corporation-water availability</w:t>
            </w:r>
          </w:p>
        </w:tc>
        <w:tc>
          <w:tcPr>
            <w:tcW w:w="943" w:type="dxa"/>
            <w:vAlign w:val="center"/>
          </w:tcPr>
          <w:p w14:paraId="6D5D555E" w14:textId="77777777" w:rsidR="00BA0745" w:rsidRDefault="00000000">
            <w:pPr>
              <w:spacing w:before="120" w:after="120"/>
              <w:jc w:val="center"/>
              <w:rPr>
                <w:sz w:val="22"/>
                <w:szCs w:val="22"/>
              </w:rPr>
            </w:pPr>
            <w:r>
              <w:rPr>
                <w:sz w:val="22"/>
                <w:szCs w:val="22"/>
              </w:rPr>
              <w:t>Q3.9</w:t>
            </w:r>
          </w:p>
        </w:tc>
        <w:tc>
          <w:tcPr>
            <w:tcW w:w="1756" w:type="dxa"/>
            <w:vAlign w:val="center"/>
          </w:tcPr>
          <w:p w14:paraId="30A0DB41" w14:textId="77777777" w:rsidR="00BA0745" w:rsidRDefault="00000000">
            <w:pPr>
              <w:spacing w:before="120" w:after="120"/>
              <w:jc w:val="center"/>
              <w:rPr>
                <w:sz w:val="22"/>
                <w:szCs w:val="22"/>
              </w:rPr>
            </w:pPr>
            <w:r>
              <w:rPr>
                <w:sz w:val="22"/>
                <w:szCs w:val="22"/>
              </w:rPr>
              <w:t>Access priority</w:t>
            </w:r>
          </w:p>
        </w:tc>
        <w:tc>
          <w:tcPr>
            <w:tcW w:w="2880" w:type="dxa"/>
            <w:vAlign w:val="center"/>
          </w:tcPr>
          <w:p w14:paraId="260819DE" w14:textId="77777777" w:rsidR="00BA0745" w:rsidRDefault="00000000">
            <w:pPr>
              <w:spacing w:before="120" w:after="120"/>
              <w:jc w:val="center"/>
              <w:rPr>
                <w:sz w:val="22"/>
                <w:szCs w:val="22"/>
              </w:rPr>
            </w:pPr>
            <w:r>
              <w:rPr>
                <w:sz w:val="22"/>
                <w:szCs w:val="22"/>
              </w:rPr>
              <w:t>Municipal availability × access priority</w:t>
            </w:r>
          </w:p>
        </w:tc>
      </w:tr>
      <w:tr w:rsidR="00BA0745" w14:paraId="082FA5D8" w14:textId="77777777">
        <w:trPr>
          <w:jc w:val="center"/>
        </w:trPr>
        <w:tc>
          <w:tcPr>
            <w:tcW w:w="945" w:type="dxa"/>
            <w:vAlign w:val="center"/>
          </w:tcPr>
          <w:p w14:paraId="4CF4E452" w14:textId="77777777" w:rsidR="00BA0745" w:rsidRDefault="00000000">
            <w:pPr>
              <w:spacing w:before="120" w:after="120"/>
              <w:jc w:val="center"/>
              <w:rPr>
                <w:sz w:val="22"/>
                <w:szCs w:val="22"/>
              </w:rPr>
            </w:pPr>
            <w:r>
              <w:rPr>
                <w:sz w:val="22"/>
                <w:szCs w:val="22"/>
              </w:rPr>
              <w:t>Q3.6</w:t>
            </w:r>
          </w:p>
        </w:tc>
        <w:tc>
          <w:tcPr>
            <w:tcW w:w="2836" w:type="dxa"/>
            <w:vAlign w:val="center"/>
          </w:tcPr>
          <w:p w14:paraId="69E7F9CC" w14:textId="77777777" w:rsidR="00BA0745" w:rsidRDefault="00000000">
            <w:pPr>
              <w:spacing w:before="120" w:after="120"/>
              <w:jc w:val="center"/>
              <w:rPr>
                <w:sz w:val="22"/>
                <w:szCs w:val="22"/>
              </w:rPr>
            </w:pPr>
            <w:r>
              <w:rPr>
                <w:sz w:val="22"/>
                <w:szCs w:val="22"/>
              </w:rPr>
              <w:t>Supply schedule</w:t>
            </w:r>
          </w:p>
        </w:tc>
        <w:tc>
          <w:tcPr>
            <w:tcW w:w="943" w:type="dxa"/>
            <w:vAlign w:val="center"/>
          </w:tcPr>
          <w:p w14:paraId="0367096A" w14:textId="77777777" w:rsidR="00BA0745" w:rsidRDefault="00000000">
            <w:pPr>
              <w:spacing w:before="120" w:after="120"/>
              <w:jc w:val="center"/>
              <w:rPr>
                <w:sz w:val="22"/>
                <w:szCs w:val="22"/>
              </w:rPr>
            </w:pPr>
            <w:r>
              <w:rPr>
                <w:sz w:val="22"/>
                <w:szCs w:val="22"/>
              </w:rPr>
              <w:t>Q3.9</w:t>
            </w:r>
          </w:p>
        </w:tc>
        <w:tc>
          <w:tcPr>
            <w:tcW w:w="1756" w:type="dxa"/>
            <w:vAlign w:val="center"/>
          </w:tcPr>
          <w:p w14:paraId="22E0D61E" w14:textId="77777777" w:rsidR="00BA0745" w:rsidRDefault="00000000">
            <w:pPr>
              <w:spacing w:before="120" w:after="120"/>
              <w:jc w:val="center"/>
              <w:rPr>
                <w:sz w:val="22"/>
                <w:szCs w:val="22"/>
              </w:rPr>
            </w:pPr>
            <w:r>
              <w:rPr>
                <w:sz w:val="22"/>
                <w:szCs w:val="22"/>
              </w:rPr>
              <w:t>Access priority</w:t>
            </w:r>
          </w:p>
        </w:tc>
        <w:tc>
          <w:tcPr>
            <w:tcW w:w="2880" w:type="dxa"/>
            <w:vAlign w:val="center"/>
          </w:tcPr>
          <w:p w14:paraId="2682EFA0" w14:textId="77777777" w:rsidR="00BA0745" w:rsidRDefault="00000000">
            <w:pPr>
              <w:spacing w:before="120" w:after="120"/>
              <w:jc w:val="center"/>
              <w:rPr>
                <w:sz w:val="22"/>
                <w:szCs w:val="22"/>
              </w:rPr>
            </w:pPr>
            <w:r>
              <w:rPr>
                <w:sz w:val="22"/>
                <w:szCs w:val="22"/>
              </w:rPr>
              <w:t>Supply schedule × access priority</w:t>
            </w:r>
          </w:p>
        </w:tc>
      </w:tr>
      <w:tr w:rsidR="00BA0745" w14:paraId="0C3EC40E" w14:textId="77777777">
        <w:trPr>
          <w:jc w:val="center"/>
        </w:trPr>
        <w:tc>
          <w:tcPr>
            <w:tcW w:w="945" w:type="dxa"/>
            <w:vAlign w:val="center"/>
          </w:tcPr>
          <w:p w14:paraId="26FA0558" w14:textId="77777777" w:rsidR="00BA0745" w:rsidRDefault="00000000">
            <w:pPr>
              <w:spacing w:before="120" w:after="120"/>
              <w:jc w:val="center"/>
              <w:rPr>
                <w:sz w:val="22"/>
                <w:szCs w:val="22"/>
              </w:rPr>
            </w:pPr>
            <w:r>
              <w:rPr>
                <w:sz w:val="22"/>
                <w:szCs w:val="22"/>
              </w:rPr>
              <w:t>Q4.2</w:t>
            </w:r>
          </w:p>
        </w:tc>
        <w:tc>
          <w:tcPr>
            <w:tcW w:w="2836" w:type="dxa"/>
            <w:vAlign w:val="center"/>
          </w:tcPr>
          <w:p w14:paraId="60ABCB72" w14:textId="77777777" w:rsidR="00BA0745" w:rsidRDefault="00000000">
            <w:pPr>
              <w:spacing w:before="120" w:after="120"/>
              <w:jc w:val="center"/>
              <w:rPr>
                <w:sz w:val="22"/>
                <w:szCs w:val="22"/>
              </w:rPr>
            </w:pPr>
            <w:r>
              <w:rPr>
                <w:sz w:val="22"/>
                <w:szCs w:val="22"/>
              </w:rPr>
              <w:t>Water pressure</w:t>
            </w:r>
          </w:p>
        </w:tc>
        <w:tc>
          <w:tcPr>
            <w:tcW w:w="943" w:type="dxa"/>
            <w:vAlign w:val="center"/>
          </w:tcPr>
          <w:p w14:paraId="39A8C362" w14:textId="77777777" w:rsidR="00BA0745" w:rsidRDefault="00000000">
            <w:pPr>
              <w:spacing w:before="120" w:after="120"/>
              <w:jc w:val="center"/>
              <w:rPr>
                <w:sz w:val="22"/>
                <w:szCs w:val="22"/>
              </w:rPr>
            </w:pPr>
            <w:r>
              <w:rPr>
                <w:sz w:val="22"/>
                <w:szCs w:val="22"/>
              </w:rPr>
              <w:t>Q4.5</w:t>
            </w:r>
          </w:p>
        </w:tc>
        <w:tc>
          <w:tcPr>
            <w:tcW w:w="1756" w:type="dxa"/>
            <w:vAlign w:val="center"/>
          </w:tcPr>
          <w:p w14:paraId="1A5C60D1" w14:textId="77777777" w:rsidR="00BA0745" w:rsidRDefault="00000000">
            <w:pPr>
              <w:spacing w:before="120" w:after="120"/>
              <w:jc w:val="center"/>
              <w:rPr>
                <w:sz w:val="22"/>
                <w:szCs w:val="22"/>
              </w:rPr>
            </w:pPr>
            <w:r>
              <w:rPr>
                <w:sz w:val="22"/>
                <w:szCs w:val="22"/>
              </w:rPr>
              <w:t>Reliability priority</w:t>
            </w:r>
          </w:p>
        </w:tc>
        <w:tc>
          <w:tcPr>
            <w:tcW w:w="2880" w:type="dxa"/>
            <w:vAlign w:val="center"/>
          </w:tcPr>
          <w:p w14:paraId="64FB0013" w14:textId="77777777" w:rsidR="00BA0745" w:rsidRDefault="00000000">
            <w:pPr>
              <w:spacing w:before="120" w:after="120"/>
              <w:jc w:val="center"/>
              <w:rPr>
                <w:sz w:val="22"/>
                <w:szCs w:val="22"/>
              </w:rPr>
            </w:pPr>
            <w:r>
              <w:rPr>
                <w:sz w:val="22"/>
                <w:szCs w:val="22"/>
              </w:rPr>
              <w:t>Water pressure × reliability priority</w:t>
            </w:r>
          </w:p>
        </w:tc>
      </w:tr>
      <w:tr w:rsidR="00BA0745" w14:paraId="239C407B" w14:textId="77777777">
        <w:trPr>
          <w:jc w:val="center"/>
        </w:trPr>
        <w:tc>
          <w:tcPr>
            <w:tcW w:w="945" w:type="dxa"/>
            <w:vAlign w:val="center"/>
          </w:tcPr>
          <w:p w14:paraId="5EF3F6D2" w14:textId="77777777" w:rsidR="00BA0745" w:rsidRDefault="00000000">
            <w:pPr>
              <w:spacing w:before="120" w:after="120"/>
              <w:jc w:val="center"/>
              <w:rPr>
                <w:sz w:val="22"/>
                <w:szCs w:val="22"/>
              </w:rPr>
            </w:pPr>
            <w:r>
              <w:rPr>
                <w:sz w:val="22"/>
                <w:szCs w:val="22"/>
              </w:rPr>
              <w:t>Q4.3</w:t>
            </w:r>
          </w:p>
        </w:tc>
        <w:tc>
          <w:tcPr>
            <w:tcW w:w="2836" w:type="dxa"/>
            <w:vAlign w:val="center"/>
          </w:tcPr>
          <w:p w14:paraId="5050B6CC" w14:textId="77777777" w:rsidR="00BA0745" w:rsidRDefault="00000000">
            <w:pPr>
              <w:spacing w:before="120" w:after="120"/>
              <w:jc w:val="center"/>
              <w:rPr>
                <w:sz w:val="22"/>
                <w:szCs w:val="22"/>
              </w:rPr>
            </w:pPr>
            <w:r>
              <w:rPr>
                <w:sz w:val="22"/>
                <w:szCs w:val="22"/>
              </w:rPr>
              <w:t>Disruption notice</w:t>
            </w:r>
          </w:p>
        </w:tc>
        <w:tc>
          <w:tcPr>
            <w:tcW w:w="943" w:type="dxa"/>
            <w:vAlign w:val="center"/>
          </w:tcPr>
          <w:p w14:paraId="43818826" w14:textId="77777777" w:rsidR="00BA0745" w:rsidRDefault="00000000">
            <w:pPr>
              <w:spacing w:before="120" w:after="120"/>
              <w:jc w:val="center"/>
              <w:rPr>
                <w:sz w:val="22"/>
                <w:szCs w:val="22"/>
              </w:rPr>
            </w:pPr>
            <w:r>
              <w:rPr>
                <w:sz w:val="22"/>
                <w:szCs w:val="22"/>
              </w:rPr>
              <w:t>Q4.5</w:t>
            </w:r>
          </w:p>
        </w:tc>
        <w:tc>
          <w:tcPr>
            <w:tcW w:w="1756" w:type="dxa"/>
            <w:vAlign w:val="center"/>
          </w:tcPr>
          <w:p w14:paraId="5B51040D" w14:textId="77777777" w:rsidR="00BA0745" w:rsidRDefault="00000000">
            <w:pPr>
              <w:spacing w:before="120" w:after="120"/>
              <w:jc w:val="center"/>
              <w:rPr>
                <w:sz w:val="22"/>
                <w:szCs w:val="22"/>
              </w:rPr>
            </w:pPr>
            <w:r>
              <w:rPr>
                <w:sz w:val="22"/>
                <w:szCs w:val="22"/>
              </w:rPr>
              <w:t>Reliability priority</w:t>
            </w:r>
          </w:p>
        </w:tc>
        <w:tc>
          <w:tcPr>
            <w:tcW w:w="2880" w:type="dxa"/>
            <w:vAlign w:val="center"/>
          </w:tcPr>
          <w:p w14:paraId="4E15564A" w14:textId="77777777" w:rsidR="00BA0745" w:rsidRDefault="00000000">
            <w:pPr>
              <w:spacing w:before="120" w:after="120"/>
              <w:jc w:val="center"/>
              <w:rPr>
                <w:sz w:val="22"/>
                <w:szCs w:val="22"/>
              </w:rPr>
            </w:pPr>
            <w:r>
              <w:rPr>
                <w:sz w:val="22"/>
                <w:szCs w:val="22"/>
              </w:rPr>
              <w:t>Disruption notice × reliability priority</w:t>
            </w:r>
          </w:p>
        </w:tc>
      </w:tr>
      <w:tr w:rsidR="00BA0745" w14:paraId="305CCCEB" w14:textId="77777777">
        <w:trPr>
          <w:jc w:val="center"/>
        </w:trPr>
        <w:tc>
          <w:tcPr>
            <w:tcW w:w="945" w:type="dxa"/>
            <w:vAlign w:val="center"/>
          </w:tcPr>
          <w:p w14:paraId="3C62823B" w14:textId="77777777" w:rsidR="00BA0745" w:rsidRDefault="00000000">
            <w:pPr>
              <w:spacing w:before="120" w:after="120"/>
              <w:jc w:val="center"/>
              <w:rPr>
                <w:sz w:val="22"/>
                <w:szCs w:val="22"/>
              </w:rPr>
            </w:pPr>
            <w:r>
              <w:rPr>
                <w:sz w:val="22"/>
                <w:szCs w:val="22"/>
              </w:rPr>
              <w:t>Q4.4</w:t>
            </w:r>
          </w:p>
        </w:tc>
        <w:tc>
          <w:tcPr>
            <w:tcW w:w="2836" w:type="dxa"/>
            <w:vAlign w:val="center"/>
          </w:tcPr>
          <w:p w14:paraId="2A2AD937" w14:textId="77777777" w:rsidR="00BA0745" w:rsidRDefault="00000000">
            <w:pPr>
              <w:spacing w:before="120" w:after="120"/>
              <w:jc w:val="center"/>
              <w:rPr>
                <w:sz w:val="22"/>
                <w:szCs w:val="22"/>
              </w:rPr>
            </w:pPr>
            <w:r>
              <w:rPr>
                <w:sz w:val="22"/>
                <w:szCs w:val="22"/>
              </w:rPr>
              <w:t>Backup reliability</w:t>
            </w:r>
          </w:p>
        </w:tc>
        <w:tc>
          <w:tcPr>
            <w:tcW w:w="943" w:type="dxa"/>
            <w:vAlign w:val="center"/>
          </w:tcPr>
          <w:p w14:paraId="48DBED45" w14:textId="77777777" w:rsidR="00BA0745" w:rsidRDefault="00000000">
            <w:pPr>
              <w:spacing w:before="120" w:after="120"/>
              <w:jc w:val="center"/>
              <w:rPr>
                <w:sz w:val="22"/>
                <w:szCs w:val="22"/>
              </w:rPr>
            </w:pPr>
            <w:r>
              <w:rPr>
                <w:sz w:val="22"/>
                <w:szCs w:val="22"/>
              </w:rPr>
              <w:t>Q4.5</w:t>
            </w:r>
          </w:p>
        </w:tc>
        <w:tc>
          <w:tcPr>
            <w:tcW w:w="1756" w:type="dxa"/>
            <w:vAlign w:val="center"/>
          </w:tcPr>
          <w:p w14:paraId="382A4530" w14:textId="77777777" w:rsidR="00BA0745" w:rsidRDefault="00000000">
            <w:pPr>
              <w:spacing w:before="120" w:after="120"/>
              <w:jc w:val="center"/>
              <w:rPr>
                <w:sz w:val="22"/>
                <w:szCs w:val="22"/>
              </w:rPr>
            </w:pPr>
            <w:r>
              <w:rPr>
                <w:sz w:val="22"/>
                <w:szCs w:val="22"/>
              </w:rPr>
              <w:t>Reliability priority</w:t>
            </w:r>
          </w:p>
        </w:tc>
        <w:tc>
          <w:tcPr>
            <w:tcW w:w="2880" w:type="dxa"/>
            <w:vAlign w:val="center"/>
          </w:tcPr>
          <w:p w14:paraId="48AD031A" w14:textId="77777777" w:rsidR="00BA0745" w:rsidRDefault="00000000">
            <w:pPr>
              <w:spacing w:before="120" w:after="120"/>
              <w:jc w:val="center"/>
              <w:rPr>
                <w:sz w:val="22"/>
                <w:szCs w:val="22"/>
              </w:rPr>
            </w:pPr>
            <w:r>
              <w:rPr>
                <w:sz w:val="22"/>
                <w:szCs w:val="22"/>
              </w:rPr>
              <w:t>Backup reliability × reliability priority</w:t>
            </w:r>
          </w:p>
        </w:tc>
      </w:tr>
      <w:tr w:rsidR="00BA0745" w14:paraId="39CA7225" w14:textId="77777777">
        <w:trPr>
          <w:jc w:val="center"/>
        </w:trPr>
        <w:tc>
          <w:tcPr>
            <w:tcW w:w="945" w:type="dxa"/>
            <w:vAlign w:val="center"/>
          </w:tcPr>
          <w:p w14:paraId="732E305B" w14:textId="77777777" w:rsidR="00BA0745" w:rsidRDefault="00000000">
            <w:pPr>
              <w:spacing w:before="120" w:after="120"/>
              <w:jc w:val="center"/>
              <w:rPr>
                <w:sz w:val="22"/>
                <w:szCs w:val="22"/>
              </w:rPr>
            </w:pPr>
            <w:r>
              <w:rPr>
                <w:sz w:val="22"/>
                <w:szCs w:val="22"/>
              </w:rPr>
              <w:t>Q5.2</w:t>
            </w:r>
          </w:p>
        </w:tc>
        <w:tc>
          <w:tcPr>
            <w:tcW w:w="2836" w:type="dxa"/>
            <w:vAlign w:val="center"/>
          </w:tcPr>
          <w:p w14:paraId="4E01FCDB" w14:textId="77777777" w:rsidR="00BA0745" w:rsidRDefault="00000000">
            <w:pPr>
              <w:spacing w:before="120" w:after="120"/>
              <w:jc w:val="center"/>
              <w:rPr>
                <w:sz w:val="22"/>
                <w:szCs w:val="22"/>
              </w:rPr>
            </w:pPr>
            <w:r>
              <w:rPr>
                <w:sz w:val="22"/>
                <w:szCs w:val="22"/>
              </w:rPr>
              <w:t>Seasonal/service variation</w:t>
            </w:r>
          </w:p>
        </w:tc>
        <w:tc>
          <w:tcPr>
            <w:tcW w:w="943" w:type="dxa"/>
            <w:vAlign w:val="center"/>
          </w:tcPr>
          <w:p w14:paraId="3D4E49AE" w14:textId="77777777" w:rsidR="00BA0745" w:rsidRDefault="00000000">
            <w:pPr>
              <w:spacing w:before="120" w:after="120"/>
              <w:jc w:val="center"/>
              <w:rPr>
                <w:sz w:val="22"/>
                <w:szCs w:val="22"/>
              </w:rPr>
            </w:pPr>
            <w:r>
              <w:rPr>
                <w:sz w:val="22"/>
                <w:szCs w:val="22"/>
              </w:rPr>
              <w:t>Q5.4</w:t>
            </w:r>
          </w:p>
        </w:tc>
        <w:tc>
          <w:tcPr>
            <w:tcW w:w="1756" w:type="dxa"/>
            <w:vAlign w:val="center"/>
          </w:tcPr>
          <w:p w14:paraId="7F6D762B" w14:textId="77777777" w:rsidR="00BA0745" w:rsidRDefault="00000000">
            <w:pPr>
              <w:spacing w:before="120" w:after="120"/>
              <w:jc w:val="center"/>
              <w:rPr>
                <w:sz w:val="22"/>
                <w:szCs w:val="22"/>
              </w:rPr>
            </w:pPr>
            <w:r>
              <w:rPr>
                <w:sz w:val="22"/>
                <w:szCs w:val="22"/>
              </w:rPr>
              <w:t>Efficiency priority</w:t>
            </w:r>
          </w:p>
        </w:tc>
        <w:tc>
          <w:tcPr>
            <w:tcW w:w="2880" w:type="dxa"/>
            <w:vAlign w:val="center"/>
          </w:tcPr>
          <w:p w14:paraId="255B4749" w14:textId="77777777" w:rsidR="00BA0745" w:rsidRDefault="00000000">
            <w:pPr>
              <w:spacing w:before="120" w:after="120"/>
              <w:jc w:val="center"/>
              <w:rPr>
                <w:sz w:val="22"/>
                <w:szCs w:val="22"/>
              </w:rPr>
            </w:pPr>
            <w:r>
              <w:rPr>
                <w:sz w:val="22"/>
                <w:szCs w:val="22"/>
              </w:rPr>
              <w:t>Service variation × efficiency priority</w:t>
            </w:r>
          </w:p>
        </w:tc>
      </w:tr>
      <w:tr w:rsidR="00BA0745" w14:paraId="5AA995A2" w14:textId="77777777">
        <w:trPr>
          <w:jc w:val="center"/>
        </w:trPr>
        <w:tc>
          <w:tcPr>
            <w:tcW w:w="945" w:type="dxa"/>
            <w:vAlign w:val="center"/>
          </w:tcPr>
          <w:p w14:paraId="2689B8E1" w14:textId="77777777" w:rsidR="00BA0745" w:rsidRDefault="00000000">
            <w:pPr>
              <w:spacing w:before="120" w:after="120"/>
              <w:jc w:val="center"/>
              <w:rPr>
                <w:sz w:val="22"/>
                <w:szCs w:val="22"/>
              </w:rPr>
            </w:pPr>
            <w:r>
              <w:rPr>
                <w:sz w:val="22"/>
                <w:szCs w:val="22"/>
              </w:rPr>
              <w:t>Q5.3</w:t>
            </w:r>
          </w:p>
        </w:tc>
        <w:tc>
          <w:tcPr>
            <w:tcW w:w="2836" w:type="dxa"/>
            <w:vAlign w:val="center"/>
          </w:tcPr>
          <w:p w14:paraId="0C865580" w14:textId="77777777" w:rsidR="00BA0745" w:rsidRDefault="00000000">
            <w:pPr>
              <w:spacing w:before="120" w:after="120"/>
              <w:jc w:val="center"/>
              <w:rPr>
                <w:sz w:val="22"/>
                <w:szCs w:val="22"/>
              </w:rPr>
            </w:pPr>
            <w:r>
              <w:rPr>
                <w:sz w:val="22"/>
                <w:szCs w:val="22"/>
              </w:rPr>
              <w:t>Infrastructure maintenance</w:t>
            </w:r>
          </w:p>
        </w:tc>
        <w:tc>
          <w:tcPr>
            <w:tcW w:w="943" w:type="dxa"/>
            <w:vAlign w:val="center"/>
          </w:tcPr>
          <w:p w14:paraId="188AC719" w14:textId="77777777" w:rsidR="00BA0745" w:rsidRDefault="00000000">
            <w:pPr>
              <w:spacing w:before="120" w:after="120"/>
              <w:jc w:val="center"/>
              <w:rPr>
                <w:sz w:val="22"/>
                <w:szCs w:val="22"/>
              </w:rPr>
            </w:pPr>
            <w:r>
              <w:rPr>
                <w:sz w:val="22"/>
                <w:szCs w:val="22"/>
              </w:rPr>
              <w:t>Q5.4</w:t>
            </w:r>
          </w:p>
        </w:tc>
        <w:tc>
          <w:tcPr>
            <w:tcW w:w="1756" w:type="dxa"/>
            <w:vAlign w:val="center"/>
          </w:tcPr>
          <w:p w14:paraId="1F04DB62" w14:textId="77777777" w:rsidR="00BA0745" w:rsidRDefault="00000000">
            <w:pPr>
              <w:spacing w:before="120" w:after="120"/>
              <w:jc w:val="center"/>
              <w:rPr>
                <w:sz w:val="22"/>
                <w:szCs w:val="22"/>
              </w:rPr>
            </w:pPr>
            <w:r>
              <w:rPr>
                <w:sz w:val="22"/>
                <w:szCs w:val="22"/>
              </w:rPr>
              <w:t>Efficiency priority</w:t>
            </w:r>
          </w:p>
        </w:tc>
        <w:tc>
          <w:tcPr>
            <w:tcW w:w="2880" w:type="dxa"/>
            <w:vAlign w:val="center"/>
          </w:tcPr>
          <w:p w14:paraId="1860F527" w14:textId="77777777" w:rsidR="00BA0745" w:rsidRDefault="00000000">
            <w:pPr>
              <w:spacing w:before="120" w:after="120"/>
              <w:jc w:val="center"/>
              <w:rPr>
                <w:sz w:val="22"/>
                <w:szCs w:val="22"/>
              </w:rPr>
            </w:pPr>
            <w:r>
              <w:rPr>
                <w:sz w:val="22"/>
                <w:szCs w:val="22"/>
              </w:rPr>
              <w:t>Maintenance × efficiency priority</w:t>
            </w:r>
          </w:p>
        </w:tc>
      </w:tr>
      <w:tr w:rsidR="00BA0745" w14:paraId="081AE6E6" w14:textId="77777777">
        <w:trPr>
          <w:jc w:val="center"/>
        </w:trPr>
        <w:tc>
          <w:tcPr>
            <w:tcW w:w="945" w:type="dxa"/>
            <w:vAlign w:val="center"/>
          </w:tcPr>
          <w:p w14:paraId="36DE5818" w14:textId="77777777" w:rsidR="00BA0745" w:rsidRDefault="00000000">
            <w:pPr>
              <w:spacing w:before="120" w:after="120"/>
              <w:jc w:val="center"/>
              <w:rPr>
                <w:sz w:val="22"/>
                <w:szCs w:val="22"/>
              </w:rPr>
            </w:pPr>
            <w:r>
              <w:rPr>
                <w:sz w:val="22"/>
                <w:szCs w:val="22"/>
              </w:rPr>
              <w:t>Q6.2</w:t>
            </w:r>
          </w:p>
        </w:tc>
        <w:tc>
          <w:tcPr>
            <w:tcW w:w="2836" w:type="dxa"/>
            <w:vAlign w:val="center"/>
          </w:tcPr>
          <w:p w14:paraId="0AE66E4F" w14:textId="77777777" w:rsidR="00BA0745" w:rsidRDefault="00000000">
            <w:pPr>
              <w:spacing w:before="120" w:after="120"/>
              <w:jc w:val="center"/>
              <w:rPr>
                <w:sz w:val="22"/>
                <w:szCs w:val="22"/>
              </w:rPr>
            </w:pPr>
            <w:r>
              <w:rPr>
                <w:sz w:val="22"/>
                <w:szCs w:val="22"/>
              </w:rPr>
              <w:t>Appearance acceptability</w:t>
            </w:r>
          </w:p>
        </w:tc>
        <w:tc>
          <w:tcPr>
            <w:tcW w:w="943" w:type="dxa"/>
            <w:vAlign w:val="center"/>
          </w:tcPr>
          <w:p w14:paraId="45227B28" w14:textId="77777777" w:rsidR="00BA0745" w:rsidRDefault="00000000">
            <w:pPr>
              <w:spacing w:before="120" w:after="120"/>
              <w:jc w:val="center"/>
              <w:rPr>
                <w:sz w:val="22"/>
                <w:szCs w:val="22"/>
              </w:rPr>
            </w:pPr>
            <w:r>
              <w:rPr>
                <w:sz w:val="22"/>
                <w:szCs w:val="22"/>
              </w:rPr>
              <w:t>Q6.6</w:t>
            </w:r>
          </w:p>
        </w:tc>
        <w:tc>
          <w:tcPr>
            <w:tcW w:w="1756" w:type="dxa"/>
            <w:vAlign w:val="center"/>
          </w:tcPr>
          <w:p w14:paraId="56DB78AF" w14:textId="77777777" w:rsidR="00BA0745" w:rsidRDefault="00000000">
            <w:pPr>
              <w:spacing w:before="120" w:after="120"/>
              <w:jc w:val="center"/>
              <w:rPr>
                <w:sz w:val="22"/>
                <w:szCs w:val="22"/>
              </w:rPr>
            </w:pPr>
            <w:r>
              <w:rPr>
                <w:sz w:val="22"/>
                <w:szCs w:val="22"/>
              </w:rPr>
              <w:t>Acceptability priority</w:t>
            </w:r>
          </w:p>
        </w:tc>
        <w:tc>
          <w:tcPr>
            <w:tcW w:w="2880" w:type="dxa"/>
            <w:vAlign w:val="center"/>
          </w:tcPr>
          <w:p w14:paraId="3CB1B288" w14:textId="77777777" w:rsidR="00BA0745" w:rsidRDefault="00000000">
            <w:pPr>
              <w:spacing w:before="120" w:after="120"/>
              <w:jc w:val="center"/>
              <w:rPr>
                <w:sz w:val="22"/>
                <w:szCs w:val="22"/>
              </w:rPr>
            </w:pPr>
            <w:r>
              <w:rPr>
                <w:sz w:val="22"/>
                <w:szCs w:val="22"/>
              </w:rPr>
              <w:t>Appearance × acceptability priority</w:t>
            </w:r>
          </w:p>
        </w:tc>
      </w:tr>
      <w:tr w:rsidR="00BA0745" w14:paraId="323A1ECC" w14:textId="77777777">
        <w:trPr>
          <w:jc w:val="center"/>
        </w:trPr>
        <w:tc>
          <w:tcPr>
            <w:tcW w:w="945" w:type="dxa"/>
            <w:vAlign w:val="center"/>
          </w:tcPr>
          <w:p w14:paraId="0B18B0B8" w14:textId="77777777" w:rsidR="00BA0745" w:rsidRDefault="00000000">
            <w:pPr>
              <w:spacing w:before="120" w:after="120"/>
              <w:jc w:val="center"/>
              <w:rPr>
                <w:sz w:val="22"/>
                <w:szCs w:val="22"/>
              </w:rPr>
            </w:pPr>
            <w:r>
              <w:rPr>
                <w:sz w:val="22"/>
                <w:szCs w:val="22"/>
              </w:rPr>
              <w:t>Q6.3</w:t>
            </w:r>
          </w:p>
        </w:tc>
        <w:tc>
          <w:tcPr>
            <w:tcW w:w="2836" w:type="dxa"/>
            <w:vAlign w:val="center"/>
          </w:tcPr>
          <w:p w14:paraId="4D4027EF" w14:textId="77777777" w:rsidR="00BA0745" w:rsidRDefault="00000000">
            <w:pPr>
              <w:spacing w:before="120" w:after="120"/>
              <w:jc w:val="center"/>
              <w:rPr>
                <w:sz w:val="22"/>
                <w:szCs w:val="22"/>
              </w:rPr>
            </w:pPr>
            <w:r>
              <w:rPr>
                <w:sz w:val="22"/>
                <w:szCs w:val="22"/>
              </w:rPr>
              <w:t>Taste acceptability</w:t>
            </w:r>
          </w:p>
        </w:tc>
        <w:tc>
          <w:tcPr>
            <w:tcW w:w="943" w:type="dxa"/>
            <w:vAlign w:val="center"/>
          </w:tcPr>
          <w:p w14:paraId="3148D24B" w14:textId="77777777" w:rsidR="00BA0745" w:rsidRDefault="00000000">
            <w:pPr>
              <w:spacing w:before="120" w:after="120"/>
              <w:jc w:val="center"/>
              <w:rPr>
                <w:sz w:val="22"/>
                <w:szCs w:val="22"/>
              </w:rPr>
            </w:pPr>
            <w:r>
              <w:rPr>
                <w:sz w:val="22"/>
                <w:szCs w:val="22"/>
              </w:rPr>
              <w:t>Q6.6</w:t>
            </w:r>
          </w:p>
        </w:tc>
        <w:tc>
          <w:tcPr>
            <w:tcW w:w="1756" w:type="dxa"/>
            <w:vAlign w:val="center"/>
          </w:tcPr>
          <w:p w14:paraId="51B85240" w14:textId="77777777" w:rsidR="00BA0745" w:rsidRDefault="00000000">
            <w:pPr>
              <w:spacing w:before="120" w:after="120"/>
              <w:jc w:val="center"/>
              <w:rPr>
                <w:sz w:val="22"/>
                <w:szCs w:val="22"/>
              </w:rPr>
            </w:pPr>
            <w:r>
              <w:rPr>
                <w:sz w:val="22"/>
                <w:szCs w:val="22"/>
              </w:rPr>
              <w:t>Acceptability priority</w:t>
            </w:r>
          </w:p>
        </w:tc>
        <w:tc>
          <w:tcPr>
            <w:tcW w:w="2880" w:type="dxa"/>
            <w:vAlign w:val="center"/>
          </w:tcPr>
          <w:p w14:paraId="27383446" w14:textId="77777777" w:rsidR="00BA0745" w:rsidRDefault="00000000">
            <w:pPr>
              <w:spacing w:before="120" w:after="120"/>
              <w:jc w:val="center"/>
              <w:rPr>
                <w:sz w:val="22"/>
                <w:szCs w:val="22"/>
              </w:rPr>
            </w:pPr>
            <w:r>
              <w:rPr>
                <w:sz w:val="22"/>
                <w:szCs w:val="22"/>
              </w:rPr>
              <w:t>Taste × acceptability priority</w:t>
            </w:r>
          </w:p>
        </w:tc>
      </w:tr>
      <w:tr w:rsidR="00BA0745" w14:paraId="7B0305E0" w14:textId="77777777">
        <w:trPr>
          <w:jc w:val="center"/>
        </w:trPr>
        <w:tc>
          <w:tcPr>
            <w:tcW w:w="945" w:type="dxa"/>
            <w:vAlign w:val="center"/>
          </w:tcPr>
          <w:p w14:paraId="7ABC48E1" w14:textId="77777777" w:rsidR="00BA0745" w:rsidRDefault="00000000">
            <w:pPr>
              <w:spacing w:before="120" w:after="120"/>
              <w:jc w:val="center"/>
              <w:rPr>
                <w:sz w:val="22"/>
                <w:szCs w:val="22"/>
              </w:rPr>
            </w:pPr>
            <w:r>
              <w:rPr>
                <w:sz w:val="22"/>
                <w:szCs w:val="22"/>
              </w:rPr>
              <w:t>Q6.4</w:t>
            </w:r>
          </w:p>
        </w:tc>
        <w:tc>
          <w:tcPr>
            <w:tcW w:w="2836" w:type="dxa"/>
            <w:vAlign w:val="center"/>
          </w:tcPr>
          <w:p w14:paraId="2444D89A" w14:textId="77777777" w:rsidR="00BA0745" w:rsidRDefault="00000000">
            <w:pPr>
              <w:spacing w:before="120" w:after="120"/>
              <w:jc w:val="center"/>
              <w:rPr>
                <w:sz w:val="22"/>
                <w:szCs w:val="22"/>
              </w:rPr>
            </w:pPr>
            <w:r>
              <w:rPr>
                <w:sz w:val="22"/>
                <w:szCs w:val="22"/>
              </w:rPr>
              <w:t>Odor acceptability</w:t>
            </w:r>
          </w:p>
        </w:tc>
        <w:tc>
          <w:tcPr>
            <w:tcW w:w="943" w:type="dxa"/>
            <w:vAlign w:val="center"/>
          </w:tcPr>
          <w:p w14:paraId="00363EFA" w14:textId="77777777" w:rsidR="00BA0745" w:rsidRDefault="00000000">
            <w:pPr>
              <w:spacing w:before="120" w:after="120"/>
              <w:jc w:val="center"/>
              <w:rPr>
                <w:sz w:val="22"/>
                <w:szCs w:val="22"/>
              </w:rPr>
            </w:pPr>
            <w:r>
              <w:rPr>
                <w:sz w:val="22"/>
                <w:szCs w:val="22"/>
              </w:rPr>
              <w:t>Q6.6</w:t>
            </w:r>
          </w:p>
        </w:tc>
        <w:tc>
          <w:tcPr>
            <w:tcW w:w="1756" w:type="dxa"/>
            <w:vAlign w:val="center"/>
          </w:tcPr>
          <w:p w14:paraId="3C1AA4AF" w14:textId="77777777" w:rsidR="00BA0745" w:rsidRDefault="00000000">
            <w:pPr>
              <w:spacing w:before="120" w:after="120"/>
              <w:jc w:val="center"/>
              <w:rPr>
                <w:sz w:val="22"/>
                <w:szCs w:val="22"/>
              </w:rPr>
            </w:pPr>
            <w:r>
              <w:rPr>
                <w:sz w:val="22"/>
                <w:szCs w:val="22"/>
              </w:rPr>
              <w:t>Acceptability priority</w:t>
            </w:r>
          </w:p>
        </w:tc>
        <w:tc>
          <w:tcPr>
            <w:tcW w:w="2880" w:type="dxa"/>
            <w:vAlign w:val="center"/>
          </w:tcPr>
          <w:p w14:paraId="652C9954" w14:textId="77777777" w:rsidR="00BA0745" w:rsidRDefault="00000000">
            <w:pPr>
              <w:spacing w:before="120" w:after="120"/>
              <w:jc w:val="center"/>
              <w:rPr>
                <w:sz w:val="22"/>
                <w:szCs w:val="22"/>
              </w:rPr>
            </w:pPr>
            <w:r>
              <w:rPr>
                <w:sz w:val="22"/>
                <w:szCs w:val="22"/>
              </w:rPr>
              <w:t>Odor × acceptability priority</w:t>
            </w:r>
          </w:p>
        </w:tc>
      </w:tr>
      <w:tr w:rsidR="00BA0745" w14:paraId="53F19695" w14:textId="77777777">
        <w:trPr>
          <w:jc w:val="center"/>
        </w:trPr>
        <w:tc>
          <w:tcPr>
            <w:tcW w:w="945" w:type="dxa"/>
            <w:vAlign w:val="center"/>
          </w:tcPr>
          <w:p w14:paraId="3E0564D3" w14:textId="77777777" w:rsidR="00BA0745" w:rsidRDefault="00000000">
            <w:pPr>
              <w:spacing w:before="120" w:after="120"/>
              <w:jc w:val="center"/>
              <w:rPr>
                <w:sz w:val="22"/>
                <w:szCs w:val="22"/>
              </w:rPr>
            </w:pPr>
            <w:r>
              <w:rPr>
                <w:sz w:val="22"/>
                <w:szCs w:val="22"/>
              </w:rPr>
              <w:lastRenderedPageBreak/>
              <w:t>Q7.3</w:t>
            </w:r>
          </w:p>
        </w:tc>
        <w:tc>
          <w:tcPr>
            <w:tcW w:w="2836" w:type="dxa"/>
            <w:vAlign w:val="center"/>
          </w:tcPr>
          <w:p w14:paraId="6FF9D5A1" w14:textId="77777777" w:rsidR="00BA0745" w:rsidRDefault="00000000">
            <w:pPr>
              <w:spacing w:before="120" w:after="120"/>
              <w:jc w:val="center"/>
              <w:rPr>
                <w:sz w:val="22"/>
                <w:szCs w:val="22"/>
              </w:rPr>
            </w:pPr>
            <w:r>
              <w:rPr>
                <w:sz w:val="22"/>
                <w:szCs w:val="22"/>
              </w:rPr>
              <w:t>Water clarity</w:t>
            </w:r>
          </w:p>
        </w:tc>
        <w:tc>
          <w:tcPr>
            <w:tcW w:w="943" w:type="dxa"/>
            <w:vAlign w:val="center"/>
          </w:tcPr>
          <w:p w14:paraId="5E857FAA" w14:textId="77777777" w:rsidR="00BA0745" w:rsidRDefault="00000000">
            <w:pPr>
              <w:spacing w:before="120" w:after="120"/>
              <w:jc w:val="center"/>
              <w:rPr>
                <w:sz w:val="22"/>
                <w:szCs w:val="22"/>
              </w:rPr>
            </w:pPr>
            <w:r>
              <w:rPr>
                <w:sz w:val="22"/>
                <w:szCs w:val="22"/>
              </w:rPr>
              <w:t>Q7.5</w:t>
            </w:r>
          </w:p>
        </w:tc>
        <w:tc>
          <w:tcPr>
            <w:tcW w:w="1756" w:type="dxa"/>
            <w:vAlign w:val="center"/>
          </w:tcPr>
          <w:p w14:paraId="427F9877" w14:textId="77777777" w:rsidR="00BA0745" w:rsidRDefault="00000000">
            <w:pPr>
              <w:spacing w:before="120" w:after="120"/>
              <w:jc w:val="center"/>
              <w:rPr>
                <w:sz w:val="22"/>
                <w:szCs w:val="22"/>
              </w:rPr>
            </w:pPr>
            <w:r>
              <w:rPr>
                <w:sz w:val="22"/>
                <w:szCs w:val="22"/>
              </w:rPr>
              <w:t>Quality priority</w:t>
            </w:r>
          </w:p>
        </w:tc>
        <w:tc>
          <w:tcPr>
            <w:tcW w:w="2880" w:type="dxa"/>
            <w:vAlign w:val="center"/>
          </w:tcPr>
          <w:p w14:paraId="3408E2CD" w14:textId="77777777" w:rsidR="00BA0745" w:rsidRDefault="00000000">
            <w:pPr>
              <w:spacing w:before="120" w:after="120"/>
              <w:jc w:val="center"/>
              <w:rPr>
                <w:sz w:val="22"/>
                <w:szCs w:val="22"/>
              </w:rPr>
            </w:pPr>
            <w:r>
              <w:rPr>
                <w:sz w:val="22"/>
                <w:szCs w:val="22"/>
              </w:rPr>
              <w:t>Clarity × quality priority</w:t>
            </w:r>
          </w:p>
        </w:tc>
      </w:tr>
      <w:tr w:rsidR="00BA0745" w14:paraId="15C87F79" w14:textId="77777777">
        <w:trPr>
          <w:jc w:val="center"/>
        </w:trPr>
        <w:tc>
          <w:tcPr>
            <w:tcW w:w="945" w:type="dxa"/>
            <w:vAlign w:val="center"/>
          </w:tcPr>
          <w:p w14:paraId="762AB03C" w14:textId="77777777" w:rsidR="00BA0745" w:rsidRDefault="00000000">
            <w:pPr>
              <w:spacing w:before="120" w:after="120"/>
              <w:jc w:val="center"/>
              <w:rPr>
                <w:sz w:val="22"/>
                <w:szCs w:val="22"/>
              </w:rPr>
            </w:pPr>
            <w:r>
              <w:rPr>
                <w:sz w:val="22"/>
                <w:szCs w:val="22"/>
              </w:rPr>
              <w:t>Q7.4</w:t>
            </w:r>
          </w:p>
        </w:tc>
        <w:tc>
          <w:tcPr>
            <w:tcW w:w="2836" w:type="dxa"/>
            <w:vAlign w:val="center"/>
          </w:tcPr>
          <w:p w14:paraId="5EB7F364" w14:textId="77777777" w:rsidR="00BA0745" w:rsidRDefault="00000000">
            <w:pPr>
              <w:spacing w:before="120" w:after="120"/>
              <w:jc w:val="center"/>
              <w:rPr>
                <w:sz w:val="22"/>
                <w:szCs w:val="22"/>
              </w:rPr>
            </w:pPr>
            <w:r>
              <w:rPr>
                <w:sz w:val="22"/>
                <w:szCs w:val="22"/>
              </w:rPr>
              <w:t>Quality change</w:t>
            </w:r>
          </w:p>
        </w:tc>
        <w:tc>
          <w:tcPr>
            <w:tcW w:w="943" w:type="dxa"/>
            <w:vAlign w:val="center"/>
          </w:tcPr>
          <w:p w14:paraId="52013E6F" w14:textId="77777777" w:rsidR="00BA0745" w:rsidRDefault="00000000">
            <w:pPr>
              <w:spacing w:before="120" w:after="120"/>
              <w:jc w:val="center"/>
              <w:rPr>
                <w:sz w:val="22"/>
                <w:szCs w:val="22"/>
              </w:rPr>
            </w:pPr>
            <w:r>
              <w:rPr>
                <w:sz w:val="22"/>
                <w:szCs w:val="22"/>
              </w:rPr>
              <w:t>Q7.5</w:t>
            </w:r>
          </w:p>
        </w:tc>
        <w:tc>
          <w:tcPr>
            <w:tcW w:w="1756" w:type="dxa"/>
            <w:vAlign w:val="center"/>
          </w:tcPr>
          <w:p w14:paraId="14C512E0" w14:textId="77777777" w:rsidR="00BA0745" w:rsidRDefault="00000000">
            <w:pPr>
              <w:spacing w:before="120" w:after="120"/>
              <w:jc w:val="center"/>
              <w:rPr>
                <w:sz w:val="22"/>
                <w:szCs w:val="22"/>
              </w:rPr>
            </w:pPr>
            <w:r>
              <w:rPr>
                <w:sz w:val="22"/>
                <w:szCs w:val="22"/>
              </w:rPr>
              <w:t>Quality priority</w:t>
            </w:r>
          </w:p>
        </w:tc>
        <w:tc>
          <w:tcPr>
            <w:tcW w:w="2880" w:type="dxa"/>
            <w:vAlign w:val="center"/>
          </w:tcPr>
          <w:p w14:paraId="6771DA17" w14:textId="77777777" w:rsidR="00BA0745" w:rsidRDefault="00000000">
            <w:pPr>
              <w:spacing w:before="120" w:after="120"/>
              <w:jc w:val="center"/>
              <w:rPr>
                <w:sz w:val="22"/>
                <w:szCs w:val="22"/>
              </w:rPr>
            </w:pPr>
            <w:r>
              <w:rPr>
                <w:sz w:val="22"/>
                <w:szCs w:val="22"/>
              </w:rPr>
              <w:t>Quality change × quality priority</w:t>
            </w:r>
          </w:p>
        </w:tc>
      </w:tr>
      <w:tr w:rsidR="00BA0745" w14:paraId="474ABDC1" w14:textId="77777777">
        <w:trPr>
          <w:jc w:val="center"/>
        </w:trPr>
        <w:tc>
          <w:tcPr>
            <w:tcW w:w="945" w:type="dxa"/>
            <w:vAlign w:val="center"/>
          </w:tcPr>
          <w:p w14:paraId="47CEF3A3" w14:textId="77777777" w:rsidR="00BA0745" w:rsidRDefault="00000000">
            <w:pPr>
              <w:spacing w:before="120" w:after="120"/>
              <w:jc w:val="center"/>
              <w:rPr>
                <w:sz w:val="22"/>
                <w:szCs w:val="22"/>
              </w:rPr>
            </w:pPr>
            <w:r>
              <w:rPr>
                <w:sz w:val="22"/>
                <w:szCs w:val="22"/>
              </w:rPr>
              <w:t>Q8.3</w:t>
            </w:r>
          </w:p>
        </w:tc>
        <w:tc>
          <w:tcPr>
            <w:tcW w:w="2836" w:type="dxa"/>
            <w:vAlign w:val="center"/>
          </w:tcPr>
          <w:p w14:paraId="69659445" w14:textId="77777777" w:rsidR="00BA0745" w:rsidRDefault="00000000">
            <w:pPr>
              <w:spacing w:before="120" w:after="120"/>
              <w:jc w:val="center"/>
              <w:rPr>
                <w:sz w:val="22"/>
                <w:szCs w:val="22"/>
              </w:rPr>
            </w:pPr>
            <w:r>
              <w:rPr>
                <w:sz w:val="22"/>
                <w:szCs w:val="22"/>
              </w:rPr>
              <w:t>Shortage experience</w:t>
            </w:r>
          </w:p>
        </w:tc>
        <w:tc>
          <w:tcPr>
            <w:tcW w:w="943" w:type="dxa"/>
            <w:vAlign w:val="center"/>
          </w:tcPr>
          <w:p w14:paraId="78F61605" w14:textId="77777777" w:rsidR="00BA0745" w:rsidRDefault="00000000">
            <w:pPr>
              <w:spacing w:before="120" w:after="120"/>
              <w:jc w:val="center"/>
              <w:rPr>
                <w:sz w:val="22"/>
                <w:szCs w:val="22"/>
              </w:rPr>
            </w:pPr>
            <w:r>
              <w:rPr>
                <w:sz w:val="22"/>
                <w:szCs w:val="22"/>
              </w:rPr>
              <w:t>Q8.6</w:t>
            </w:r>
          </w:p>
        </w:tc>
        <w:tc>
          <w:tcPr>
            <w:tcW w:w="1756" w:type="dxa"/>
            <w:vAlign w:val="center"/>
          </w:tcPr>
          <w:p w14:paraId="13B7C0CB" w14:textId="77777777" w:rsidR="00BA0745" w:rsidRDefault="00000000">
            <w:pPr>
              <w:spacing w:before="120" w:after="120"/>
              <w:jc w:val="center"/>
              <w:rPr>
                <w:sz w:val="22"/>
                <w:szCs w:val="22"/>
              </w:rPr>
            </w:pPr>
            <w:r>
              <w:rPr>
                <w:sz w:val="22"/>
                <w:szCs w:val="22"/>
              </w:rPr>
              <w:t>Quantity priority</w:t>
            </w:r>
          </w:p>
        </w:tc>
        <w:tc>
          <w:tcPr>
            <w:tcW w:w="2880" w:type="dxa"/>
            <w:vAlign w:val="center"/>
          </w:tcPr>
          <w:p w14:paraId="0B6BF2B5" w14:textId="77777777" w:rsidR="00BA0745" w:rsidRDefault="00000000">
            <w:pPr>
              <w:spacing w:before="120" w:after="120"/>
              <w:jc w:val="center"/>
              <w:rPr>
                <w:sz w:val="22"/>
                <w:szCs w:val="22"/>
              </w:rPr>
            </w:pPr>
            <w:r>
              <w:rPr>
                <w:sz w:val="22"/>
                <w:szCs w:val="22"/>
              </w:rPr>
              <w:t>Shortage × quantity priority</w:t>
            </w:r>
          </w:p>
        </w:tc>
      </w:tr>
      <w:tr w:rsidR="00BA0745" w14:paraId="0D17B418" w14:textId="77777777">
        <w:trPr>
          <w:jc w:val="center"/>
        </w:trPr>
        <w:tc>
          <w:tcPr>
            <w:tcW w:w="945" w:type="dxa"/>
            <w:vAlign w:val="center"/>
          </w:tcPr>
          <w:p w14:paraId="195E7134" w14:textId="77777777" w:rsidR="00BA0745" w:rsidRDefault="00000000">
            <w:pPr>
              <w:spacing w:before="120" w:after="120"/>
              <w:jc w:val="center"/>
              <w:rPr>
                <w:sz w:val="22"/>
                <w:szCs w:val="22"/>
              </w:rPr>
            </w:pPr>
            <w:r>
              <w:rPr>
                <w:sz w:val="22"/>
                <w:szCs w:val="22"/>
              </w:rPr>
              <w:t>Q8.4</w:t>
            </w:r>
          </w:p>
        </w:tc>
        <w:tc>
          <w:tcPr>
            <w:tcW w:w="2836" w:type="dxa"/>
            <w:vAlign w:val="center"/>
          </w:tcPr>
          <w:p w14:paraId="5729946E" w14:textId="77777777" w:rsidR="00BA0745" w:rsidRDefault="00000000">
            <w:pPr>
              <w:spacing w:before="120" w:after="120"/>
              <w:jc w:val="center"/>
              <w:rPr>
                <w:sz w:val="22"/>
                <w:szCs w:val="22"/>
              </w:rPr>
            </w:pPr>
            <w:r>
              <w:rPr>
                <w:sz w:val="22"/>
                <w:szCs w:val="22"/>
              </w:rPr>
              <w:t>Seasonal quantity</w:t>
            </w:r>
          </w:p>
        </w:tc>
        <w:tc>
          <w:tcPr>
            <w:tcW w:w="943" w:type="dxa"/>
            <w:vAlign w:val="center"/>
          </w:tcPr>
          <w:p w14:paraId="7130372B" w14:textId="77777777" w:rsidR="00BA0745" w:rsidRDefault="00000000">
            <w:pPr>
              <w:spacing w:before="120" w:after="120"/>
              <w:jc w:val="center"/>
              <w:rPr>
                <w:sz w:val="22"/>
                <w:szCs w:val="22"/>
              </w:rPr>
            </w:pPr>
            <w:r>
              <w:rPr>
                <w:sz w:val="22"/>
                <w:szCs w:val="22"/>
              </w:rPr>
              <w:t>Q8.6</w:t>
            </w:r>
          </w:p>
        </w:tc>
        <w:tc>
          <w:tcPr>
            <w:tcW w:w="1756" w:type="dxa"/>
            <w:vAlign w:val="center"/>
          </w:tcPr>
          <w:p w14:paraId="61C16C72" w14:textId="77777777" w:rsidR="00BA0745" w:rsidRDefault="00000000">
            <w:pPr>
              <w:spacing w:before="120" w:after="120"/>
              <w:jc w:val="center"/>
              <w:rPr>
                <w:sz w:val="22"/>
                <w:szCs w:val="22"/>
              </w:rPr>
            </w:pPr>
            <w:r>
              <w:rPr>
                <w:sz w:val="22"/>
                <w:szCs w:val="22"/>
              </w:rPr>
              <w:t>Quantity priority</w:t>
            </w:r>
          </w:p>
        </w:tc>
        <w:tc>
          <w:tcPr>
            <w:tcW w:w="2880" w:type="dxa"/>
            <w:vAlign w:val="center"/>
          </w:tcPr>
          <w:p w14:paraId="546A4CF8" w14:textId="77777777" w:rsidR="00BA0745" w:rsidRDefault="00000000">
            <w:pPr>
              <w:spacing w:before="120" w:after="120"/>
              <w:jc w:val="center"/>
              <w:rPr>
                <w:sz w:val="22"/>
                <w:szCs w:val="22"/>
              </w:rPr>
            </w:pPr>
            <w:r>
              <w:rPr>
                <w:sz w:val="22"/>
                <w:szCs w:val="22"/>
              </w:rPr>
              <w:t>Seasonal quantity × quantity priority</w:t>
            </w:r>
          </w:p>
        </w:tc>
      </w:tr>
      <w:tr w:rsidR="00BA0745" w14:paraId="73532A06" w14:textId="77777777">
        <w:trPr>
          <w:jc w:val="center"/>
        </w:trPr>
        <w:tc>
          <w:tcPr>
            <w:tcW w:w="945" w:type="dxa"/>
            <w:vAlign w:val="center"/>
          </w:tcPr>
          <w:p w14:paraId="6164A2B5" w14:textId="77777777" w:rsidR="00BA0745" w:rsidRDefault="00000000">
            <w:pPr>
              <w:spacing w:before="120" w:after="120"/>
              <w:jc w:val="center"/>
              <w:rPr>
                <w:sz w:val="22"/>
                <w:szCs w:val="22"/>
              </w:rPr>
            </w:pPr>
            <w:r>
              <w:rPr>
                <w:sz w:val="22"/>
                <w:szCs w:val="22"/>
              </w:rPr>
              <w:t>Q9.2</w:t>
            </w:r>
          </w:p>
        </w:tc>
        <w:tc>
          <w:tcPr>
            <w:tcW w:w="2836" w:type="dxa"/>
            <w:vAlign w:val="center"/>
          </w:tcPr>
          <w:p w14:paraId="6CC2D71D" w14:textId="77777777" w:rsidR="00BA0745" w:rsidRDefault="00000000">
            <w:pPr>
              <w:spacing w:before="120" w:after="120"/>
              <w:jc w:val="center"/>
              <w:rPr>
                <w:sz w:val="22"/>
                <w:szCs w:val="22"/>
              </w:rPr>
            </w:pPr>
            <w:r>
              <w:rPr>
                <w:sz w:val="22"/>
                <w:szCs w:val="22"/>
              </w:rPr>
              <w:t>Complaint resolution</w:t>
            </w:r>
          </w:p>
        </w:tc>
        <w:tc>
          <w:tcPr>
            <w:tcW w:w="943" w:type="dxa"/>
            <w:vAlign w:val="center"/>
          </w:tcPr>
          <w:p w14:paraId="09C359D1" w14:textId="77777777" w:rsidR="00BA0745" w:rsidRDefault="00000000">
            <w:pPr>
              <w:spacing w:before="120" w:after="120"/>
              <w:jc w:val="center"/>
              <w:rPr>
                <w:sz w:val="22"/>
                <w:szCs w:val="22"/>
              </w:rPr>
            </w:pPr>
            <w:r>
              <w:rPr>
                <w:sz w:val="22"/>
                <w:szCs w:val="22"/>
              </w:rPr>
              <w:t>Q9.5</w:t>
            </w:r>
          </w:p>
        </w:tc>
        <w:tc>
          <w:tcPr>
            <w:tcW w:w="1756" w:type="dxa"/>
            <w:vAlign w:val="center"/>
          </w:tcPr>
          <w:p w14:paraId="26595828" w14:textId="77777777" w:rsidR="00BA0745" w:rsidRDefault="00000000">
            <w:pPr>
              <w:spacing w:before="120" w:after="120"/>
              <w:jc w:val="center"/>
              <w:rPr>
                <w:sz w:val="22"/>
                <w:szCs w:val="22"/>
              </w:rPr>
            </w:pPr>
            <w:r>
              <w:rPr>
                <w:sz w:val="22"/>
                <w:szCs w:val="22"/>
              </w:rPr>
              <w:t>Customer-service priority</w:t>
            </w:r>
          </w:p>
        </w:tc>
        <w:tc>
          <w:tcPr>
            <w:tcW w:w="2880" w:type="dxa"/>
            <w:vAlign w:val="center"/>
          </w:tcPr>
          <w:p w14:paraId="4C97B6F8" w14:textId="77777777" w:rsidR="00BA0745" w:rsidRDefault="00000000">
            <w:pPr>
              <w:spacing w:before="120" w:after="120"/>
              <w:jc w:val="center"/>
              <w:rPr>
                <w:sz w:val="22"/>
                <w:szCs w:val="22"/>
              </w:rPr>
            </w:pPr>
            <w:r>
              <w:rPr>
                <w:sz w:val="22"/>
                <w:szCs w:val="22"/>
              </w:rPr>
              <w:t>Complaint resolution × customer-service priority</w:t>
            </w:r>
          </w:p>
        </w:tc>
      </w:tr>
      <w:tr w:rsidR="00BA0745" w14:paraId="7C6F9943" w14:textId="77777777">
        <w:trPr>
          <w:jc w:val="center"/>
        </w:trPr>
        <w:tc>
          <w:tcPr>
            <w:tcW w:w="945" w:type="dxa"/>
            <w:vAlign w:val="center"/>
          </w:tcPr>
          <w:p w14:paraId="58801187" w14:textId="77777777" w:rsidR="00BA0745" w:rsidRDefault="00000000">
            <w:pPr>
              <w:spacing w:before="120" w:after="120"/>
              <w:jc w:val="center"/>
              <w:rPr>
                <w:sz w:val="22"/>
                <w:szCs w:val="22"/>
              </w:rPr>
            </w:pPr>
            <w:r>
              <w:rPr>
                <w:sz w:val="22"/>
                <w:szCs w:val="22"/>
              </w:rPr>
              <w:t>Q9.3</w:t>
            </w:r>
          </w:p>
        </w:tc>
        <w:tc>
          <w:tcPr>
            <w:tcW w:w="2836" w:type="dxa"/>
            <w:vAlign w:val="center"/>
          </w:tcPr>
          <w:p w14:paraId="442D50B8" w14:textId="77777777" w:rsidR="00BA0745" w:rsidRDefault="00000000">
            <w:pPr>
              <w:spacing w:before="120" w:after="120"/>
              <w:jc w:val="center"/>
              <w:rPr>
                <w:sz w:val="22"/>
                <w:szCs w:val="22"/>
              </w:rPr>
            </w:pPr>
            <w:r>
              <w:rPr>
                <w:sz w:val="22"/>
                <w:szCs w:val="22"/>
              </w:rPr>
              <w:t>Provider contact</w:t>
            </w:r>
          </w:p>
        </w:tc>
        <w:tc>
          <w:tcPr>
            <w:tcW w:w="943" w:type="dxa"/>
            <w:vAlign w:val="center"/>
          </w:tcPr>
          <w:p w14:paraId="197E732B" w14:textId="77777777" w:rsidR="00BA0745" w:rsidRDefault="00000000">
            <w:pPr>
              <w:spacing w:before="120" w:after="120"/>
              <w:jc w:val="center"/>
              <w:rPr>
                <w:sz w:val="22"/>
                <w:szCs w:val="22"/>
              </w:rPr>
            </w:pPr>
            <w:r>
              <w:rPr>
                <w:sz w:val="22"/>
                <w:szCs w:val="22"/>
              </w:rPr>
              <w:t>Q9.5</w:t>
            </w:r>
          </w:p>
        </w:tc>
        <w:tc>
          <w:tcPr>
            <w:tcW w:w="1756" w:type="dxa"/>
            <w:vAlign w:val="center"/>
          </w:tcPr>
          <w:p w14:paraId="231507AC" w14:textId="77777777" w:rsidR="00BA0745" w:rsidRDefault="00000000">
            <w:pPr>
              <w:spacing w:before="120" w:after="120"/>
              <w:jc w:val="center"/>
              <w:rPr>
                <w:sz w:val="22"/>
                <w:szCs w:val="22"/>
              </w:rPr>
            </w:pPr>
            <w:r>
              <w:rPr>
                <w:sz w:val="22"/>
                <w:szCs w:val="22"/>
              </w:rPr>
              <w:t>Customer-service priority</w:t>
            </w:r>
          </w:p>
        </w:tc>
        <w:tc>
          <w:tcPr>
            <w:tcW w:w="2880" w:type="dxa"/>
            <w:vAlign w:val="center"/>
          </w:tcPr>
          <w:p w14:paraId="78D41D29" w14:textId="77777777" w:rsidR="00BA0745" w:rsidRDefault="00000000">
            <w:pPr>
              <w:spacing w:before="120" w:after="120"/>
              <w:jc w:val="center"/>
              <w:rPr>
                <w:sz w:val="22"/>
                <w:szCs w:val="22"/>
              </w:rPr>
            </w:pPr>
            <w:r>
              <w:rPr>
                <w:sz w:val="22"/>
                <w:szCs w:val="22"/>
              </w:rPr>
              <w:t>Provider contact × customer-service priority</w:t>
            </w:r>
          </w:p>
        </w:tc>
      </w:tr>
      <w:tr w:rsidR="00BA0745" w14:paraId="15AAC807" w14:textId="77777777">
        <w:trPr>
          <w:jc w:val="center"/>
        </w:trPr>
        <w:tc>
          <w:tcPr>
            <w:tcW w:w="945" w:type="dxa"/>
            <w:tcBorders>
              <w:bottom w:val="single" w:sz="4" w:space="0" w:color="000000"/>
            </w:tcBorders>
            <w:vAlign w:val="center"/>
          </w:tcPr>
          <w:p w14:paraId="6057AAC8" w14:textId="77777777" w:rsidR="00BA0745" w:rsidRDefault="00000000">
            <w:pPr>
              <w:spacing w:before="120" w:after="120"/>
              <w:jc w:val="center"/>
              <w:rPr>
                <w:sz w:val="22"/>
                <w:szCs w:val="22"/>
              </w:rPr>
            </w:pPr>
            <w:r>
              <w:rPr>
                <w:sz w:val="22"/>
                <w:szCs w:val="22"/>
              </w:rPr>
              <w:t>Q9.4</w:t>
            </w:r>
          </w:p>
        </w:tc>
        <w:tc>
          <w:tcPr>
            <w:tcW w:w="2836" w:type="dxa"/>
            <w:tcBorders>
              <w:bottom w:val="single" w:sz="4" w:space="0" w:color="000000"/>
            </w:tcBorders>
            <w:vAlign w:val="center"/>
          </w:tcPr>
          <w:p w14:paraId="1E3F95D9" w14:textId="77777777" w:rsidR="00BA0745" w:rsidRDefault="00000000">
            <w:pPr>
              <w:spacing w:before="120" w:after="120"/>
              <w:jc w:val="center"/>
              <w:rPr>
                <w:sz w:val="22"/>
                <w:szCs w:val="22"/>
              </w:rPr>
            </w:pPr>
            <w:r>
              <w:rPr>
                <w:sz w:val="22"/>
                <w:szCs w:val="22"/>
              </w:rPr>
              <w:t>Infrastructure awareness</w:t>
            </w:r>
          </w:p>
        </w:tc>
        <w:tc>
          <w:tcPr>
            <w:tcW w:w="943" w:type="dxa"/>
            <w:tcBorders>
              <w:bottom w:val="single" w:sz="4" w:space="0" w:color="000000"/>
            </w:tcBorders>
            <w:vAlign w:val="center"/>
          </w:tcPr>
          <w:p w14:paraId="08645B7C" w14:textId="77777777" w:rsidR="00BA0745" w:rsidRDefault="00000000">
            <w:pPr>
              <w:spacing w:before="120" w:after="120"/>
              <w:jc w:val="center"/>
              <w:rPr>
                <w:sz w:val="22"/>
                <w:szCs w:val="22"/>
              </w:rPr>
            </w:pPr>
            <w:r>
              <w:rPr>
                <w:sz w:val="22"/>
                <w:szCs w:val="22"/>
              </w:rPr>
              <w:t>Q9.5</w:t>
            </w:r>
          </w:p>
        </w:tc>
        <w:tc>
          <w:tcPr>
            <w:tcW w:w="1756" w:type="dxa"/>
            <w:tcBorders>
              <w:bottom w:val="single" w:sz="4" w:space="0" w:color="000000"/>
            </w:tcBorders>
            <w:vAlign w:val="center"/>
          </w:tcPr>
          <w:p w14:paraId="0D1659A0" w14:textId="77777777" w:rsidR="00BA0745" w:rsidRDefault="00000000">
            <w:pPr>
              <w:spacing w:before="120" w:after="120"/>
              <w:jc w:val="center"/>
              <w:rPr>
                <w:sz w:val="22"/>
                <w:szCs w:val="22"/>
              </w:rPr>
            </w:pPr>
            <w:r>
              <w:rPr>
                <w:sz w:val="22"/>
                <w:szCs w:val="22"/>
              </w:rPr>
              <w:t>Customer-service priority</w:t>
            </w:r>
          </w:p>
        </w:tc>
        <w:tc>
          <w:tcPr>
            <w:tcW w:w="2880" w:type="dxa"/>
            <w:tcBorders>
              <w:bottom w:val="single" w:sz="4" w:space="0" w:color="000000"/>
            </w:tcBorders>
            <w:vAlign w:val="center"/>
          </w:tcPr>
          <w:p w14:paraId="2D78FDBB" w14:textId="77777777" w:rsidR="00BA0745" w:rsidRDefault="00000000">
            <w:pPr>
              <w:spacing w:before="120" w:after="120"/>
              <w:jc w:val="center"/>
              <w:rPr>
                <w:sz w:val="22"/>
                <w:szCs w:val="22"/>
              </w:rPr>
            </w:pPr>
            <w:r>
              <w:rPr>
                <w:sz w:val="22"/>
                <w:szCs w:val="22"/>
              </w:rPr>
              <w:t>Infrastructure awareness × customer-service priority</w:t>
            </w:r>
          </w:p>
        </w:tc>
      </w:tr>
    </w:tbl>
    <w:p w14:paraId="53C866E5" w14:textId="77777777" w:rsidR="00BA0745" w:rsidRDefault="00000000">
      <w:pPr>
        <w:spacing w:before="120" w:after="120"/>
        <w:jc w:val="both"/>
        <w:rPr>
          <w:sz w:val="22"/>
          <w:szCs w:val="22"/>
        </w:rPr>
      </w:pPr>
      <w:r>
        <w:rPr>
          <w:sz w:val="22"/>
          <w:szCs w:val="22"/>
        </w:rPr>
        <w:t>Because the primary outcome is equal-weight WSQS, these priority effects are not mechanically embedded in the dependent variable.</w:t>
      </w:r>
    </w:p>
    <w:p w14:paraId="4A203B6E" w14:textId="67A71EFD" w:rsidR="00BA0745" w:rsidRDefault="00000000">
      <w:pPr>
        <w:spacing w:before="120" w:after="120"/>
        <w:jc w:val="both"/>
        <w:rPr>
          <w:b/>
          <w:bCs/>
          <w:sz w:val="22"/>
          <w:szCs w:val="22"/>
        </w:rPr>
      </w:pPr>
      <w:r>
        <w:rPr>
          <w:b/>
          <w:bCs/>
          <w:sz w:val="22"/>
          <w:szCs w:val="22"/>
        </w:rPr>
        <w:t>S3.4. Nonlinear service-response summaries</w:t>
      </w:r>
    </w:p>
    <w:p w14:paraId="5194B570" w14:textId="77777777" w:rsidR="00BA0745" w:rsidRDefault="00000000">
      <w:pPr>
        <w:spacing w:before="120" w:after="120"/>
        <w:jc w:val="both"/>
        <w:rPr>
          <w:sz w:val="22"/>
          <w:szCs w:val="22"/>
        </w:rPr>
      </w:pPr>
      <w:r>
        <w:rPr>
          <w:sz w:val="22"/>
          <w:szCs w:val="22"/>
        </w:rPr>
        <w:t>Nonlinear service-response summaries were used to evaluate whether predicted WSQS changed gradually or unevenly across levels of key service-support variables. For each service variable, predicted raw WSQS severity and 0–100 WSQS were summarized across observed response levels. The endpoint contrast was defined as the difference between predicted WSQS at the worst and best observed service levels. On the raw scale, positive contrasts indicate higher predicted severity. On the 0–100 reporting scale, negative contrasts indicate lower predicted service quality.</w:t>
      </w:r>
    </w:p>
    <w:p w14:paraId="510178A8" w14:textId="77777777" w:rsidR="00BA0745" w:rsidRDefault="00000000">
      <w:pPr>
        <w:spacing w:before="120" w:after="120"/>
        <w:jc w:val="both"/>
        <w:rPr>
          <w:sz w:val="22"/>
          <w:szCs w:val="22"/>
        </w:rPr>
      </w:pPr>
      <w:r>
        <w:rPr>
          <w:b/>
          <w:bCs/>
          <w:sz w:val="22"/>
          <w:szCs w:val="22"/>
        </w:rPr>
        <w:t xml:space="preserve">Supplementary Table S14. </w:t>
      </w:r>
      <w:r>
        <w:rPr>
          <w:sz w:val="22"/>
          <w:szCs w:val="22"/>
        </w:rPr>
        <w:t>Nonlinear service-response summaries.</w:t>
      </w:r>
    </w:p>
    <w:tbl>
      <w:tblPr>
        <w:tblStyle w:val="afd"/>
        <w:tblW w:w="9360" w:type="dxa"/>
        <w:tblLayout w:type="fixed"/>
        <w:tblLook w:val="0400" w:firstRow="0" w:lastRow="0" w:firstColumn="0" w:lastColumn="0" w:noHBand="0" w:noVBand="1"/>
      </w:tblPr>
      <w:tblGrid>
        <w:gridCol w:w="540"/>
        <w:gridCol w:w="1595"/>
        <w:gridCol w:w="1694"/>
        <w:gridCol w:w="1744"/>
        <w:gridCol w:w="1179"/>
        <w:gridCol w:w="1202"/>
        <w:gridCol w:w="1406"/>
      </w:tblGrid>
      <w:tr w:rsidR="00BA0745" w14:paraId="46BB2168" w14:textId="77777777">
        <w:tc>
          <w:tcPr>
            <w:tcW w:w="540" w:type="dxa"/>
            <w:tcBorders>
              <w:top w:val="single" w:sz="4" w:space="0" w:color="000000"/>
              <w:bottom w:val="single" w:sz="4" w:space="0" w:color="000000"/>
            </w:tcBorders>
            <w:vAlign w:val="center"/>
          </w:tcPr>
          <w:p w14:paraId="407E9F3F" w14:textId="77777777" w:rsidR="00BA0745" w:rsidRDefault="00000000">
            <w:pPr>
              <w:spacing w:before="120" w:after="120"/>
              <w:jc w:val="center"/>
              <w:rPr>
                <w:sz w:val="22"/>
                <w:szCs w:val="22"/>
              </w:rPr>
            </w:pPr>
            <w:r>
              <w:rPr>
                <w:sz w:val="22"/>
                <w:szCs w:val="22"/>
              </w:rPr>
              <w:t>Rank</w:t>
            </w:r>
          </w:p>
        </w:tc>
        <w:tc>
          <w:tcPr>
            <w:tcW w:w="1595" w:type="dxa"/>
            <w:tcBorders>
              <w:top w:val="single" w:sz="4" w:space="0" w:color="000000"/>
              <w:bottom w:val="single" w:sz="4" w:space="0" w:color="000000"/>
            </w:tcBorders>
            <w:vAlign w:val="center"/>
          </w:tcPr>
          <w:p w14:paraId="54B00209" w14:textId="77777777" w:rsidR="00BA0745" w:rsidRDefault="00000000">
            <w:pPr>
              <w:spacing w:before="120" w:after="120"/>
              <w:jc w:val="center"/>
              <w:rPr>
                <w:sz w:val="22"/>
                <w:szCs w:val="22"/>
              </w:rPr>
            </w:pPr>
            <w:r>
              <w:rPr>
                <w:sz w:val="22"/>
                <w:szCs w:val="22"/>
              </w:rPr>
              <w:t>Service variable</w:t>
            </w:r>
          </w:p>
        </w:tc>
        <w:tc>
          <w:tcPr>
            <w:tcW w:w="1694" w:type="dxa"/>
            <w:tcBorders>
              <w:top w:val="single" w:sz="4" w:space="0" w:color="000000"/>
              <w:bottom w:val="single" w:sz="4" w:space="0" w:color="000000"/>
            </w:tcBorders>
            <w:vAlign w:val="center"/>
          </w:tcPr>
          <w:p w14:paraId="7F4AFE6A" w14:textId="77777777" w:rsidR="00BA0745" w:rsidRDefault="00000000">
            <w:pPr>
              <w:spacing w:before="120" w:after="120"/>
              <w:jc w:val="center"/>
              <w:rPr>
                <w:sz w:val="22"/>
                <w:szCs w:val="22"/>
              </w:rPr>
            </w:pPr>
            <w:r>
              <w:rPr>
                <w:sz w:val="22"/>
                <w:szCs w:val="22"/>
              </w:rPr>
              <w:t>Predicted raw WSQS at best level</w:t>
            </w:r>
          </w:p>
        </w:tc>
        <w:tc>
          <w:tcPr>
            <w:tcW w:w="1744" w:type="dxa"/>
            <w:tcBorders>
              <w:top w:val="single" w:sz="4" w:space="0" w:color="000000"/>
              <w:bottom w:val="single" w:sz="4" w:space="0" w:color="000000"/>
            </w:tcBorders>
            <w:vAlign w:val="center"/>
          </w:tcPr>
          <w:p w14:paraId="7B0F1EF7" w14:textId="77777777" w:rsidR="00BA0745" w:rsidRDefault="00000000">
            <w:pPr>
              <w:spacing w:before="120" w:after="120"/>
              <w:jc w:val="center"/>
              <w:rPr>
                <w:sz w:val="22"/>
                <w:szCs w:val="22"/>
              </w:rPr>
            </w:pPr>
            <w:r>
              <w:rPr>
                <w:sz w:val="22"/>
                <w:szCs w:val="22"/>
              </w:rPr>
              <w:t>Predicted raw WSQS at worst level</w:t>
            </w:r>
          </w:p>
        </w:tc>
        <w:tc>
          <w:tcPr>
            <w:tcW w:w="1179" w:type="dxa"/>
            <w:tcBorders>
              <w:top w:val="single" w:sz="4" w:space="0" w:color="000000"/>
              <w:bottom w:val="single" w:sz="4" w:space="0" w:color="000000"/>
            </w:tcBorders>
            <w:vAlign w:val="center"/>
          </w:tcPr>
          <w:p w14:paraId="0E23F0AE" w14:textId="77777777" w:rsidR="00BA0745" w:rsidRDefault="00000000">
            <w:pPr>
              <w:spacing w:before="120" w:after="120"/>
              <w:jc w:val="center"/>
              <w:rPr>
                <w:sz w:val="22"/>
                <w:szCs w:val="22"/>
              </w:rPr>
            </w:pPr>
            <w:r>
              <w:rPr>
                <w:sz w:val="22"/>
                <w:szCs w:val="22"/>
              </w:rPr>
              <w:t>Worst-minus-best raw</w:t>
            </w:r>
          </w:p>
        </w:tc>
        <w:tc>
          <w:tcPr>
            <w:tcW w:w="1202" w:type="dxa"/>
            <w:tcBorders>
              <w:top w:val="single" w:sz="4" w:space="0" w:color="000000"/>
              <w:bottom w:val="single" w:sz="4" w:space="0" w:color="000000"/>
            </w:tcBorders>
            <w:vAlign w:val="center"/>
          </w:tcPr>
          <w:p w14:paraId="13D4FBEF" w14:textId="77777777" w:rsidR="00BA0745" w:rsidRDefault="00000000">
            <w:pPr>
              <w:spacing w:before="120" w:after="120"/>
              <w:jc w:val="center"/>
              <w:rPr>
                <w:sz w:val="22"/>
                <w:szCs w:val="22"/>
              </w:rPr>
            </w:pPr>
            <w:r>
              <w:rPr>
                <w:sz w:val="22"/>
                <w:szCs w:val="22"/>
              </w:rPr>
              <w:t>0–100 equivalent</w:t>
            </w:r>
          </w:p>
        </w:tc>
        <w:tc>
          <w:tcPr>
            <w:tcW w:w="1406" w:type="dxa"/>
            <w:tcBorders>
              <w:top w:val="single" w:sz="4" w:space="0" w:color="000000"/>
              <w:bottom w:val="single" w:sz="4" w:space="0" w:color="000000"/>
            </w:tcBorders>
            <w:vAlign w:val="center"/>
          </w:tcPr>
          <w:p w14:paraId="6CD1C68E" w14:textId="77777777" w:rsidR="00BA0745" w:rsidRDefault="00000000">
            <w:pPr>
              <w:spacing w:before="120" w:after="120"/>
              <w:jc w:val="center"/>
              <w:rPr>
                <w:sz w:val="22"/>
                <w:szCs w:val="22"/>
              </w:rPr>
            </w:pPr>
            <w:r>
              <w:rPr>
                <w:sz w:val="22"/>
                <w:szCs w:val="22"/>
              </w:rPr>
              <w:t>Largest adjacent raw jump</w:t>
            </w:r>
          </w:p>
        </w:tc>
      </w:tr>
      <w:tr w:rsidR="00BA0745" w14:paraId="776063BE" w14:textId="77777777">
        <w:tc>
          <w:tcPr>
            <w:tcW w:w="540" w:type="dxa"/>
            <w:vAlign w:val="center"/>
          </w:tcPr>
          <w:p w14:paraId="13FD7B4F" w14:textId="77777777" w:rsidR="00BA0745" w:rsidRDefault="00000000">
            <w:pPr>
              <w:spacing w:before="120" w:after="120"/>
              <w:jc w:val="center"/>
              <w:rPr>
                <w:sz w:val="22"/>
                <w:szCs w:val="22"/>
              </w:rPr>
            </w:pPr>
            <w:r>
              <w:rPr>
                <w:sz w:val="22"/>
                <w:szCs w:val="22"/>
              </w:rPr>
              <w:t>1</w:t>
            </w:r>
          </w:p>
        </w:tc>
        <w:tc>
          <w:tcPr>
            <w:tcW w:w="1595" w:type="dxa"/>
            <w:vAlign w:val="center"/>
          </w:tcPr>
          <w:p w14:paraId="7E704815" w14:textId="77777777" w:rsidR="00BA0745" w:rsidRDefault="00000000">
            <w:pPr>
              <w:spacing w:before="120" w:after="120"/>
              <w:jc w:val="center"/>
              <w:rPr>
                <w:sz w:val="22"/>
                <w:szCs w:val="22"/>
              </w:rPr>
            </w:pPr>
            <w:r>
              <w:rPr>
                <w:sz w:val="22"/>
                <w:szCs w:val="22"/>
              </w:rPr>
              <w:t>Water pressure</w:t>
            </w:r>
          </w:p>
        </w:tc>
        <w:tc>
          <w:tcPr>
            <w:tcW w:w="1694" w:type="dxa"/>
            <w:vAlign w:val="center"/>
          </w:tcPr>
          <w:p w14:paraId="348A4B49" w14:textId="77777777" w:rsidR="00BA0745" w:rsidRDefault="00000000">
            <w:pPr>
              <w:spacing w:before="120" w:after="120"/>
              <w:jc w:val="center"/>
              <w:rPr>
                <w:sz w:val="22"/>
                <w:szCs w:val="22"/>
              </w:rPr>
            </w:pPr>
            <w:r>
              <w:rPr>
                <w:sz w:val="22"/>
                <w:szCs w:val="22"/>
              </w:rPr>
              <w:t>1.990</w:t>
            </w:r>
          </w:p>
        </w:tc>
        <w:tc>
          <w:tcPr>
            <w:tcW w:w="1744" w:type="dxa"/>
            <w:vAlign w:val="center"/>
          </w:tcPr>
          <w:p w14:paraId="3876FA86" w14:textId="77777777" w:rsidR="00BA0745" w:rsidRDefault="00000000">
            <w:pPr>
              <w:spacing w:before="120" w:after="120"/>
              <w:jc w:val="center"/>
              <w:rPr>
                <w:sz w:val="22"/>
                <w:szCs w:val="22"/>
              </w:rPr>
            </w:pPr>
            <w:r>
              <w:rPr>
                <w:sz w:val="22"/>
                <w:szCs w:val="22"/>
              </w:rPr>
              <w:t>2.275</w:t>
            </w:r>
          </w:p>
        </w:tc>
        <w:tc>
          <w:tcPr>
            <w:tcW w:w="1179" w:type="dxa"/>
            <w:vAlign w:val="center"/>
          </w:tcPr>
          <w:p w14:paraId="4775B9B3" w14:textId="77777777" w:rsidR="00BA0745" w:rsidRDefault="00000000">
            <w:pPr>
              <w:spacing w:before="120" w:after="120"/>
              <w:jc w:val="center"/>
              <w:rPr>
                <w:sz w:val="22"/>
                <w:szCs w:val="22"/>
              </w:rPr>
            </w:pPr>
            <w:r>
              <w:rPr>
                <w:sz w:val="22"/>
                <w:szCs w:val="22"/>
              </w:rPr>
              <w:t>0.285</w:t>
            </w:r>
          </w:p>
        </w:tc>
        <w:tc>
          <w:tcPr>
            <w:tcW w:w="1202" w:type="dxa"/>
            <w:vAlign w:val="center"/>
          </w:tcPr>
          <w:p w14:paraId="0A61EBC3" w14:textId="340AAFCF" w:rsidR="00BA0745" w:rsidRPr="00500622" w:rsidRDefault="00500622">
            <w:pPr>
              <w:spacing w:before="120" w:after="120"/>
              <w:jc w:val="center"/>
              <w:rPr>
                <w:sz w:val="22"/>
                <w:szCs w:val="22"/>
              </w:rPr>
            </w:pPr>
            <w:sdt>
              <w:sdtPr>
                <w:tag w:val="goog_rdk_9"/>
                <w:id w:val="-1959601892"/>
              </w:sdtPr>
              <w:sdtContent>
                <w:r w:rsidRPr="00500622">
                  <w:rPr>
                    <w:rFonts w:eastAsia="Gungsuh"/>
                    <w:sz w:val="22"/>
                    <w:szCs w:val="22"/>
                  </w:rPr>
                  <w:t>−7.12</w:t>
                </w:r>
              </w:sdtContent>
            </w:sdt>
          </w:p>
        </w:tc>
        <w:tc>
          <w:tcPr>
            <w:tcW w:w="1406" w:type="dxa"/>
            <w:vAlign w:val="center"/>
          </w:tcPr>
          <w:p w14:paraId="699E423F" w14:textId="77777777" w:rsidR="00BA0745" w:rsidRDefault="00000000">
            <w:pPr>
              <w:spacing w:before="120" w:after="120"/>
              <w:jc w:val="center"/>
              <w:rPr>
                <w:sz w:val="22"/>
                <w:szCs w:val="22"/>
              </w:rPr>
            </w:pPr>
            <w:r>
              <w:rPr>
                <w:sz w:val="22"/>
                <w:szCs w:val="22"/>
              </w:rPr>
              <w:t>0.090</w:t>
            </w:r>
          </w:p>
        </w:tc>
      </w:tr>
      <w:tr w:rsidR="00BA0745" w14:paraId="0C788DB5" w14:textId="77777777">
        <w:tc>
          <w:tcPr>
            <w:tcW w:w="540" w:type="dxa"/>
            <w:vAlign w:val="center"/>
          </w:tcPr>
          <w:p w14:paraId="47DF6FB3" w14:textId="77777777" w:rsidR="00BA0745" w:rsidRDefault="00000000">
            <w:pPr>
              <w:spacing w:before="120" w:after="120"/>
              <w:jc w:val="center"/>
              <w:rPr>
                <w:sz w:val="22"/>
                <w:szCs w:val="22"/>
              </w:rPr>
            </w:pPr>
            <w:r>
              <w:rPr>
                <w:sz w:val="22"/>
                <w:szCs w:val="22"/>
              </w:rPr>
              <w:t>2</w:t>
            </w:r>
          </w:p>
        </w:tc>
        <w:tc>
          <w:tcPr>
            <w:tcW w:w="1595" w:type="dxa"/>
            <w:vAlign w:val="center"/>
          </w:tcPr>
          <w:p w14:paraId="61CD13A5" w14:textId="77777777" w:rsidR="00BA0745" w:rsidRDefault="00000000">
            <w:pPr>
              <w:spacing w:before="120" w:after="120"/>
              <w:jc w:val="center"/>
              <w:rPr>
                <w:sz w:val="22"/>
                <w:szCs w:val="22"/>
              </w:rPr>
            </w:pPr>
            <w:r>
              <w:rPr>
                <w:sz w:val="22"/>
                <w:szCs w:val="22"/>
              </w:rPr>
              <w:t>Value for money</w:t>
            </w:r>
          </w:p>
        </w:tc>
        <w:tc>
          <w:tcPr>
            <w:tcW w:w="1694" w:type="dxa"/>
            <w:vAlign w:val="center"/>
          </w:tcPr>
          <w:p w14:paraId="1377972E" w14:textId="77777777" w:rsidR="00BA0745" w:rsidRDefault="00000000">
            <w:pPr>
              <w:spacing w:before="120" w:after="120"/>
              <w:jc w:val="center"/>
              <w:rPr>
                <w:sz w:val="22"/>
                <w:szCs w:val="22"/>
              </w:rPr>
            </w:pPr>
            <w:r>
              <w:rPr>
                <w:sz w:val="22"/>
                <w:szCs w:val="22"/>
              </w:rPr>
              <w:t>1.959</w:t>
            </w:r>
          </w:p>
        </w:tc>
        <w:tc>
          <w:tcPr>
            <w:tcW w:w="1744" w:type="dxa"/>
            <w:vAlign w:val="center"/>
          </w:tcPr>
          <w:p w14:paraId="6DEF8B50" w14:textId="77777777" w:rsidR="00BA0745" w:rsidRDefault="00000000">
            <w:pPr>
              <w:spacing w:before="120" w:after="120"/>
              <w:jc w:val="center"/>
              <w:rPr>
                <w:sz w:val="22"/>
                <w:szCs w:val="22"/>
              </w:rPr>
            </w:pPr>
            <w:r>
              <w:rPr>
                <w:sz w:val="22"/>
                <w:szCs w:val="22"/>
              </w:rPr>
              <w:t>2.201</w:t>
            </w:r>
          </w:p>
        </w:tc>
        <w:tc>
          <w:tcPr>
            <w:tcW w:w="1179" w:type="dxa"/>
            <w:vAlign w:val="center"/>
          </w:tcPr>
          <w:p w14:paraId="19C06078" w14:textId="77777777" w:rsidR="00BA0745" w:rsidRDefault="00000000">
            <w:pPr>
              <w:spacing w:before="120" w:after="120"/>
              <w:jc w:val="center"/>
              <w:rPr>
                <w:sz w:val="22"/>
                <w:szCs w:val="22"/>
              </w:rPr>
            </w:pPr>
            <w:r>
              <w:rPr>
                <w:sz w:val="22"/>
                <w:szCs w:val="22"/>
              </w:rPr>
              <w:t>0.243</w:t>
            </w:r>
          </w:p>
        </w:tc>
        <w:tc>
          <w:tcPr>
            <w:tcW w:w="1202" w:type="dxa"/>
            <w:vAlign w:val="center"/>
          </w:tcPr>
          <w:p w14:paraId="04419E5C" w14:textId="5CEAB8A3" w:rsidR="00BA0745" w:rsidRPr="00500622" w:rsidRDefault="00500622">
            <w:pPr>
              <w:spacing w:before="120" w:after="120"/>
              <w:jc w:val="center"/>
              <w:rPr>
                <w:sz w:val="22"/>
                <w:szCs w:val="22"/>
              </w:rPr>
            </w:pPr>
            <w:sdt>
              <w:sdtPr>
                <w:tag w:val="goog_rdk_10"/>
                <w:id w:val="-348906967"/>
              </w:sdtPr>
              <w:sdtContent>
                <w:r w:rsidRPr="00500622">
                  <w:rPr>
                    <w:rFonts w:eastAsia="Gungsuh"/>
                    <w:sz w:val="22"/>
                    <w:szCs w:val="22"/>
                  </w:rPr>
                  <w:t>−6.07</w:t>
                </w:r>
              </w:sdtContent>
            </w:sdt>
          </w:p>
        </w:tc>
        <w:tc>
          <w:tcPr>
            <w:tcW w:w="1406" w:type="dxa"/>
            <w:vAlign w:val="center"/>
          </w:tcPr>
          <w:p w14:paraId="6464DCD4" w14:textId="77777777" w:rsidR="00BA0745" w:rsidRDefault="00000000">
            <w:pPr>
              <w:spacing w:before="120" w:after="120"/>
              <w:jc w:val="center"/>
              <w:rPr>
                <w:sz w:val="22"/>
                <w:szCs w:val="22"/>
              </w:rPr>
            </w:pPr>
            <w:r>
              <w:rPr>
                <w:sz w:val="22"/>
                <w:szCs w:val="22"/>
              </w:rPr>
              <w:t>0.122</w:t>
            </w:r>
          </w:p>
        </w:tc>
      </w:tr>
      <w:tr w:rsidR="00BA0745" w14:paraId="673C4CAC" w14:textId="77777777">
        <w:tc>
          <w:tcPr>
            <w:tcW w:w="540" w:type="dxa"/>
            <w:vAlign w:val="center"/>
          </w:tcPr>
          <w:p w14:paraId="07E10052" w14:textId="77777777" w:rsidR="00BA0745" w:rsidRDefault="00000000">
            <w:pPr>
              <w:spacing w:before="120" w:after="120"/>
              <w:jc w:val="center"/>
              <w:rPr>
                <w:sz w:val="22"/>
                <w:szCs w:val="22"/>
              </w:rPr>
            </w:pPr>
            <w:r>
              <w:rPr>
                <w:sz w:val="22"/>
                <w:szCs w:val="22"/>
              </w:rPr>
              <w:t>3</w:t>
            </w:r>
          </w:p>
        </w:tc>
        <w:tc>
          <w:tcPr>
            <w:tcW w:w="1595" w:type="dxa"/>
            <w:vAlign w:val="center"/>
          </w:tcPr>
          <w:p w14:paraId="5DD5F9AB" w14:textId="77777777" w:rsidR="00BA0745" w:rsidRDefault="00000000">
            <w:pPr>
              <w:spacing w:before="120" w:after="120"/>
              <w:jc w:val="center"/>
              <w:rPr>
                <w:sz w:val="22"/>
                <w:szCs w:val="22"/>
              </w:rPr>
            </w:pPr>
            <w:r>
              <w:rPr>
                <w:sz w:val="22"/>
                <w:szCs w:val="22"/>
              </w:rPr>
              <w:t>Appearance acceptability</w:t>
            </w:r>
          </w:p>
        </w:tc>
        <w:tc>
          <w:tcPr>
            <w:tcW w:w="1694" w:type="dxa"/>
            <w:vAlign w:val="center"/>
          </w:tcPr>
          <w:p w14:paraId="74D7F194" w14:textId="77777777" w:rsidR="00BA0745" w:rsidRDefault="00000000">
            <w:pPr>
              <w:spacing w:before="120" w:after="120"/>
              <w:jc w:val="center"/>
              <w:rPr>
                <w:sz w:val="22"/>
                <w:szCs w:val="22"/>
              </w:rPr>
            </w:pPr>
            <w:r>
              <w:rPr>
                <w:sz w:val="22"/>
                <w:szCs w:val="22"/>
              </w:rPr>
              <w:t>1.986</w:t>
            </w:r>
          </w:p>
        </w:tc>
        <w:tc>
          <w:tcPr>
            <w:tcW w:w="1744" w:type="dxa"/>
            <w:vAlign w:val="center"/>
          </w:tcPr>
          <w:p w14:paraId="1B5BC084" w14:textId="77777777" w:rsidR="00BA0745" w:rsidRDefault="00000000">
            <w:pPr>
              <w:spacing w:before="120" w:after="120"/>
              <w:jc w:val="center"/>
              <w:rPr>
                <w:sz w:val="22"/>
                <w:szCs w:val="22"/>
              </w:rPr>
            </w:pPr>
            <w:r>
              <w:rPr>
                <w:sz w:val="22"/>
                <w:szCs w:val="22"/>
              </w:rPr>
              <w:t>2.225</w:t>
            </w:r>
          </w:p>
        </w:tc>
        <w:tc>
          <w:tcPr>
            <w:tcW w:w="1179" w:type="dxa"/>
            <w:vAlign w:val="center"/>
          </w:tcPr>
          <w:p w14:paraId="29F54446" w14:textId="77777777" w:rsidR="00BA0745" w:rsidRDefault="00000000">
            <w:pPr>
              <w:spacing w:before="120" w:after="120"/>
              <w:jc w:val="center"/>
              <w:rPr>
                <w:sz w:val="22"/>
                <w:szCs w:val="22"/>
              </w:rPr>
            </w:pPr>
            <w:r>
              <w:rPr>
                <w:sz w:val="22"/>
                <w:szCs w:val="22"/>
              </w:rPr>
              <w:t>0.239</w:t>
            </w:r>
          </w:p>
        </w:tc>
        <w:tc>
          <w:tcPr>
            <w:tcW w:w="1202" w:type="dxa"/>
            <w:vAlign w:val="center"/>
          </w:tcPr>
          <w:p w14:paraId="4148ED5F" w14:textId="4EF296F3" w:rsidR="00BA0745" w:rsidRPr="00500622" w:rsidRDefault="00500622">
            <w:pPr>
              <w:spacing w:before="120" w:after="120"/>
              <w:jc w:val="center"/>
              <w:rPr>
                <w:sz w:val="22"/>
                <w:szCs w:val="22"/>
              </w:rPr>
            </w:pPr>
            <w:sdt>
              <w:sdtPr>
                <w:tag w:val="goog_rdk_11"/>
                <w:id w:val="-1877476268"/>
              </w:sdtPr>
              <w:sdtContent>
                <w:r w:rsidRPr="00500622">
                  <w:rPr>
                    <w:rFonts w:eastAsia="Gungsuh"/>
                    <w:sz w:val="22"/>
                    <w:szCs w:val="22"/>
                  </w:rPr>
                  <w:t>−5.98</w:t>
                </w:r>
              </w:sdtContent>
            </w:sdt>
          </w:p>
        </w:tc>
        <w:tc>
          <w:tcPr>
            <w:tcW w:w="1406" w:type="dxa"/>
            <w:vAlign w:val="center"/>
          </w:tcPr>
          <w:p w14:paraId="25C73B57" w14:textId="77777777" w:rsidR="00BA0745" w:rsidRDefault="00000000">
            <w:pPr>
              <w:spacing w:before="120" w:after="120"/>
              <w:jc w:val="center"/>
              <w:rPr>
                <w:sz w:val="22"/>
                <w:szCs w:val="22"/>
              </w:rPr>
            </w:pPr>
            <w:r>
              <w:rPr>
                <w:sz w:val="22"/>
                <w:szCs w:val="22"/>
              </w:rPr>
              <w:t>0.098</w:t>
            </w:r>
          </w:p>
        </w:tc>
      </w:tr>
      <w:tr w:rsidR="00BA0745" w14:paraId="6ADF66ED" w14:textId="77777777">
        <w:tc>
          <w:tcPr>
            <w:tcW w:w="540" w:type="dxa"/>
            <w:vAlign w:val="center"/>
          </w:tcPr>
          <w:p w14:paraId="0F565B0C" w14:textId="77777777" w:rsidR="00BA0745" w:rsidRDefault="00000000">
            <w:pPr>
              <w:spacing w:before="120" w:after="120"/>
              <w:jc w:val="center"/>
              <w:rPr>
                <w:sz w:val="22"/>
                <w:szCs w:val="22"/>
              </w:rPr>
            </w:pPr>
            <w:r>
              <w:rPr>
                <w:sz w:val="22"/>
                <w:szCs w:val="22"/>
              </w:rPr>
              <w:t>4</w:t>
            </w:r>
          </w:p>
        </w:tc>
        <w:tc>
          <w:tcPr>
            <w:tcW w:w="1595" w:type="dxa"/>
            <w:vAlign w:val="center"/>
          </w:tcPr>
          <w:p w14:paraId="7EEF98CC" w14:textId="77777777" w:rsidR="00BA0745" w:rsidRDefault="00000000">
            <w:pPr>
              <w:spacing w:before="120" w:after="120"/>
              <w:jc w:val="center"/>
              <w:rPr>
                <w:sz w:val="22"/>
                <w:szCs w:val="22"/>
              </w:rPr>
            </w:pPr>
            <w:r>
              <w:rPr>
                <w:sz w:val="22"/>
                <w:szCs w:val="22"/>
              </w:rPr>
              <w:t>Complaint resolution</w:t>
            </w:r>
          </w:p>
        </w:tc>
        <w:tc>
          <w:tcPr>
            <w:tcW w:w="1694" w:type="dxa"/>
            <w:vAlign w:val="center"/>
          </w:tcPr>
          <w:p w14:paraId="48C5C837" w14:textId="77777777" w:rsidR="00BA0745" w:rsidRDefault="00000000">
            <w:pPr>
              <w:spacing w:before="120" w:after="120"/>
              <w:jc w:val="center"/>
              <w:rPr>
                <w:sz w:val="22"/>
                <w:szCs w:val="22"/>
              </w:rPr>
            </w:pPr>
            <w:r>
              <w:rPr>
                <w:sz w:val="22"/>
                <w:szCs w:val="22"/>
              </w:rPr>
              <w:t>2.195</w:t>
            </w:r>
          </w:p>
        </w:tc>
        <w:tc>
          <w:tcPr>
            <w:tcW w:w="1744" w:type="dxa"/>
            <w:vAlign w:val="center"/>
          </w:tcPr>
          <w:p w14:paraId="669EB46E" w14:textId="77777777" w:rsidR="00BA0745" w:rsidRDefault="00000000">
            <w:pPr>
              <w:spacing w:before="120" w:after="120"/>
              <w:jc w:val="center"/>
              <w:rPr>
                <w:sz w:val="22"/>
                <w:szCs w:val="22"/>
              </w:rPr>
            </w:pPr>
            <w:r>
              <w:rPr>
                <w:sz w:val="22"/>
                <w:szCs w:val="22"/>
              </w:rPr>
              <w:t>1.968</w:t>
            </w:r>
          </w:p>
        </w:tc>
        <w:tc>
          <w:tcPr>
            <w:tcW w:w="1179" w:type="dxa"/>
            <w:vAlign w:val="center"/>
          </w:tcPr>
          <w:p w14:paraId="717CC09E" w14:textId="358350AF" w:rsidR="00BA0745" w:rsidRDefault="00500622">
            <w:pPr>
              <w:spacing w:before="120" w:after="120"/>
              <w:jc w:val="center"/>
              <w:rPr>
                <w:sz w:val="22"/>
                <w:szCs w:val="22"/>
              </w:rPr>
            </w:pPr>
            <w:r w:rsidRPr="00500622">
              <w:rPr>
                <w:sz w:val="22"/>
                <w:szCs w:val="22"/>
              </w:rPr>
              <w:t>−0.227</w:t>
            </w:r>
          </w:p>
        </w:tc>
        <w:tc>
          <w:tcPr>
            <w:tcW w:w="1202" w:type="dxa"/>
            <w:vAlign w:val="center"/>
          </w:tcPr>
          <w:p w14:paraId="59F65360" w14:textId="77777777" w:rsidR="00BA0745" w:rsidRDefault="00000000">
            <w:pPr>
              <w:spacing w:before="120" w:after="120"/>
              <w:jc w:val="center"/>
              <w:rPr>
                <w:sz w:val="22"/>
                <w:szCs w:val="22"/>
              </w:rPr>
            </w:pPr>
            <w:r>
              <w:rPr>
                <w:sz w:val="22"/>
                <w:szCs w:val="22"/>
              </w:rPr>
              <w:t>5.67</w:t>
            </w:r>
          </w:p>
        </w:tc>
        <w:tc>
          <w:tcPr>
            <w:tcW w:w="1406" w:type="dxa"/>
            <w:vAlign w:val="center"/>
          </w:tcPr>
          <w:p w14:paraId="59E96BF4" w14:textId="77777777" w:rsidR="00BA0745" w:rsidRDefault="00000000">
            <w:pPr>
              <w:spacing w:before="120" w:after="120"/>
              <w:jc w:val="center"/>
              <w:rPr>
                <w:sz w:val="22"/>
                <w:szCs w:val="22"/>
              </w:rPr>
            </w:pPr>
            <w:r>
              <w:rPr>
                <w:sz w:val="22"/>
                <w:szCs w:val="22"/>
              </w:rPr>
              <w:t>0.000</w:t>
            </w:r>
          </w:p>
        </w:tc>
      </w:tr>
      <w:tr w:rsidR="00BA0745" w14:paraId="5CEC497B" w14:textId="77777777">
        <w:tc>
          <w:tcPr>
            <w:tcW w:w="540" w:type="dxa"/>
            <w:vAlign w:val="center"/>
          </w:tcPr>
          <w:p w14:paraId="177C7288" w14:textId="77777777" w:rsidR="00BA0745" w:rsidRDefault="00000000">
            <w:pPr>
              <w:spacing w:before="120" w:after="120"/>
              <w:jc w:val="center"/>
              <w:rPr>
                <w:sz w:val="22"/>
                <w:szCs w:val="22"/>
              </w:rPr>
            </w:pPr>
            <w:r>
              <w:rPr>
                <w:sz w:val="22"/>
                <w:szCs w:val="22"/>
              </w:rPr>
              <w:t>5</w:t>
            </w:r>
          </w:p>
        </w:tc>
        <w:tc>
          <w:tcPr>
            <w:tcW w:w="1595" w:type="dxa"/>
            <w:vAlign w:val="center"/>
          </w:tcPr>
          <w:p w14:paraId="1C429C8E" w14:textId="77777777" w:rsidR="00BA0745" w:rsidRDefault="00000000">
            <w:pPr>
              <w:spacing w:before="120" w:after="120"/>
              <w:jc w:val="center"/>
              <w:rPr>
                <w:sz w:val="22"/>
                <w:szCs w:val="22"/>
              </w:rPr>
            </w:pPr>
            <w:r>
              <w:rPr>
                <w:sz w:val="22"/>
                <w:szCs w:val="22"/>
              </w:rPr>
              <w:t>Water clarity</w:t>
            </w:r>
          </w:p>
        </w:tc>
        <w:tc>
          <w:tcPr>
            <w:tcW w:w="1694" w:type="dxa"/>
            <w:vAlign w:val="center"/>
          </w:tcPr>
          <w:p w14:paraId="427CC28F" w14:textId="77777777" w:rsidR="00BA0745" w:rsidRDefault="00000000">
            <w:pPr>
              <w:spacing w:before="120" w:after="120"/>
              <w:jc w:val="center"/>
              <w:rPr>
                <w:sz w:val="22"/>
                <w:szCs w:val="22"/>
              </w:rPr>
            </w:pPr>
            <w:r>
              <w:rPr>
                <w:sz w:val="22"/>
                <w:szCs w:val="22"/>
              </w:rPr>
              <w:t>1.992</w:t>
            </w:r>
          </w:p>
        </w:tc>
        <w:tc>
          <w:tcPr>
            <w:tcW w:w="1744" w:type="dxa"/>
            <w:vAlign w:val="center"/>
          </w:tcPr>
          <w:p w14:paraId="4740D306" w14:textId="77777777" w:rsidR="00BA0745" w:rsidRDefault="00000000">
            <w:pPr>
              <w:spacing w:before="120" w:after="120"/>
              <w:jc w:val="center"/>
              <w:rPr>
                <w:sz w:val="22"/>
                <w:szCs w:val="22"/>
              </w:rPr>
            </w:pPr>
            <w:r>
              <w:rPr>
                <w:sz w:val="22"/>
                <w:szCs w:val="22"/>
              </w:rPr>
              <w:t>2.193</w:t>
            </w:r>
          </w:p>
        </w:tc>
        <w:tc>
          <w:tcPr>
            <w:tcW w:w="1179" w:type="dxa"/>
            <w:vAlign w:val="center"/>
          </w:tcPr>
          <w:p w14:paraId="1CEC5650" w14:textId="77777777" w:rsidR="00BA0745" w:rsidRDefault="00000000">
            <w:pPr>
              <w:spacing w:before="120" w:after="120"/>
              <w:jc w:val="center"/>
              <w:rPr>
                <w:sz w:val="22"/>
                <w:szCs w:val="22"/>
              </w:rPr>
            </w:pPr>
            <w:r>
              <w:rPr>
                <w:sz w:val="22"/>
                <w:szCs w:val="22"/>
              </w:rPr>
              <w:t>0.201</w:t>
            </w:r>
          </w:p>
        </w:tc>
        <w:tc>
          <w:tcPr>
            <w:tcW w:w="1202" w:type="dxa"/>
            <w:vAlign w:val="center"/>
          </w:tcPr>
          <w:p w14:paraId="31B7F954" w14:textId="1E6B968F" w:rsidR="00BA0745" w:rsidRDefault="00500622">
            <w:pPr>
              <w:spacing w:before="120" w:after="120"/>
              <w:jc w:val="center"/>
              <w:rPr>
                <w:sz w:val="22"/>
                <w:szCs w:val="22"/>
              </w:rPr>
            </w:pPr>
            <w:r w:rsidRPr="00500622">
              <w:rPr>
                <w:sz w:val="22"/>
                <w:szCs w:val="22"/>
              </w:rPr>
              <w:t>−5.01</w:t>
            </w:r>
          </w:p>
        </w:tc>
        <w:tc>
          <w:tcPr>
            <w:tcW w:w="1406" w:type="dxa"/>
            <w:vAlign w:val="center"/>
          </w:tcPr>
          <w:p w14:paraId="79E4E32E" w14:textId="77777777" w:rsidR="00BA0745" w:rsidRDefault="00000000">
            <w:pPr>
              <w:spacing w:before="120" w:after="120"/>
              <w:jc w:val="center"/>
              <w:rPr>
                <w:sz w:val="22"/>
                <w:szCs w:val="22"/>
              </w:rPr>
            </w:pPr>
            <w:r>
              <w:rPr>
                <w:sz w:val="22"/>
                <w:szCs w:val="22"/>
              </w:rPr>
              <w:t>0.098</w:t>
            </w:r>
          </w:p>
        </w:tc>
      </w:tr>
      <w:tr w:rsidR="00BA0745" w14:paraId="7F03B49C" w14:textId="77777777">
        <w:tc>
          <w:tcPr>
            <w:tcW w:w="540" w:type="dxa"/>
            <w:vAlign w:val="center"/>
          </w:tcPr>
          <w:p w14:paraId="6FCBD191" w14:textId="77777777" w:rsidR="00BA0745" w:rsidRDefault="00000000">
            <w:pPr>
              <w:spacing w:before="120" w:after="120"/>
              <w:jc w:val="center"/>
              <w:rPr>
                <w:sz w:val="22"/>
                <w:szCs w:val="22"/>
              </w:rPr>
            </w:pPr>
            <w:r>
              <w:rPr>
                <w:sz w:val="22"/>
                <w:szCs w:val="22"/>
              </w:rPr>
              <w:lastRenderedPageBreak/>
              <w:t>6</w:t>
            </w:r>
          </w:p>
        </w:tc>
        <w:tc>
          <w:tcPr>
            <w:tcW w:w="1595" w:type="dxa"/>
            <w:vAlign w:val="center"/>
          </w:tcPr>
          <w:p w14:paraId="7933985D" w14:textId="77777777" w:rsidR="00BA0745" w:rsidRDefault="00000000">
            <w:pPr>
              <w:spacing w:before="120" w:after="120"/>
              <w:jc w:val="center"/>
              <w:rPr>
                <w:sz w:val="22"/>
                <w:szCs w:val="22"/>
              </w:rPr>
            </w:pPr>
            <w:r>
              <w:rPr>
                <w:sz w:val="22"/>
                <w:szCs w:val="22"/>
              </w:rPr>
              <w:t>Shortage experience</w:t>
            </w:r>
          </w:p>
        </w:tc>
        <w:tc>
          <w:tcPr>
            <w:tcW w:w="1694" w:type="dxa"/>
            <w:vAlign w:val="center"/>
          </w:tcPr>
          <w:p w14:paraId="4B692F2E" w14:textId="77777777" w:rsidR="00BA0745" w:rsidRDefault="00000000">
            <w:pPr>
              <w:spacing w:before="120" w:after="120"/>
              <w:jc w:val="center"/>
              <w:rPr>
                <w:sz w:val="22"/>
                <w:szCs w:val="22"/>
              </w:rPr>
            </w:pPr>
            <w:r>
              <w:rPr>
                <w:sz w:val="22"/>
                <w:szCs w:val="22"/>
              </w:rPr>
              <w:t>2.026</w:t>
            </w:r>
          </w:p>
        </w:tc>
        <w:tc>
          <w:tcPr>
            <w:tcW w:w="1744" w:type="dxa"/>
            <w:vAlign w:val="center"/>
          </w:tcPr>
          <w:p w14:paraId="1D43DA3E" w14:textId="77777777" w:rsidR="00BA0745" w:rsidRDefault="00000000">
            <w:pPr>
              <w:spacing w:before="120" w:after="120"/>
              <w:jc w:val="center"/>
              <w:rPr>
                <w:sz w:val="22"/>
                <w:szCs w:val="22"/>
              </w:rPr>
            </w:pPr>
            <w:r>
              <w:rPr>
                <w:sz w:val="22"/>
                <w:szCs w:val="22"/>
              </w:rPr>
              <w:t>2.204</w:t>
            </w:r>
          </w:p>
        </w:tc>
        <w:tc>
          <w:tcPr>
            <w:tcW w:w="1179" w:type="dxa"/>
            <w:vAlign w:val="center"/>
          </w:tcPr>
          <w:p w14:paraId="4F1850E4" w14:textId="77777777" w:rsidR="00BA0745" w:rsidRDefault="00000000">
            <w:pPr>
              <w:spacing w:before="120" w:after="120"/>
              <w:jc w:val="center"/>
              <w:rPr>
                <w:sz w:val="22"/>
                <w:szCs w:val="22"/>
              </w:rPr>
            </w:pPr>
            <w:r>
              <w:rPr>
                <w:sz w:val="22"/>
                <w:szCs w:val="22"/>
              </w:rPr>
              <w:t>0.179</w:t>
            </w:r>
          </w:p>
        </w:tc>
        <w:tc>
          <w:tcPr>
            <w:tcW w:w="1202" w:type="dxa"/>
            <w:vAlign w:val="center"/>
          </w:tcPr>
          <w:p w14:paraId="72E428E5" w14:textId="680C5116" w:rsidR="00BA0745" w:rsidRDefault="00500622">
            <w:pPr>
              <w:spacing w:before="120" w:after="120"/>
              <w:jc w:val="center"/>
              <w:rPr>
                <w:sz w:val="22"/>
                <w:szCs w:val="22"/>
              </w:rPr>
            </w:pPr>
            <w:r w:rsidRPr="00500622">
              <w:rPr>
                <w:sz w:val="22"/>
                <w:szCs w:val="22"/>
              </w:rPr>
              <w:t>−4.47</w:t>
            </w:r>
          </w:p>
        </w:tc>
        <w:tc>
          <w:tcPr>
            <w:tcW w:w="1406" w:type="dxa"/>
            <w:vAlign w:val="center"/>
          </w:tcPr>
          <w:p w14:paraId="3601D2E0" w14:textId="77777777" w:rsidR="00BA0745" w:rsidRDefault="00000000">
            <w:pPr>
              <w:spacing w:before="120" w:after="120"/>
              <w:jc w:val="center"/>
              <w:rPr>
                <w:sz w:val="22"/>
                <w:szCs w:val="22"/>
              </w:rPr>
            </w:pPr>
            <w:r>
              <w:rPr>
                <w:sz w:val="22"/>
                <w:szCs w:val="22"/>
              </w:rPr>
              <w:t>0.060</w:t>
            </w:r>
          </w:p>
        </w:tc>
      </w:tr>
      <w:tr w:rsidR="00BA0745" w14:paraId="567DF5A1" w14:textId="77777777">
        <w:tc>
          <w:tcPr>
            <w:tcW w:w="540" w:type="dxa"/>
            <w:vAlign w:val="center"/>
          </w:tcPr>
          <w:p w14:paraId="4C34D1B0" w14:textId="77777777" w:rsidR="00BA0745" w:rsidRDefault="00000000">
            <w:pPr>
              <w:spacing w:before="120" w:after="120"/>
              <w:jc w:val="center"/>
              <w:rPr>
                <w:sz w:val="22"/>
                <w:szCs w:val="22"/>
              </w:rPr>
            </w:pPr>
            <w:r>
              <w:rPr>
                <w:sz w:val="22"/>
                <w:szCs w:val="22"/>
              </w:rPr>
              <w:t>7</w:t>
            </w:r>
          </w:p>
        </w:tc>
        <w:tc>
          <w:tcPr>
            <w:tcW w:w="1595" w:type="dxa"/>
            <w:vAlign w:val="center"/>
          </w:tcPr>
          <w:p w14:paraId="215D20EF" w14:textId="77777777" w:rsidR="00BA0745" w:rsidRDefault="00000000">
            <w:pPr>
              <w:spacing w:before="120" w:after="120"/>
              <w:jc w:val="center"/>
              <w:rPr>
                <w:sz w:val="22"/>
                <w:szCs w:val="22"/>
              </w:rPr>
            </w:pPr>
            <w:r>
              <w:rPr>
                <w:sz w:val="22"/>
                <w:szCs w:val="22"/>
              </w:rPr>
              <w:t>Taste acceptability</w:t>
            </w:r>
          </w:p>
        </w:tc>
        <w:tc>
          <w:tcPr>
            <w:tcW w:w="1694" w:type="dxa"/>
            <w:vAlign w:val="center"/>
          </w:tcPr>
          <w:p w14:paraId="0CC53C0E" w14:textId="77777777" w:rsidR="00BA0745" w:rsidRDefault="00000000">
            <w:pPr>
              <w:spacing w:before="120" w:after="120"/>
              <w:jc w:val="center"/>
              <w:rPr>
                <w:sz w:val="22"/>
                <w:szCs w:val="22"/>
              </w:rPr>
            </w:pPr>
            <w:r>
              <w:rPr>
                <w:sz w:val="22"/>
                <w:szCs w:val="22"/>
              </w:rPr>
              <w:t>2.054</w:t>
            </w:r>
          </w:p>
        </w:tc>
        <w:tc>
          <w:tcPr>
            <w:tcW w:w="1744" w:type="dxa"/>
            <w:vAlign w:val="center"/>
          </w:tcPr>
          <w:p w14:paraId="059DA6A7" w14:textId="77777777" w:rsidR="00BA0745" w:rsidRDefault="00000000">
            <w:pPr>
              <w:spacing w:before="120" w:after="120"/>
              <w:jc w:val="center"/>
              <w:rPr>
                <w:sz w:val="22"/>
                <w:szCs w:val="22"/>
              </w:rPr>
            </w:pPr>
            <w:r>
              <w:rPr>
                <w:sz w:val="22"/>
                <w:szCs w:val="22"/>
              </w:rPr>
              <w:t>2.152</w:t>
            </w:r>
          </w:p>
        </w:tc>
        <w:tc>
          <w:tcPr>
            <w:tcW w:w="1179" w:type="dxa"/>
            <w:vAlign w:val="center"/>
          </w:tcPr>
          <w:p w14:paraId="0C0F05AD" w14:textId="77777777" w:rsidR="00BA0745" w:rsidRDefault="00000000">
            <w:pPr>
              <w:spacing w:before="120" w:after="120"/>
              <w:jc w:val="center"/>
              <w:rPr>
                <w:sz w:val="22"/>
                <w:szCs w:val="22"/>
              </w:rPr>
            </w:pPr>
            <w:r>
              <w:rPr>
                <w:sz w:val="22"/>
                <w:szCs w:val="22"/>
              </w:rPr>
              <w:t>0.098</w:t>
            </w:r>
          </w:p>
        </w:tc>
        <w:tc>
          <w:tcPr>
            <w:tcW w:w="1202" w:type="dxa"/>
            <w:vAlign w:val="center"/>
          </w:tcPr>
          <w:p w14:paraId="37596962" w14:textId="2C010506" w:rsidR="00BA0745" w:rsidRDefault="00500622">
            <w:pPr>
              <w:spacing w:before="120" w:after="120"/>
              <w:jc w:val="center"/>
              <w:rPr>
                <w:sz w:val="22"/>
                <w:szCs w:val="22"/>
              </w:rPr>
            </w:pPr>
            <w:r w:rsidRPr="00500622">
              <w:rPr>
                <w:sz w:val="22"/>
                <w:szCs w:val="22"/>
              </w:rPr>
              <w:t>−2.45</w:t>
            </w:r>
          </w:p>
        </w:tc>
        <w:tc>
          <w:tcPr>
            <w:tcW w:w="1406" w:type="dxa"/>
            <w:vAlign w:val="center"/>
          </w:tcPr>
          <w:p w14:paraId="7C2C9C88" w14:textId="77777777" w:rsidR="00BA0745" w:rsidRDefault="00000000">
            <w:pPr>
              <w:spacing w:before="120" w:after="120"/>
              <w:jc w:val="center"/>
              <w:rPr>
                <w:sz w:val="22"/>
                <w:szCs w:val="22"/>
              </w:rPr>
            </w:pPr>
            <w:r>
              <w:rPr>
                <w:sz w:val="22"/>
                <w:szCs w:val="22"/>
              </w:rPr>
              <w:t>0.040</w:t>
            </w:r>
          </w:p>
        </w:tc>
      </w:tr>
      <w:tr w:rsidR="00BA0745" w14:paraId="24F96127" w14:textId="77777777">
        <w:tc>
          <w:tcPr>
            <w:tcW w:w="540" w:type="dxa"/>
            <w:vAlign w:val="center"/>
          </w:tcPr>
          <w:p w14:paraId="394514CE" w14:textId="77777777" w:rsidR="00BA0745" w:rsidRDefault="00000000">
            <w:pPr>
              <w:spacing w:before="120" w:after="120"/>
              <w:jc w:val="center"/>
              <w:rPr>
                <w:sz w:val="22"/>
                <w:szCs w:val="22"/>
              </w:rPr>
            </w:pPr>
            <w:r>
              <w:rPr>
                <w:sz w:val="22"/>
                <w:szCs w:val="22"/>
              </w:rPr>
              <w:t>8</w:t>
            </w:r>
          </w:p>
        </w:tc>
        <w:tc>
          <w:tcPr>
            <w:tcW w:w="1595" w:type="dxa"/>
            <w:vAlign w:val="center"/>
          </w:tcPr>
          <w:p w14:paraId="2A3BEB38" w14:textId="77777777" w:rsidR="00BA0745" w:rsidRDefault="00000000">
            <w:pPr>
              <w:spacing w:before="120" w:after="120"/>
              <w:jc w:val="center"/>
              <w:rPr>
                <w:sz w:val="22"/>
                <w:szCs w:val="22"/>
              </w:rPr>
            </w:pPr>
            <w:r>
              <w:rPr>
                <w:sz w:val="22"/>
                <w:szCs w:val="22"/>
              </w:rPr>
              <w:t>Quality change</w:t>
            </w:r>
          </w:p>
        </w:tc>
        <w:tc>
          <w:tcPr>
            <w:tcW w:w="1694" w:type="dxa"/>
            <w:vAlign w:val="center"/>
          </w:tcPr>
          <w:p w14:paraId="57BB88A7" w14:textId="77777777" w:rsidR="00BA0745" w:rsidRDefault="00000000">
            <w:pPr>
              <w:spacing w:before="120" w:after="120"/>
              <w:jc w:val="center"/>
              <w:rPr>
                <w:sz w:val="22"/>
                <w:szCs w:val="22"/>
              </w:rPr>
            </w:pPr>
            <w:r>
              <w:rPr>
                <w:sz w:val="22"/>
                <w:szCs w:val="22"/>
              </w:rPr>
              <w:t>2.051</w:t>
            </w:r>
          </w:p>
        </w:tc>
        <w:tc>
          <w:tcPr>
            <w:tcW w:w="1744" w:type="dxa"/>
            <w:vAlign w:val="center"/>
          </w:tcPr>
          <w:p w14:paraId="5076492E" w14:textId="77777777" w:rsidR="00BA0745" w:rsidRDefault="00000000">
            <w:pPr>
              <w:spacing w:before="120" w:after="120"/>
              <w:jc w:val="center"/>
              <w:rPr>
                <w:sz w:val="22"/>
                <w:szCs w:val="22"/>
              </w:rPr>
            </w:pPr>
            <w:r>
              <w:rPr>
                <w:sz w:val="22"/>
                <w:szCs w:val="22"/>
              </w:rPr>
              <w:t>2.142</w:t>
            </w:r>
          </w:p>
        </w:tc>
        <w:tc>
          <w:tcPr>
            <w:tcW w:w="1179" w:type="dxa"/>
            <w:vAlign w:val="center"/>
          </w:tcPr>
          <w:p w14:paraId="64E253BC" w14:textId="77777777" w:rsidR="00BA0745" w:rsidRDefault="00000000">
            <w:pPr>
              <w:spacing w:before="120" w:after="120"/>
              <w:jc w:val="center"/>
              <w:rPr>
                <w:sz w:val="22"/>
                <w:szCs w:val="22"/>
              </w:rPr>
            </w:pPr>
            <w:r>
              <w:rPr>
                <w:sz w:val="22"/>
                <w:szCs w:val="22"/>
              </w:rPr>
              <w:t>0.091</w:t>
            </w:r>
          </w:p>
        </w:tc>
        <w:tc>
          <w:tcPr>
            <w:tcW w:w="1202" w:type="dxa"/>
            <w:vAlign w:val="center"/>
          </w:tcPr>
          <w:p w14:paraId="59B32DF5" w14:textId="14C862AD" w:rsidR="00BA0745" w:rsidRDefault="00500622">
            <w:pPr>
              <w:spacing w:before="120" w:after="120"/>
              <w:jc w:val="center"/>
              <w:rPr>
                <w:sz w:val="22"/>
                <w:szCs w:val="22"/>
              </w:rPr>
            </w:pPr>
            <w:r w:rsidRPr="00500622">
              <w:rPr>
                <w:sz w:val="22"/>
                <w:szCs w:val="22"/>
              </w:rPr>
              <w:t>−2.28</w:t>
            </w:r>
          </w:p>
        </w:tc>
        <w:tc>
          <w:tcPr>
            <w:tcW w:w="1406" w:type="dxa"/>
            <w:vAlign w:val="center"/>
          </w:tcPr>
          <w:p w14:paraId="49F707F7" w14:textId="77777777" w:rsidR="00BA0745" w:rsidRDefault="00000000">
            <w:pPr>
              <w:spacing w:before="120" w:after="120"/>
              <w:jc w:val="center"/>
              <w:rPr>
                <w:sz w:val="22"/>
                <w:szCs w:val="22"/>
              </w:rPr>
            </w:pPr>
            <w:r>
              <w:rPr>
                <w:sz w:val="22"/>
                <w:szCs w:val="22"/>
              </w:rPr>
              <w:t>0.071</w:t>
            </w:r>
          </w:p>
        </w:tc>
      </w:tr>
      <w:tr w:rsidR="00BA0745" w14:paraId="3BF5DA56" w14:textId="77777777">
        <w:tc>
          <w:tcPr>
            <w:tcW w:w="540" w:type="dxa"/>
            <w:vAlign w:val="center"/>
          </w:tcPr>
          <w:p w14:paraId="0E10E784" w14:textId="77777777" w:rsidR="00BA0745" w:rsidRDefault="00000000">
            <w:pPr>
              <w:spacing w:before="120" w:after="120"/>
              <w:jc w:val="center"/>
              <w:rPr>
                <w:sz w:val="22"/>
                <w:szCs w:val="22"/>
              </w:rPr>
            </w:pPr>
            <w:r>
              <w:rPr>
                <w:sz w:val="22"/>
                <w:szCs w:val="22"/>
              </w:rPr>
              <w:t>9</w:t>
            </w:r>
          </w:p>
        </w:tc>
        <w:tc>
          <w:tcPr>
            <w:tcW w:w="1595" w:type="dxa"/>
            <w:vAlign w:val="center"/>
          </w:tcPr>
          <w:p w14:paraId="398E7E55" w14:textId="77777777" w:rsidR="00BA0745" w:rsidRDefault="00000000">
            <w:pPr>
              <w:spacing w:before="120" w:after="120"/>
              <w:jc w:val="center"/>
              <w:rPr>
                <w:sz w:val="22"/>
                <w:szCs w:val="22"/>
              </w:rPr>
            </w:pPr>
            <w:r>
              <w:rPr>
                <w:sz w:val="22"/>
                <w:szCs w:val="22"/>
              </w:rPr>
              <w:t>Disruption notice</w:t>
            </w:r>
          </w:p>
        </w:tc>
        <w:tc>
          <w:tcPr>
            <w:tcW w:w="1694" w:type="dxa"/>
            <w:vAlign w:val="center"/>
          </w:tcPr>
          <w:p w14:paraId="2A915261" w14:textId="77777777" w:rsidR="00BA0745" w:rsidRDefault="00000000">
            <w:pPr>
              <w:spacing w:before="120" w:after="120"/>
              <w:jc w:val="center"/>
              <w:rPr>
                <w:sz w:val="22"/>
                <w:szCs w:val="22"/>
              </w:rPr>
            </w:pPr>
            <w:r>
              <w:rPr>
                <w:sz w:val="22"/>
                <w:szCs w:val="22"/>
              </w:rPr>
              <w:t>2.065</w:t>
            </w:r>
          </w:p>
        </w:tc>
        <w:tc>
          <w:tcPr>
            <w:tcW w:w="1744" w:type="dxa"/>
            <w:vAlign w:val="center"/>
          </w:tcPr>
          <w:p w14:paraId="2412225D" w14:textId="77777777" w:rsidR="00BA0745" w:rsidRDefault="00000000">
            <w:pPr>
              <w:spacing w:before="120" w:after="120"/>
              <w:jc w:val="center"/>
              <w:rPr>
                <w:sz w:val="22"/>
                <w:szCs w:val="22"/>
              </w:rPr>
            </w:pPr>
            <w:r>
              <w:rPr>
                <w:sz w:val="22"/>
                <w:szCs w:val="22"/>
              </w:rPr>
              <w:t>2.153</w:t>
            </w:r>
          </w:p>
        </w:tc>
        <w:tc>
          <w:tcPr>
            <w:tcW w:w="1179" w:type="dxa"/>
            <w:vAlign w:val="center"/>
          </w:tcPr>
          <w:p w14:paraId="66BD1C6E" w14:textId="77777777" w:rsidR="00BA0745" w:rsidRDefault="00000000">
            <w:pPr>
              <w:spacing w:before="120" w:after="120"/>
              <w:jc w:val="center"/>
              <w:rPr>
                <w:sz w:val="22"/>
                <w:szCs w:val="22"/>
              </w:rPr>
            </w:pPr>
            <w:r>
              <w:rPr>
                <w:sz w:val="22"/>
                <w:szCs w:val="22"/>
              </w:rPr>
              <w:t>0.088</w:t>
            </w:r>
          </w:p>
        </w:tc>
        <w:tc>
          <w:tcPr>
            <w:tcW w:w="1202" w:type="dxa"/>
            <w:vAlign w:val="center"/>
          </w:tcPr>
          <w:p w14:paraId="7FF88F35" w14:textId="1E789D3C" w:rsidR="00BA0745" w:rsidRDefault="00500622">
            <w:pPr>
              <w:spacing w:before="120" w:after="120"/>
              <w:jc w:val="center"/>
              <w:rPr>
                <w:sz w:val="22"/>
                <w:szCs w:val="22"/>
              </w:rPr>
            </w:pPr>
            <w:r w:rsidRPr="00500622">
              <w:rPr>
                <w:sz w:val="22"/>
                <w:szCs w:val="22"/>
              </w:rPr>
              <w:t>−2.20</w:t>
            </w:r>
          </w:p>
        </w:tc>
        <w:tc>
          <w:tcPr>
            <w:tcW w:w="1406" w:type="dxa"/>
            <w:vAlign w:val="center"/>
          </w:tcPr>
          <w:p w14:paraId="7D9AEFFE" w14:textId="77777777" w:rsidR="00BA0745" w:rsidRDefault="00000000">
            <w:pPr>
              <w:spacing w:before="120" w:after="120"/>
              <w:jc w:val="center"/>
              <w:rPr>
                <w:sz w:val="22"/>
                <w:szCs w:val="22"/>
              </w:rPr>
            </w:pPr>
            <w:r>
              <w:rPr>
                <w:sz w:val="22"/>
                <w:szCs w:val="22"/>
              </w:rPr>
              <w:t>0.043</w:t>
            </w:r>
          </w:p>
        </w:tc>
      </w:tr>
      <w:tr w:rsidR="00BA0745" w14:paraId="2C72C51C" w14:textId="77777777">
        <w:tc>
          <w:tcPr>
            <w:tcW w:w="540" w:type="dxa"/>
            <w:tcBorders>
              <w:bottom w:val="single" w:sz="4" w:space="0" w:color="000000"/>
            </w:tcBorders>
            <w:vAlign w:val="center"/>
          </w:tcPr>
          <w:p w14:paraId="61C5E0D8" w14:textId="77777777" w:rsidR="00BA0745" w:rsidRDefault="00000000">
            <w:pPr>
              <w:spacing w:before="120" w:after="120"/>
              <w:jc w:val="center"/>
              <w:rPr>
                <w:sz w:val="22"/>
                <w:szCs w:val="22"/>
              </w:rPr>
            </w:pPr>
            <w:r>
              <w:rPr>
                <w:sz w:val="22"/>
                <w:szCs w:val="22"/>
              </w:rPr>
              <w:t>10</w:t>
            </w:r>
          </w:p>
        </w:tc>
        <w:tc>
          <w:tcPr>
            <w:tcW w:w="1595" w:type="dxa"/>
            <w:tcBorders>
              <w:bottom w:val="single" w:sz="4" w:space="0" w:color="000000"/>
            </w:tcBorders>
            <w:vAlign w:val="center"/>
          </w:tcPr>
          <w:p w14:paraId="7F4FA2DE" w14:textId="77777777" w:rsidR="00BA0745" w:rsidRDefault="00000000">
            <w:pPr>
              <w:spacing w:before="120" w:after="120"/>
              <w:jc w:val="center"/>
              <w:rPr>
                <w:sz w:val="22"/>
                <w:szCs w:val="22"/>
              </w:rPr>
            </w:pPr>
            <w:r>
              <w:rPr>
                <w:sz w:val="22"/>
                <w:szCs w:val="22"/>
              </w:rPr>
              <w:t>Backup reliability</w:t>
            </w:r>
          </w:p>
        </w:tc>
        <w:tc>
          <w:tcPr>
            <w:tcW w:w="1694" w:type="dxa"/>
            <w:tcBorders>
              <w:bottom w:val="single" w:sz="4" w:space="0" w:color="000000"/>
            </w:tcBorders>
            <w:vAlign w:val="center"/>
          </w:tcPr>
          <w:p w14:paraId="2D282E23" w14:textId="77777777" w:rsidR="00BA0745" w:rsidRDefault="00000000">
            <w:pPr>
              <w:spacing w:before="120" w:after="120"/>
              <w:jc w:val="center"/>
              <w:rPr>
                <w:sz w:val="22"/>
                <w:szCs w:val="22"/>
              </w:rPr>
            </w:pPr>
            <w:r>
              <w:rPr>
                <w:sz w:val="22"/>
                <w:szCs w:val="22"/>
              </w:rPr>
              <w:t>2.056</w:t>
            </w:r>
          </w:p>
        </w:tc>
        <w:tc>
          <w:tcPr>
            <w:tcW w:w="1744" w:type="dxa"/>
            <w:tcBorders>
              <w:bottom w:val="single" w:sz="4" w:space="0" w:color="000000"/>
            </w:tcBorders>
            <w:vAlign w:val="center"/>
          </w:tcPr>
          <w:p w14:paraId="797EC88E" w14:textId="77777777" w:rsidR="00BA0745" w:rsidRDefault="00000000">
            <w:pPr>
              <w:spacing w:before="120" w:after="120"/>
              <w:jc w:val="center"/>
              <w:rPr>
                <w:sz w:val="22"/>
                <w:szCs w:val="22"/>
              </w:rPr>
            </w:pPr>
            <w:r>
              <w:rPr>
                <w:sz w:val="22"/>
                <w:szCs w:val="22"/>
              </w:rPr>
              <w:t>2.139</w:t>
            </w:r>
          </w:p>
        </w:tc>
        <w:tc>
          <w:tcPr>
            <w:tcW w:w="1179" w:type="dxa"/>
            <w:tcBorders>
              <w:bottom w:val="single" w:sz="4" w:space="0" w:color="000000"/>
            </w:tcBorders>
            <w:vAlign w:val="center"/>
          </w:tcPr>
          <w:p w14:paraId="0FE0F99B" w14:textId="77777777" w:rsidR="00BA0745" w:rsidRDefault="00000000">
            <w:pPr>
              <w:spacing w:before="120" w:after="120"/>
              <w:jc w:val="center"/>
              <w:rPr>
                <w:sz w:val="22"/>
                <w:szCs w:val="22"/>
              </w:rPr>
            </w:pPr>
            <w:r>
              <w:rPr>
                <w:sz w:val="22"/>
                <w:szCs w:val="22"/>
              </w:rPr>
              <w:t>0.083</w:t>
            </w:r>
          </w:p>
        </w:tc>
        <w:tc>
          <w:tcPr>
            <w:tcW w:w="1202" w:type="dxa"/>
            <w:tcBorders>
              <w:bottom w:val="single" w:sz="4" w:space="0" w:color="000000"/>
            </w:tcBorders>
            <w:vAlign w:val="center"/>
          </w:tcPr>
          <w:p w14:paraId="44D4791D" w14:textId="498923E1" w:rsidR="00BA0745" w:rsidRDefault="00500622">
            <w:pPr>
              <w:spacing w:before="120" w:after="120"/>
              <w:jc w:val="center"/>
              <w:rPr>
                <w:sz w:val="22"/>
                <w:szCs w:val="22"/>
              </w:rPr>
            </w:pPr>
            <w:r w:rsidRPr="00500622">
              <w:rPr>
                <w:sz w:val="22"/>
                <w:szCs w:val="22"/>
              </w:rPr>
              <w:t>−2.07</w:t>
            </w:r>
          </w:p>
        </w:tc>
        <w:tc>
          <w:tcPr>
            <w:tcW w:w="1406" w:type="dxa"/>
            <w:tcBorders>
              <w:bottom w:val="single" w:sz="4" w:space="0" w:color="000000"/>
            </w:tcBorders>
            <w:vAlign w:val="center"/>
          </w:tcPr>
          <w:p w14:paraId="26372427" w14:textId="77777777" w:rsidR="00BA0745" w:rsidRDefault="00000000">
            <w:pPr>
              <w:spacing w:before="120" w:after="120"/>
              <w:jc w:val="center"/>
              <w:rPr>
                <w:sz w:val="22"/>
                <w:szCs w:val="22"/>
              </w:rPr>
            </w:pPr>
            <w:r>
              <w:rPr>
                <w:sz w:val="22"/>
                <w:szCs w:val="22"/>
              </w:rPr>
              <w:t>0.064</w:t>
            </w:r>
          </w:p>
        </w:tc>
      </w:tr>
    </w:tbl>
    <w:p w14:paraId="4A008DF3" w14:textId="77777777" w:rsidR="00BA0745" w:rsidRDefault="00000000">
      <w:pPr>
        <w:spacing w:before="120" w:after="120"/>
        <w:jc w:val="both"/>
        <w:rPr>
          <w:sz w:val="22"/>
          <w:szCs w:val="22"/>
        </w:rPr>
      </w:pPr>
      <w:r>
        <w:rPr>
          <w:b/>
          <w:bCs/>
          <w:sz w:val="22"/>
          <w:szCs w:val="22"/>
        </w:rPr>
        <w:t>Note.</w:t>
      </w:r>
      <w:r>
        <w:rPr>
          <w:sz w:val="22"/>
          <w:szCs w:val="22"/>
        </w:rPr>
        <w:t xml:space="preserve"> The 0–100 equivalent reverses the raw severity direction because higher 0–100 WSQS values indicate better service quality. Therefore, a negative 0–100 equivalent means predicted WSQS decreases as the service condition worsens. A positive 0–100 equivalent means predicted WSQS increases across the selected endpoint comparison; this usually indicates a non-monotonic or category-specific pattern, so the variable should be interpreted from the full response curve rather than from the endpoint contrast alone.</w:t>
      </w:r>
    </w:p>
    <w:p w14:paraId="125287C2" w14:textId="77777777" w:rsidR="00BA0745" w:rsidRDefault="00000000">
      <w:pPr>
        <w:spacing w:before="120" w:after="120"/>
        <w:jc w:val="both"/>
        <w:rPr>
          <w:b/>
          <w:bCs/>
          <w:sz w:val="22"/>
          <w:szCs w:val="22"/>
        </w:rPr>
      </w:pPr>
      <w:r>
        <w:rPr>
          <w:b/>
          <w:bCs/>
          <w:sz w:val="22"/>
          <w:szCs w:val="22"/>
        </w:rPr>
        <w:t>S3.5. Supporting figure for nonlinear model interpretation.</w:t>
      </w:r>
    </w:p>
    <w:p w14:paraId="032EE736" w14:textId="77777777" w:rsidR="00BA0745" w:rsidRDefault="00000000">
      <w:pPr>
        <w:spacing w:before="120" w:after="120"/>
        <w:jc w:val="both"/>
        <w:rPr>
          <w:sz w:val="22"/>
          <w:szCs w:val="22"/>
        </w:rPr>
      </w:pPr>
      <w:r>
        <w:rPr>
          <w:b/>
          <w:bCs/>
          <w:sz w:val="22"/>
          <w:szCs w:val="22"/>
        </w:rPr>
        <w:t xml:space="preserve">Supplementary Figure S5. </w:t>
      </w:r>
      <w:r>
        <w:rPr>
          <w:sz w:val="22"/>
          <w:szCs w:val="22"/>
        </w:rPr>
        <w:t>Full nonlinear service-response curves for selected top service-support variables.</w:t>
      </w:r>
    </w:p>
    <w:p w14:paraId="3968ABE7" w14:textId="77777777" w:rsidR="00BA0745" w:rsidRDefault="00000000">
      <w:pPr>
        <w:spacing w:before="120" w:after="120"/>
        <w:jc w:val="center"/>
        <w:rPr>
          <w:sz w:val="22"/>
          <w:szCs w:val="22"/>
        </w:rPr>
      </w:pPr>
      <w:r>
        <w:rPr>
          <w:noProof/>
          <w:sz w:val="22"/>
          <w:szCs w:val="22"/>
        </w:rPr>
        <w:lastRenderedPageBreak/>
        <w:drawing>
          <wp:inline distT="0" distB="0" distL="0" distR="0" wp14:anchorId="7337A0D1" wp14:editId="38216265">
            <wp:extent cx="5638800" cy="7594600"/>
            <wp:effectExtent l="0" t="0" r="0" b="0"/>
            <wp:docPr id="173559666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5638800" cy="7594600"/>
                    </a:xfrm>
                    <a:prstGeom prst="rect">
                      <a:avLst/>
                    </a:prstGeom>
                    <a:ln/>
                  </pic:spPr>
                </pic:pic>
              </a:graphicData>
            </a:graphic>
          </wp:inline>
        </w:drawing>
      </w:r>
    </w:p>
    <w:p w14:paraId="7F9799FA" w14:textId="77777777" w:rsidR="00BA0745" w:rsidRDefault="00000000">
      <w:pPr>
        <w:spacing w:before="120" w:after="120"/>
        <w:rPr>
          <w:sz w:val="22"/>
          <w:szCs w:val="22"/>
        </w:rPr>
      </w:pPr>
      <w:r>
        <w:rPr>
          <w:sz w:val="22"/>
          <w:szCs w:val="22"/>
        </w:rPr>
        <w:t xml:space="preserve">This figure extends the nonlinear-response analysis to additional service-support variables, including pressure, value for money, appearance acceptability, water clarity, shortage experience, quality change, </w:t>
      </w:r>
      <w:r>
        <w:rPr>
          <w:sz w:val="22"/>
          <w:szCs w:val="22"/>
        </w:rPr>
        <w:lastRenderedPageBreak/>
        <w:t>disruption notice, and backup reliability. Values are plotted on the 0–100 reporting scale, with higher values indicating better predicted service quality.</w:t>
      </w:r>
    </w:p>
    <w:p w14:paraId="75FB1396" w14:textId="77777777" w:rsidR="00BA0745" w:rsidRDefault="00000000">
      <w:pPr>
        <w:spacing w:before="120" w:after="120"/>
        <w:jc w:val="both"/>
        <w:rPr>
          <w:b/>
          <w:bCs/>
          <w:sz w:val="22"/>
          <w:szCs w:val="22"/>
        </w:rPr>
      </w:pPr>
      <w:r>
        <w:rPr>
          <w:b/>
          <w:bCs/>
          <w:sz w:val="22"/>
          <w:szCs w:val="22"/>
        </w:rPr>
        <w:t>S3.6. Interpretation safeguards</w:t>
      </w:r>
    </w:p>
    <w:p w14:paraId="3C2B66CA" w14:textId="77777777" w:rsidR="00BA0745" w:rsidRDefault="00000000">
      <w:pPr>
        <w:spacing w:before="120" w:after="120"/>
        <w:jc w:val="both"/>
        <w:rPr>
          <w:sz w:val="22"/>
          <w:szCs w:val="22"/>
        </w:rPr>
      </w:pPr>
      <w:r>
        <w:rPr>
          <w:sz w:val="22"/>
          <w:szCs w:val="22"/>
        </w:rPr>
        <w:t>We used SHAP, priority-conditioned, and nonlinear-response analyses as predictive interpretation tools. They were not employed to identify any causal effects. Several safeguards were used to limit overinterpretation.</w:t>
      </w:r>
    </w:p>
    <w:p w14:paraId="6813329D" w14:textId="77777777" w:rsidR="00BA0745" w:rsidRDefault="00000000">
      <w:pPr>
        <w:spacing w:before="120" w:after="120"/>
        <w:jc w:val="both"/>
        <w:rPr>
          <w:sz w:val="22"/>
          <w:szCs w:val="22"/>
        </w:rPr>
      </w:pPr>
      <w:r>
        <w:rPr>
          <w:sz w:val="22"/>
          <w:szCs w:val="22"/>
        </w:rPr>
        <w:t>First, CORE-8 outcome-construction items were excluded from predictors. Second, the primary outcome was equal-weight WSQS, so stated priorities were not embedded in the dependent variable. Third, we interpreted grouped SHAP as block-level predictive attribution rather than a per-variable causal effect. Fourth, priority-conditioned curves were interpreted as model-based heterogeneity rather than causal preference interactions. Finally, we used nonlinear response curves to identify nonlinear or category-specific predictive patterns, not to estimate structural dose-response effects.</w:t>
      </w:r>
    </w:p>
    <w:p w14:paraId="4389AC11" w14:textId="77777777" w:rsidR="00BA0745" w:rsidRDefault="00000000">
      <w:pPr>
        <w:spacing w:before="120" w:after="120"/>
        <w:jc w:val="both"/>
        <w:rPr>
          <w:sz w:val="22"/>
          <w:szCs w:val="22"/>
        </w:rPr>
      </w:pPr>
      <w:r>
        <w:rPr>
          <w:sz w:val="22"/>
          <w:szCs w:val="22"/>
        </w:rPr>
        <w:t>Together, these safeguards support the central interpretation that operational and institutional service-support conditions carry most of the predictable information in WSQS, while household context and stated priorities add smaller, nonzero, and interpretable contributions.</w:t>
      </w:r>
    </w:p>
    <w:p w14:paraId="139AEBC2" w14:textId="77777777" w:rsidR="00BA0745" w:rsidRDefault="00000000">
      <w:pPr>
        <w:spacing w:before="120" w:after="120"/>
        <w:jc w:val="both"/>
        <w:rPr>
          <w:b/>
          <w:bCs/>
          <w:sz w:val="22"/>
          <w:szCs w:val="22"/>
        </w:rPr>
      </w:pPr>
      <w:r>
        <w:rPr>
          <w:b/>
          <w:bCs/>
          <w:sz w:val="22"/>
          <w:szCs w:val="22"/>
        </w:rPr>
        <w:t>S3.7. Survey-question map, QID roles, and modeling use</w:t>
      </w:r>
    </w:p>
    <w:p w14:paraId="39533450" w14:textId="77777777" w:rsidR="00BA0745" w:rsidRDefault="00000000">
      <w:pPr>
        <w:spacing w:before="120" w:after="120"/>
        <w:jc w:val="both"/>
        <w:rPr>
          <w:sz w:val="22"/>
          <w:szCs w:val="22"/>
        </w:rPr>
      </w:pPr>
      <w:r>
        <w:rPr>
          <w:sz w:val="22"/>
          <w:szCs w:val="22"/>
        </w:rPr>
        <w:t>The following table documents all survey questions referenced in WSQS construction, predictor screening, diagnostic tests, model interpretation, and robustness checks. Question wording is given in standardized English using the final cleaned question-book wording and response anchors. CORE-8 WSQS construction items were used to construct the primary equal-weight WSQS outcome and were excluded from all predictor sets. Diagnostic service-support variables, context variables, and stated-priority variables were used only as predictors or sensitivity variables, as indicated.</w:t>
      </w:r>
    </w:p>
    <w:p w14:paraId="480ABBCD" w14:textId="77777777" w:rsidR="00BA0745" w:rsidRDefault="00000000">
      <w:pPr>
        <w:spacing w:before="120" w:after="120"/>
        <w:jc w:val="both"/>
        <w:rPr>
          <w:sz w:val="22"/>
          <w:szCs w:val="22"/>
        </w:rPr>
      </w:pPr>
      <w:r>
        <w:rPr>
          <w:b/>
          <w:bCs/>
          <w:sz w:val="22"/>
          <w:szCs w:val="22"/>
        </w:rPr>
        <w:t xml:space="preserve">Supplementary Table S15. </w:t>
      </w:r>
      <w:r>
        <w:rPr>
          <w:sz w:val="22"/>
          <w:szCs w:val="22"/>
        </w:rPr>
        <w:t>Survey-question map.</w:t>
      </w:r>
    </w:p>
    <w:tbl>
      <w:tblPr>
        <w:tblStyle w:val="afe"/>
        <w:tblW w:w="9360" w:type="dxa"/>
        <w:tblLayout w:type="fixed"/>
        <w:tblLook w:val="0400" w:firstRow="0" w:lastRow="0" w:firstColumn="0" w:lastColumn="0" w:noHBand="0" w:noVBand="1"/>
      </w:tblPr>
      <w:tblGrid>
        <w:gridCol w:w="729"/>
        <w:gridCol w:w="1782"/>
        <w:gridCol w:w="2634"/>
        <w:gridCol w:w="2117"/>
        <w:gridCol w:w="2098"/>
      </w:tblGrid>
      <w:tr w:rsidR="00BA0745" w14:paraId="5FB6FAA8" w14:textId="77777777">
        <w:tc>
          <w:tcPr>
            <w:tcW w:w="729" w:type="dxa"/>
            <w:tcBorders>
              <w:top w:val="single" w:sz="4" w:space="0" w:color="000000"/>
              <w:bottom w:val="single" w:sz="4" w:space="0" w:color="000000"/>
            </w:tcBorders>
            <w:vAlign w:val="center"/>
          </w:tcPr>
          <w:p w14:paraId="5ED38009" w14:textId="77777777" w:rsidR="00BA0745" w:rsidRDefault="00000000">
            <w:pPr>
              <w:spacing w:before="120" w:after="120"/>
              <w:jc w:val="center"/>
              <w:rPr>
                <w:sz w:val="22"/>
                <w:szCs w:val="22"/>
              </w:rPr>
            </w:pPr>
            <w:r>
              <w:rPr>
                <w:sz w:val="22"/>
                <w:szCs w:val="22"/>
              </w:rPr>
              <w:t>QID</w:t>
            </w:r>
          </w:p>
        </w:tc>
        <w:tc>
          <w:tcPr>
            <w:tcW w:w="1782" w:type="dxa"/>
            <w:tcBorders>
              <w:top w:val="single" w:sz="4" w:space="0" w:color="000000"/>
              <w:bottom w:val="single" w:sz="4" w:space="0" w:color="000000"/>
            </w:tcBorders>
            <w:vAlign w:val="center"/>
          </w:tcPr>
          <w:p w14:paraId="72E3CDEE" w14:textId="77777777" w:rsidR="00BA0745" w:rsidRDefault="00000000">
            <w:pPr>
              <w:spacing w:before="120" w:after="120"/>
              <w:jc w:val="center"/>
              <w:rPr>
                <w:sz w:val="22"/>
                <w:szCs w:val="22"/>
              </w:rPr>
            </w:pPr>
            <w:r>
              <w:rPr>
                <w:sz w:val="22"/>
                <w:szCs w:val="22"/>
              </w:rPr>
              <w:t>Standardized survey question wording</w:t>
            </w:r>
          </w:p>
        </w:tc>
        <w:tc>
          <w:tcPr>
            <w:tcW w:w="2634" w:type="dxa"/>
            <w:tcBorders>
              <w:top w:val="single" w:sz="4" w:space="0" w:color="000000"/>
              <w:bottom w:val="single" w:sz="4" w:space="0" w:color="000000"/>
            </w:tcBorders>
            <w:vAlign w:val="center"/>
          </w:tcPr>
          <w:p w14:paraId="28601C8C" w14:textId="77777777" w:rsidR="00BA0745" w:rsidRDefault="00000000">
            <w:pPr>
              <w:spacing w:before="120" w:after="120"/>
              <w:jc w:val="center"/>
              <w:rPr>
                <w:sz w:val="22"/>
                <w:szCs w:val="22"/>
              </w:rPr>
            </w:pPr>
            <w:r>
              <w:rPr>
                <w:sz w:val="22"/>
                <w:szCs w:val="22"/>
              </w:rPr>
              <w:t>Response scale / response anchors</w:t>
            </w:r>
          </w:p>
        </w:tc>
        <w:tc>
          <w:tcPr>
            <w:tcW w:w="2117" w:type="dxa"/>
            <w:tcBorders>
              <w:top w:val="single" w:sz="4" w:space="0" w:color="000000"/>
              <w:bottom w:val="single" w:sz="4" w:space="0" w:color="000000"/>
            </w:tcBorders>
            <w:vAlign w:val="center"/>
          </w:tcPr>
          <w:p w14:paraId="0A33EEB8" w14:textId="77777777" w:rsidR="00BA0745" w:rsidRDefault="00000000">
            <w:pPr>
              <w:spacing w:before="120" w:after="120"/>
              <w:jc w:val="center"/>
              <w:rPr>
                <w:sz w:val="22"/>
                <w:szCs w:val="22"/>
              </w:rPr>
            </w:pPr>
            <w:r>
              <w:rPr>
                <w:sz w:val="22"/>
                <w:szCs w:val="22"/>
              </w:rPr>
              <w:t>Domain / construct</w:t>
            </w:r>
          </w:p>
        </w:tc>
        <w:tc>
          <w:tcPr>
            <w:tcW w:w="2098" w:type="dxa"/>
            <w:tcBorders>
              <w:top w:val="single" w:sz="4" w:space="0" w:color="000000"/>
              <w:bottom w:val="single" w:sz="4" w:space="0" w:color="000000"/>
            </w:tcBorders>
            <w:vAlign w:val="center"/>
          </w:tcPr>
          <w:p w14:paraId="0559C3BE" w14:textId="77777777" w:rsidR="00BA0745" w:rsidRDefault="00000000">
            <w:pPr>
              <w:spacing w:before="120" w:after="120"/>
              <w:jc w:val="center"/>
              <w:rPr>
                <w:sz w:val="22"/>
                <w:szCs w:val="22"/>
              </w:rPr>
            </w:pPr>
            <w:r>
              <w:rPr>
                <w:sz w:val="22"/>
                <w:szCs w:val="22"/>
              </w:rPr>
              <w:t>Corrected analysis role</w:t>
            </w:r>
          </w:p>
        </w:tc>
      </w:tr>
      <w:tr w:rsidR="00BA0745" w14:paraId="4D79CD85" w14:textId="77777777">
        <w:tc>
          <w:tcPr>
            <w:tcW w:w="729" w:type="dxa"/>
            <w:vAlign w:val="center"/>
          </w:tcPr>
          <w:p w14:paraId="09BAE670" w14:textId="77777777" w:rsidR="00BA0745" w:rsidRDefault="00000000">
            <w:pPr>
              <w:spacing w:before="120" w:after="120"/>
              <w:jc w:val="center"/>
              <w:rPr>
                <w:sz w:val="22"/>
                <w:szCs w:val="22"/>
              </w:rPr>
            </w:pPr>
            <w:r>
              <w:rPr>
                <w:sz w:val="22"/>
                <w:szCs w:val="22"/>
              </w:rPr>
              <w:t>Q1.1</w:t>
            </w:r>
          </w:p>
        </w:tc>
        <w:tc>
          <w:tcPr>
            <w:tcW w:w="1782" w:type="dxa"/>
            <w:vAlign w:val="center"/>
          </w:tcPr>
          <w:p w14:paraId="6226FD46" w14:textId="77777777" w:rsidR="00BA0745" w:rsidRDefault="00000000">
            <w:pPr>
              <w:spacing w:before="120" w:after="120"/>
              <w:jc w:val="center"/>
              <w:rPr>
                <w:sz w:val="22"/>
                <w:szCs w:val="22"/>
              </w:rPr>
            </w:pPr>
            <w:r>
              <w:rPr>
                <w:sz w:val="22"/>
                <w:szCs w:val="22"/>
              </w:rPr>
              <w:t>What is the main domestic water source or water-service arrangement used by your household?</w:t>
            </w:r>
          </w:p>
        </w:tc>
        <w:tc>
          <w:tcPr>
            <w:tcW w:w="2634" w:type="dxa"/>
            <w:vAlign w:val="center"/>
          </w:tcPr>
          <w:p w14:paraId="0CCF552D" w14:textId="77777777" w:rsidR="00BA0745" w:rsidRDefault="00000000">
            <w:pPr>
              <w:spacing w:before="120" w:after="120"/>
              <w:jc w:val="center"/>
              <w:rPr>
                <w:sz w:val="22"/>
                <w:szCs w:val="22"/>
              </w:rPr>
            </w:pPr>
            <w:r>
              <w:rPr>
                <w:sz w:val="22"/>
                <w:szCs w:val="22"/>
              </w:rPr>
              <w:t>Source/regime category, including municipality/corporation water, groundwater, tanker, commercial/canned water, and other sources</w:t>
            </w:r>
          </w:p>
        </w:tc>
        <w:tc>
          <w:tcPr>
            <w:tcW w:w="2117" w:type="dxa"/>
            <w:vAlign w:val="center"/>
          </w:tcPr>
          <w:p w14:paraId="090364A9" w14:textId="77777777" w:rsidR="00BA0745" w:rsidRDefault="00000000">
            <w:pPr>
              <w:spacing w:before="120" w:after="120"/>
              <w:jc w:val="center"/>
              <w:rPr>
                <w:sz w:val="22"/>
                <w:szCs w:val="22"/>
              </w:rPr>
            </w:pPr>
            <w:r>
              <w:rPr>
                <w:sz w:val="22"/>
                <w:szCs w:val="22"/>
              </w:rPr>
              <w:t>Source / regime</w:t>
            </w:r>
          </w:p>
        </w:tc>
        <w:tc>
          <w:tcPr>
            <w:tcW w:w="2098" w:type="dxa"/>
            <w:vAlign w:val="center"/>
          </w:tcPr>
          <w:p w14:paraId="62395B8B" w14:textId="77777777" w:rsidR="00BA0745" w:rsidRDefault="00000000">
            <w:pPr>
              <w:spacing w:before="120" w:after="120"/>
              <w:jc w:val="center"/>
              <w:rPr>
                <w:sz w:val="22"/>
                <w:szCs w:val="22"/>
              </w:rPr>
            </w:pPr>
            <w:r>
              <w:rPr>
                <w:sz w:val="22"/>
                <w:szCs w:val="22"/>
              </w:rPr>
              <w:t>Main household-context predictor</w:t>
            </w:r>
          </w:p>
        </w:tc>
      </w:tr>
      <w:tr w:rsidR="00BA0745" w14:paraId="65BC8701" w14:textId="77777777">
        <w:tc>
          <w:tcPr>
            <w:tcW w:w="729" w:type="dxa"/>
            <w:vAlign w:val="center"/>
          </w:tcPr>
          <w:p w14:paraId="54CE41FB" w14:textId="77777777" w:rsidR="00BA0745" w:rsidRDefault="00000000">
            <w:pPr>
              <w:spacing w:before="120" w:after="120"/>
              <w:jc w:val="center"/>
              <w:rPr>
                <w:sz w:val="22"/>
                <w:szCs w:val="22"/>
              </w:rPr>
            </w:pPr>
            <w:r>
              <w:rPr>
                <w:sz w:val="22"/>
                <w:szCs w:val="22"/>
              </w:rPr>
              <w:t>Q1.7</w:t>
            </w:r>
          </w:p>
        </w:tc>
        <w:tc>
          <w:tcPr>
            <w:tcW w:w="1782" w:type="dxa"/>
            <w:vAlign w:val="center"/>
          </w:tcPr>
          <w:p w14:paraId="07C60BC9" w14:textId="77777777" w:rsidR="00BA0745" w:rsidRDefault="00000000">
            <w:pPr>
              <w:spacing w:before="120" w:after="120"/>
              <w:jc w:val="center"/>
              <w:rPr>
                <w:sz w:val="22"/>
                <w:szCs w:val="22"/>
              </w:rPr>
            </w:pPr>
            <w:r>
              <w:rPr>
                <w:sz w:val="22"/>
                <w:szCs w:val="22"/>
              </w:rPr>
              <w:t>How important is overall water service quality to your household?</w:t>
            </w:r>
          </w:p>
        </w:tc>
        <w:tc>
          <w:tcPr>
            <w:tcW w:w="2634" w:type="dxa"/>
            <w:vAlign w:val="center"/>
          </w:tcPr>
          <w:p w14:paraId="53BECA14" w14:textId="77777777" w:rsidR="00BA0745" w:rsidRDefault="00000000">
            <w:pPr>
              <w:spacing w:before="120" w:after="120"/>
              <w:jc w:val="center"/>
              <w:rPr>
                <w:sz w:val="22"/>
                <w:szCs w:val="22"/>
              </w:rPr>
            </w:pPr>
            <w:r>
              <w:rPr>
                <w:sz w:val="22"/>
                <w:szCs w:val="22"/>
              </w:rPr>
              <w:t>Stated priority / preference item</w:t>
            </w:r>
          </w:p>
        </w:tc>
        <w:tc>
          <w:tcPr>
            <w:tcW w:w="2117" w:type="dxa"/>
            <w:vAlign w:val="center"/>
          </w:tcPr>
          <w:p w14:paraId="595B339C" w14:textId="77777777" w:rsidR="00BA0745" w:rsidRDefault="00000000">
            <w:pPr>
              <w:spacing w:before="120" w:after="120"/>
              <w:jc w:val="center"/>
              <w:rPr>
                <w:sz w:val="22"/>
                <w:szCs w:val="22"/>
              </w:rPr>
            </w:pPr>
            <w:r>
              <w:rPr>
                <w:sz w:val="22"/>
                <w:szCs w:val="22"/>
              </w:rPr>
              <w:t>Overall service priority</w:t>
            </w:r>
          </w:p>
        </w:tc>
        <w:tc>
          <w:tcPr>
            <w:tcW w:w="2098" w:type="dxa"/>
            <w:vAlign w:val="center"/>
          </w:tcPr>
          <w:p w14:paraId="1AD7D96A" w14:textId="77777777" w:rsidR="00BA0745" w:rsidRDefault="00000000">
            <w:pPr>
              <w:spacing w:before="120" w:after="120"/>
              <w:jc w:val="center"/>
              <w:rPr>
                <w:sz w:val="22"/>
                <w:szCs w:val="22"/>
              </w:rPr>
            </w:pPr>
            <w:r>
              <w:rPr>
                <w:sz w:val="22"/>
                <w:szCs w:val="22"/>
              </w:rPr>
              <w:t>Retained for sensitivity or descriptive use only; not part of corrected final M3 priority block</w:t>
            </w:r>
          </w:p>
        </w:tc>
      </w:tr>
      <w:tr w:rsidR="00BA0745" w14:paraId="6762F49F" w14:textId="77777777">
        <w:tc>
          <w:tcPr>
            <w:tcW w:w="729" w:type="dxa"/>
            <w:vAlign w:val="center"/>
          </w:tcPr>
          <w:p w14:paraId="0C9426DB" w14:textId="77777777" w:rsidR="00BA0745" w:rsidRDefault="00000000">
            <w:pPr>
              <w:spacing w:before="120" w:after="120"/>
              <w:jc w:val="center"/>
              <w:rPr>
                <w:sz w:val="22"/>
                <w:szCs w:val="22"/>
              </w:rPr>
            </w:pPr>
            <w:r>
              <w:rPr>
                <w:sz w:val="22"/>
                <w:szCs w:val="22"/>
              </w:rPr>
              <w:t>Q2.2</w:t>
            </w:r>
          </w:p>
        </w:tc>
        <w:tc>
          <w:tcPr>
            <w:tcW w:w="1782" w:type="dxa"/>
            <w:vAlign w:val="center"/>
          </w:tcPr>
          <w:p w14:paraId="2AA34BD8" w14:textId="77777777" w:rsidR="00BA0745" w:rsidRDefault="00000000">
            <w:pPr>
              <w:spacing w:before="120" w:after="120"/>
              <w:jc w:val="center"/>
              <w:rPr>
                <w:sz w:val="22"/>
                <w:szCs w:val="22"/>
              </w:rPr>
            </w:pPr>
            <w:r>
              <w:rPr>
                <w:sz w:val="22"/>
                <w:szCs w:val="22"/>
              </w:rPr>
              <w:t>How affordable is your household’s water service?</w:t>
            </w:r>
          </w:p>
        </w:tc>
        <w:tc>
          <w:tcPr>
            <w:tcW w:w="2634" w:type="dxa"/>
            <w:vAlign w:val="center"/>
          </w:tcPr>
          <w:p w14:paraId="55A15E5B" w14:textId="77777777" w:rsidR="00BA0745" w:rsidRDefault="00000000">
            <w:pPr>
              <w:spacing w:before="120" w:after="120"/>
              <w:jc w:val="center"/>
              <w:rPr>
                <w:sz w:val="22"/>
                <w:szCs w:val="22"/>
              </w:rPr>
            </w:pPr>
            <w:r>
              <w:rPr>
                <w:sz w:val="22"/>
                <w:szCs w:val="22"/>
              </w:rPr>
              <w:t>Very affordable to very unaffordable</w:t>
            </w:r>
          </w:p>
        </w:tc>
        <w:tc>
          <w:tcPr>
            <w:tcW w:w="2117" w:type="dxa"/>
            <w:vAlign w:val="center"/>
          </w:tcPr>
          <w:p w14:paraId="2AADAE70" w14:textId="77777777" w:rsidR="00BA0745" w:rsidRDefault="00000000">
            <w:pPr>
              <w:spacing w:before="120" w:after="120"/>
              <w:jc w:val="center"/>
              <w:rPr>
                <w:sz w:val="22"/>
                <w:szCs w:val="22"/>
              </w:rPr>
            </w:pPr>
            <w:r>
              <w:rPr>
                <w:sz w:val="22"/>
                <w:szCs w:val="22"/>
              </w:rPr>
              <w:t>Affordability</w:t>
            </w:r>
          </w:p>
        </w:tc>
        <w:tc>
          <w:tcPr>
            <w:tcW w:w="2098" w:type="dxa"/>
            <w:vAlign w:val="center"/>
          </w:tcPr>
          <w:p w14:paraId="6409CF4F" w14:textId="77777777" w:rsidR="00BA0745" w:rsidRDefault="00000000">
            <w:pPr>
              <w:spacing w:before="120" w:after="120"/>
              <w:jc w:val="center"/>
              <w:rPr>
                <w:sz w:val="22"/>
                <w:szCs w:val="22"/>
              </w:rPr>
            </w:pPr>
            <w:r>
              <w:rPr>
                <w:sz w:val="22"/>
                <w:szCs w:val="22"/>
              </w:rPr>
              <w:t>CORE-8 WSQS construction item; excluded from predictors</w:t>
            </w:r>
          </w:p>
        </w:tc>
      </w:tr>
      <w:tr w:rsidR="00BA0745" w14:paraId="6A8883F0" w14:textId="77777777">
        <w:tc>
          <w:tcPr>
            <w:tcW w:w="729" w:type="dxa"/>
            <w:vAlign w:val="center"/>
          </w:tcPr>
          <w:p w14:paraId="5A4F5951" w14:textId="77777777" w:rsidR="00BA0745" w:rsidRDefault="00000000">
            <w:pPr>
              <w:spacing w:before="120" w:after="120"/>
              <w:jc w:val="center"/>
              <w:rPr>
                <w:sz w:val="22"/>
                <w:szCs w:val="22"/>
              </w:rPr>
            </w:pPr>
            <w:r>
              <w:rPr>
                <w:sz w:val="22"/>
                <w:szCs w:val="22"/>
              </w:rPr>
              <w:lastRenderedPageBreak/>
              <w:t>Q2.3</w:t>
            </w:r>
          </w:p>
        </w:tc>
        <w:tc>
          <w:tcPr>
            <w:tcW w:w="1782" w:type="dxa"/>
            <w:vAlign w:val="center"/>
          </w:tcPr>
          <w:p w14:paraId="3122654C" w14:textId="77777777" w:rsidR="00BA0745" w:rsidRDefault="00000000">
            <w:pPr>
              <w:spacing w:before="120" w:after="120"/>
              <w:jc w:val="center"/>
              <w:rPr>
                <w:sz w:val="22"/>
                <w:szCs w:val="22"/>
              </w:rPr>
            </w:pPr>
            <w:r>
              <w:rPr>
                <w:sz w:val="22"/>
                <w:szCs w:val="22"/>
              </w:rPr>
              <w:t>What is your household’s monthly drinking-water cost category?</w:t>
            </w:r>
          </w:p>
        </w:tc>
        <w:tc>
          <w:tcPr>
            <w:tcW w:w="2634" w:type="dxa"/>
            <w:vAlign w:val="center"/>
          </w:tcPr>
          <w:p w14:paraId="0F94EB88" w14:textId="77777777" w:rsidR="00BA0745" w:rsidRDefault="00000000">
            <w:pPr>
              <w:spacing w:before="120" w:after="120"/>
              <w:jc w:val="center"/>
              <w:rPr>
                <w:sz w:val="22"/>
                <w:szCs w:val="22"/>
              </w:rPr>
            </w:pPr>
            <w:r>
              <w:rPr>
                <w:sz w:val="22"/>
                <w:szCs w:val="22"/>
              </w:rPr>
              <w:t>Cost categories, including non-measured or not-aware responses</w:t>
            </w:r>
          </w:p>
        </w:tc>
        <w:tc>
          <w:tcPr>
            <w:tcW w:w="2117" w:type="dxa"/>
            <w:vAlign w:val="center"/>
          </w:tcPr>
          <w:p w14:paraId="5F1C687E" w14:textId="77777777" w:rsidR="00BA0745" w:rsidRDefault="00000000">
            <w:pPr>
              <w:spacing w:before="120" w:after="120"/>
              <w:jc w:val="center"/>
              <w:rPr>
                <w:sz w:val="22"/>
                <w:szCs w:val="22"/>
              </w:rPr>
            </w:pPr>
            <w:r>
              <w:rPr>
                <w:sz w:val="22"/>
                <w:szCs w:val="22"/>
              </w:rPr>
              <w:t>Affordability / cost burden</w:t>
            </w:r>
          </w:p>
        </w:tc>
        <w:tc>
          <w:tcPr>
            <w:tcW w:w="2098" w:type="dxa"/>
            <w:vAlign w:val="center"/>
          </w:tcPr>
          <w:p w14:paraId="5FE18A6E" w14:textId="77777777" w:rsidR="00BA0745" w:rsidRDefault="00000000">
            <w:pPr>
              <w:spacing w:before="120" w:after="120"/>
              <w:jc w:val="center"/>
              <w:rPr>
                <w:sz w:val="22"/>
                <w:szCs w:val="22"/>
              </w:rPr>
            </w:pPr>
            <w:r>
              <w:rPr>
                <w:sz w:val="22"/>
                <w:szCs w:val="22"/>
              </w:rPr>
              <w:t>Diagnostic service-support predictor</w:t>
            </w:r>
          </w:p>
        </w:tc>
      </w:tr>
      <w:tr w:rsidR="00BA0745" w14:paraId="7122C428" w14:textId="77777777">
        <w:tc>
          <w:tcPr>
            <w:tcW w:w="729" w:type="dxa"/>
            <w:vAlign w:val="center"/>
          </w:tcPr>
          <w:p w14:paraId="123A7032" w14:textId="77777777" w:rsidR="00BA0745" w:rsidRDefault="00000000">
            <w:pPr>
              <w:spacing w:before="120" w:after="120"/>
              <w:jc w:val="center"/>
              <w:rPr>
                <w:sz w:val="22"/>
                <w:szCs w:val="22"/>
              </w:rPr>
            </w:pPr>
            <w:r>
              <w:rPr>
                <w:sz w:val="22"/>
                <w:szCs w:val="22"/>
              </w:rPr>
              <w:t>Q2.5</w:t>
            </w:r>
          </w:p>
        </w:tc>
        <w:tc>
          <w:tcPr>
            <w:tcW w:w="1782" w:type="dxa"/>
            <w:vAlign w:val="center"/>
          </w:tcPr>
          <w:p w14:paraId="66EEF81E" w14:textId="77777777" w:rsidR="00BA0745" w:rsidRDefault="00000000">
            <w:pPr>
              <w:spacing w:before="120" w:after="120"/>
              <w:jc w:val="center"/>
              <w:rPr>
                <w:sz w:val="22"/>
                <w:szCs w:val="22"/>
              </w:rPr>
            </w:pPr>
            <w:r>
              <w:rPr>
                <w:sz w:val="22"/>
                <w:szCs w:val="22"/>
              </w:rPr>
              <w:t>How would you rate the value for money of your water service?</w:t>
            </w:r>
          </w:p>
        </w:tc>
        <w:tc>
          <w:tcPr>
            <w:tcW w:w="2634" w:type="dxa"/>
            <w:vAlign w:val="center"/>
          </w:tcPr>
          <w:p w14:paraId="78B17B73" w14:textId="77777777" w:rsidR="00BA0745" w:rsidRDefault="00000000">
            <w:pPr>
              <w:spacing w:before="120" w:after="120"/>
              <w:jc w:val="center"/>
              <w:rPr>
                <w:sz w:val="22"/>
                <w:szCs w:val="22"/>
              </w:rPr>
            </w:pPr>
            <w:r>
              <w:rPr>
                <w:sz w:val="22"/>
                <w:szCs w:val="22"/>
              </w:rPr>
              <w:t>Excellent to very poor</w:t>
            </w:r>
          </w:p>
        </w:tc>
        <w:tc>
          <w:tcPr>
            <w:tcW w:w="2117" w:type="dxa"/>
            <w:vAlign w:val="center"/>
          </w:tcPr>
          <w:p w14:paraId="4BD9E1D7" w14:textId="77777777" w:rsidR="00BA0745" w:rsidRDefault="00000000">
            <w:pPr>
              <w:spacing w:before="120" w:after="120"/>
              <w:jc w:val="center"/>
              <w:rPr>
                <w:sz w:val="22"/>
                <w:szCs w:val="22"/>
              </w:rPr>
            </w:pPr>
            <w:r>
              <w:rPr>
                <w:sz w:val="22"/>
                <w:szCs w:val="22"/>
              </w:rPr>
              <w:t>Affordability / value for money</w:t>
            </w:r>
          </w:p>
        </w:tc>
        <w:tc>
          <w:tcPr>
            <w:tcW w:w="2098" w:type="dxa"/>
            <w:vAlign w:val="center"/>
          </w:tcPr>
          <w:p w14:paraId="00B9C0B6" w14:textId="77777777" w:rsidR="00BA0745" w:rsidRDefault="00000000">
            <w:pPr>
              <w:spacing w:before="120" w:after="120"/>
              <w:jc w:val="center"/>
              <w:rPr>
                <w:sz w:val="22"/>
                <w:szCs w:val="22"/>
              </w:rPr>
            </w:pPr>
            <w:r>
              <w:rPr>
                <w:sz w:val="22"/>
                <w:szCs w:val="22"/>
              </w:rPr>
              <w:t>Diagnostic service-support predictor</w:t>
            </w:r>
          </w:p>
        </w:tc>
      </w:tr>
      <w:tr w:rsidR="00BA0745" w14:paraId="3B893553" w14:textId="77777777">
        <w:tc>
          <w:tcPr>
            <w:tcW w:w="729" w:type="dxa"/>
            <w:vAlign w:val="center"/>
          </w:tcPr>
          <w:p w14:paraId="5DCC1BA8" w14:textId="77777777" w:rsidR="00BA0745" w:rsidRDefault="00000000">
            <w:pPr>
              <w:spacing w:before="120" w:after="120"/>
              <w:jc w:val="center"/>
              <w:rPr>
                <w:sz w:val="22"/>
                <w:szCs w:val="22"/>
              </w:rPr>
            </w:pPr>
            <w:r>
              <w:rPr>
                <w:sz w:val="22"/>
                <w:szCs w:val="22"/>
              </w:rPr>
              <w:t>Q2.8</w:t>
            </w:r>
          </w:p>
        </w:tc>
        <w:tc>
          <w:tcPr>
            <w:tcW w:w="1782" w:type="dxa"/>
            <w:vAlign w:val="center"/>
          </w:tcPr>
          <w:p w14:paraId="7A4DDB43" w14:textId="77777777" w:rsidR="00BA0745" w:rsidRDefault="00000000">
            <w:pPr>
              <w:spacing w:before="120" w:after="120"/>
              <w:jc w:val="center"/>
              <w:rPr>
                <w:sz w:val="22"/>
                <w:szCs w:val="22"/>
              </w:rPr>
            </w:pPr>
            <w:r>
              <w:rPr>
                <w:sz w:val="22"/>
                <w:szCs w:val="22"/>
              </w:rPr>
              <w:t>Does your household experience affordability-related disruption or cost stress during water-service problems?</w:t>
            </w:r>
          </w:p>
        </w:tc>
        <w:tc>
          <w:tcPr>
            <w:tcW w:w="2634" w:type="dxa"/>
            <w:vAlign w:val="center"/>
          </w:tcPr>
          <w:p w14:paraId="17E19460" w14:textId="77777777" w:rsidR="00BA0745" w:rsidRDefault="00000000">
            <w:pPr>
              <w:spacing w:before="120" w:after="120"/>
              <w:jc w:val="center"/>
              <w:rPr>
                <w:sz w:val="22"/>
                <w:szCs w:val="22"/>
              </w:rPr>
            </w:pPr>
            <w:r>
              <w:rPr>
                <w:sz w:val="22"/>
                <w:szCs w:val="22"/>
              </w:rPr>
              <w:t>No disruption, seasonal disruption, sometimes, often</w:t>
            </w:r>
          </w:p>
        </w:tc>
        <w:tc>
          <w:tcPr>
            <w:tcW w:w="2117" w:type="dxa"/>
            <w:vAlign w:val="center"/>
          </w:tcPr>
          <w:p w14:paraId="4405E417" w14:textId="77777777" w:rsidR="00BA0745" w:rsidRDefault="00000000">
            <w:pPr>
              <w:spacing w:before="120" w:after="120"/>
              <w:jc w:val="center"/>
              <w:rPr>
                <w:sz w:val="22"/>
                <w:szCs w:val="22"/>
              </w:rPr>
            </w:pPr>
            <w:r>
              <w:rPr>
                <w:sz w:val="22"/>
                <w:szCs w:val="22"/>
              </w:rPr>
              <w:t>Affordability disruption</w:t>
            </w:r>
          </w:p>
        </w:tc>
        <w:tc>
          <w:tcPr>
            <w:tcW w:w="2098" w:type="dxa"/>
            <w:vAlign w:val="center"/>
          </w:tcPr>
          <w:p w14:paraId="310C2F8E" w14:textId="77777777" w:rsidR="00BA0745" w:rsidRDefault="00000000">
            <w:pPr>
              <w:spacing w:before="120" w:after="120"/>
              <w:jc w:val="center"/>
              <w:rPr>
                <w:sz w:val="22"/>
                <w:szCs w:val="22"/>
              </w:rPr>
            </w:pPr>
            <w:r>
              <w:rPr>
                <w:sz w:val="22"/>
                <w:szCs w:val="22"/>
              </w:rPr>
              <w:t>Diagnostic service-support predictor</w:t>
            </w:r>
          </w:p>
        </w:tc>
      </w:tr>
      <w:tr w:rsidR="00BA0745" w14:paraId="546BB8BE" w14:textId="77777777">
        <w:tc>
          <w:tcPr>
            <w:tcW w:w="729" w:type="dxa"/>
            <w:vAlign w:val="center"/>
          </w:tcPr>
          <w:p w14:paraId="19CF89B8" w14:textId="77777777" w:rsidR="00BA0745" w:rsidRDefault="00000000">
            <w:pPr>
              <w:spacing w:before="120" w:after="120"/>
              <w:jc w:val="center"/>
              <w:rPr>
                <w:sz w:val="22"/>
                <w:szCs w:val="22"/>
              </w:rPr>
            </w:pPr>
            <w:r>
              <w:rPr>
                <w:sz w:val="22"/>
                <w:szCs w:val="22"/>
              </w:rPr>
              <w:t>Q2.9</w:t>
            </w:r>
          </w:p>
        </w:tc>
        <w:tc>
          <w:tcPr>
            <w:tcW w:w="1782" w:type="dxa"/>
            <w:vAlign w:val="center"/>
          </w:tcPr>
          <w:p w14:paraId="49E32625" w14:textId="77777777" w:rsidR="00BA0745" w:rsidRDefault="00000000">
            <w:pPr>
              <w:spacing w:before="120" w:after="120"/>
              <w:jc w:val="center"/>
              <w:rPr>
                <w:sz w:val="22"/>
                <w:szCs w:val="22"/>
              </w:rPr>
            </w:pPr>
            <w:r>
              <w:rPr>
                <w:sz w:val="22"/>
                <w:szCs w:val="22"/>
              </w:rPr>
              <w:t>How important is affordability when evaluating your household’s water service quality?</w:t>
            </w:r>
          </w:p>
        </w:tc>
        <w:tc>
          <w:tcPr>
            <w:tcW w:w="2634" w:type="dxa"/>
            <w:vAlign w:val="center"/>
          </w:tcPr>
          <w:p w14:paraId="2A3B2C2A" w14:textId="77777777" w:rsidR="00BA0745" w:rsidRDefault="00000000">
            <w:pPr>
              <w:spacing w:before="120" w:after="120"/>
              <w:jc w:val="center"/>
              <w:rPr>
                <w:sz w:val="22"/>
                <w:szCs w:val="22"/>
              </w:rPr>
            </w:pPr>
            <w:r>
              <w:rPr>
                <w:sz w:val="22"/>
                <w:szCs w:val="22"/>
              </w:rPr>
              <w:t>0–10 stated priority scale; higher values indicate greater stated importance</w:t>
            </w:r>
          </w:p>
        </w:tc>
        <w:tc>
          <w:tcPr>
            <w:tcW w:w="2117" w:type="dxa"/>
            <w:vAlign w:val="center"/>
          </w:tcPr>
          <w:p w14:paraId="3B1A0F1D" w14:textId="77777777" w:rsidR="00BA0745" w:rsidRDefault="00000000">
            <w:pPr>
              <w:spacing w:before="120" w:after="120"/>
              <w:jc w:val="center"/>
              <w:rPr>
                <w:sz w:val="22"/>
                <w:szCs w:val="22"/>
              </w:rPr>
            </w:pPr>
            <w:r>
              <w:rPr>
                <w:sz w:val="22"/>
                <w:szCs w:val="22"/>
              </w:rPr>
              <w:t>Affordability priority</w:t>
            </w:r>
          </w:p>
        </w:tc>
        <w:tc>
          <w:tcPr>
            <w:tcW w:w="2098" w:type="dxa"/>
            <w:vAlign w:val="center"/>
          </w:tcPr>
          <w:p w14:paraId="71C2ACCA" w14:textId="77777777" w:rsidR="00BA0745" w:rsidRDefault="00000000">
            <w:pPr>
              <w:spacing w:before="120" w:after="120"/>
              <w:jc w:val="center"/>
              <w:rPr>
                <w:sz w:val="22"/>
                <w:szCs w:val="22"/>
              </w:rPr>
            </w:pPr>
            <w:r>
              <w:rPr>
                <w:sz w:val="22"/>
                <w:szCs w:val="22"/>
              </w:rPr>
              <w:t>Stated-priority predictor; used in priority-weighted WSQS sensitivity</w:t>
            </w:r>
          </w:p>
        </w:tc>
      </w:tr>
      <w:tr w:rsidR="00BA0745" w14:paraId="1F668094" w14:textId="77777777">
        <w:tc>
          <w:tcPr>
            <w:tcW w:w="729" w:type="dxa"/>
            <w:vAlign w:val="center"/>
          </w:tcPr>
          <w:p w14:paraId="439B3880" w14:textId="77777777" w:rsidR="00BA0745" w:rsidRDefault="00000000">
            <w:pPr>
              <w:spacing w:before="120" w:after="120"/>
              <w:jc w:val="center"/>
              <w:rPr>
                <w:sz w:val="22"/>
                <w:szCs w:val="22"/>
              </w:rPr>
            </w:pPr>
            <w:r>
              <w:rPr>
                <w:sz w:val="22"/>
                <w:szCs w:val="22"/>
              </w:rPr>
              <w:t>Q3.1</w:t>
            </w:r>
          </w:p>
        </w:tc>
        <w:tc>
          <w:tcPr>
            <w:tcW w:w="1782" w:type="dxa"/>
            <w:vAlign w:val="center"/>
          </w:tcPr>
          <w:p w14:paraId="34D35A6C" w14:textId="77777777" w:rsidR="00BA0745" w:rsidRDefault="00000000">
            <w:pPr>
              <w:spacing w:before="120" w:after="120"/>
              <w:jc w:val="center"/>
              <w:rPr>
                <w:sz w:val="22"/>
                <w:szCs w:val="22"/>
              </w:rPr>
            </w:pPr>
            <w:r>
              <w:rPr>
                <w:sz w:val="22"/>
                <w:szCs w:val="22"/>
              </w:rPr>
              <w:t>How accessible is water for your household?</w:t>
            </w:r>
          </w:p>
        </w:tc>
        <w:tc>
          <w:tcPr>
            <w:tcW w:w="2634" w:type="dxa"/>
            <w:vAlign w:val="center"/>
          </w:tcPr>
          <w:p w14:paraId="2B40A57F" w14:textId="77777777" w:rsidR="00BA0745" w:rsidRDefault="00000000">
            <w:pPr>
              <w:spacing w:before="120" w:after="120"/>
              <w:jc w:val="center"/>
              <w:rPr>
                <w:sz w:val="22"/>
                <w:szCs w:val="22"/>
              </w:rPr>
            </w:pPr>
            <w:r>
              <w:rPr>
                <w:sz w:val="22"/>
                <w:szCs w:val="22"/>
              </w:rPr>
              <w:t>Very accessible to not accessible</w:t>
            </w:r>
          </w:p>
        </w:tc>
        <w:tc>
          <w:tcPr>
            <w:tcW w:w="2117" w:type="dxa"/>
            <w:vAlign w:val="center"/>
          </w:tcPr>
          <w:p w14:paraId="6A19BED1" w14:textId="77777777" w:rsidR="00BA0745" w:rsidRDefault="00000000">
            <w:pPr>
              <w:spacing w:before="120" w:after="120"/>
              <w:jc w:val="center"/>
              <w:rPr>
                <w:sz w:val="22"/>
                <w:szCs w:val="22"/>
              </w:rPr>
            </w:pPr>
            <w:r>
              <w:rPr>
                <w:sz w:val="22"/>
                <w:szCs w:val="22"/>
              </w:rPr>
              <w:t>Access</w:t>
            </w:r>
          </w:p>
        </w:tc>
        <w:tc>
          <w:tcPr>
            <w:tcW w:w="2098" w:type="dxa"/>
            <w:vAlign w:val="center"/>
          </w:tcPr>
          <w:p w14:paraId="78BA5547" w14:textId="77777777" w:rsidR="00BA0745" w:rsidRDefault="00000000">
            <w:pPr>
              <w:spacing w:before="120" w:after="120"/>
              <w:jc w:val="center"/>
              <w:rPr>
                <w:sz w:val="22"/>
                <w:szCs w:val="22"/>
              </w:rPr>
            </w:pPr>
            <w:r>
              <w:rPr>
                <w:sz w:val="22"/>
                <w:szCs w:val="22"/>
              </w:rPr>
              <w:t>CORE-8 WSQS construction item; excluded from predictors</w:t>
            </w:r>
          </w:p>
        </w:tc>
      </w:tr>
      <w:tr w:rsidR="00BA0745" w14:paraId="65DE55ED" w14:textId="77777777">
        <w:tc>
          <w:tcPr>
            <w:tcW w:w="729" w:type="dxa"/>
            <w:vAlign w:val="center"/>
          </w:tcPr>
          <w:p w14:paraId="3A5F63F1" w14:textId="77777777" w:rsidR="00BA0745" w:rsidRDefault="00000000">
            <w:pPr>
              <w:spacing w:before="120" w:after="120"/>
              <w:jc w:val="center"/>
              <w:rPr>
                <w:sz w:val="22"/>
                <w:szCs w:val="22"/>
              </w:rPr>
            </w:pPr>
            <w:r>
              <w:rPr>
                <w:sz w:val="22"/>
                <w:szCs w:val="22"/>
              </w:rPr>
              <w:t>Q3.2</w:t>
            </w:r>
          </w:p>
        </w:tc>
        <w:tc>
          <w:tcPr>
            <w:tcW w:w="1782" w:type="dxa"/>
            <w:vAlign w:val="center"/>
          </w:tcPr>
          <w:p w14:paraId="7889D489" w14:textId="77777777" w:rsidR="00BA0745" w:rsidRDefault="00000000">
            <w:pPr>
              <w:spacing w:before="120" w:after="120"/>
              <w:jc w:val="center"/>
              <w:rPr>
                <w:sz w:val="22"/>
                <w:szCs w:val="22"/>
              </w:rPr>
            </w:pPr>
            <w:r>
              <w:rPr>
                <w:sz w:val="22"/>
                <w:szCs w:val="22"/>
              </w:rPr>
              <w:t>How much travel time is required for your household to access or fetch water?</w:t>
            </w:r>
          </w:p>
        </w:tc>
        <w:tc>
          <w:tcPr>
            <w:tcW w:w="2634" w:type="dxa"/>
            <w:vAlign w:val="center"/>
          </w:tcPr>
          <w:p w14:paraId="5AAB909E" w14:textId="77777777" w:rsidR="00BA0745" w:rsidRDefault="00000000">
            <w:pPr>
              <w:spacing w:before="120" w:after="120"/>
              <w:jc w:val="center"/>
              <w:rPr>
                <w:sz w:val="22"/>
                <w:szCs w:val="22"/>
              </w:rPr>
            </w:pPr>
            <w:r>
              <w:rPr>
                <w:sz w:val="22"/>
                <w:szCs w:val="22"/>
              </w:rPr>
              <w:t>No travel to more than one hour</w:t>
            </w:r>
          </w:p>
        </w:tc>
        <w:tc>
          <w:tcPr>
            <w:tcW w:w="2117" w:type="dxa"/>
            <w:vAlign w:val="center"/>
          </w:tcPr>
          <w:p w14:paraId="02D7D931" w14:textId="77777777" w:rsidR="00BA0745" w:rsidRDefault="00000000">
            <w:pPr>
              <w:spacing w:before="120" w:after="120"/>
              <w:jc w:val="center"/>
              <w:rPr>
                <w:sz w:val="22"/>
                <w:szCs w:val="22"/>
              </w:rPr>
            </w:pPr>
            <w:r>
              <w:rPr>
                <w:sz w:val="22"/>
                <w:szCs w:val="22"/>
              </w:rPr>
              <w:t>Access burden / travel time</w:t>
            </w:r>
          </w:p>
        </w:tc>
        <w:tc>
          <w:tcPr>
            <w:tcW w:w="2098" w:type="dxa"/>
            <w:vAlign w:val="center"/>
          </w:tcPr>
          <w:p w14:paraId="2DB3CD79" w14:textId="77777777" w:rsidR="00BA0745" w:rsidRDefault="00000000">
            <w:pPr>
              <w:spacing w:before="120" w:after="120"/>
              <w:jc w:val="center"/>
              <w:rPr>
                <w:sz w:val="22"/>
                <w:szCs w:val="22"/>
              </w:rPr>
            </w:pPr>
            <w:r>
              <w:rPr>
                <w:sz w:val="22"/>
                <w:szCs w:val="22"/>
              </w:rPr>
              <w:t>Diagnostic service-support predictor</w:t>
            </w:r>
          </w:p>
        </w:tc>
      </w:tr>
      <w:tr w:rsidR="00BA0745" w14:paraId="58AB2CCF" w14:textId="77777777">
        <w:tc>
          <w:tcPr>
            <w:tcW w:w="729" w:type="dxa"/>
            <w:vAlign w:val="center"/>
          </w:tcPr>
          <w:p w14:paraId="1D935412" w14:textId="77777777" w:rsidR="00BA0745" w:rsidRDefault="00000000">
            <w:pPr>
              <w:spacing w:before="120" w:after="120"/>
              <w:jc w:val="center"/>
              <w:rPr>
                <w:sz w:val="22"/>
                <w:szCs w:val="22"/>
              </w:rPr>
            </w:pPr>
            <w:r>
              <w:rPr>
                <w:sz w:val="22"/>
                <w:szCs w:val="22"/>
              </w:rPr>
              <w:t>Q3.3</w:t>
            </w:r>
          </w:p>
        </w:tc>
        <w:tc>
          <w:tcPr>
            <w:tcW w:w="1782" w:type="dxa"/>
            <w:vAlign w:val="center"/>
          </w:tcPr>
          <w:p w14:paraId="380CEA64" w14:textId="77777777" w:rsidR="00BA0745" w:rsidRDefault="00000000">
            <w:pPr>
              <w:spacing w:before="120" w:after="120"/>
              <w:jc w:val="center"/>
              <w:rPr>
                <w:sz w:val="22"/>
                <w:szCs w:val="22"/>
              </w:rPr>
            </w:pPr>
            <w:r>
              <w:rPr>
                <w:sz w:val="22"/>
                <w:szCs w:val="22"/>
              </w:rPr>
              <w:t>How long does your household usually wait for water?</w:t>
            </w:r>
          </w:p>
        </w:tc>
        <w:tc>
          <w:tcPr>
            <w:tcW w:w="2634" w:type="dxa"/>
            <w:vAlign w:val="center"/>
          </w:tcPr>
          <w:p w14:paraId="6288CC7A" w14:textId="77777777" w:rsidR="00BA0745" w:rsidRDefault="00000000">
            <w:pPr>
              <w:spacing w:before="120" w:after="120"/>
              <w:jc w:val="center"/>
              <w:rPr>
                <w:sz w:val="22"/>
                <w:szCs w:val="22"/>
              </w:rPr>
            </w:pPr>
            <w:r>
              <w:rPr>
                <w:sz w:val="22"/>
                <w:szCs w:val="22"/>
              </w:rPr>
              <w:t>Zero waiting time to more than one hour</w:t>
            </w:r>
          </w:p>
        </w:tc>
        <w:tc>
          <w:tcPr>
            <w:tcW w:w="2117" w:type="dxa"/>
            <w:vAlign w:val="center"/>
          </w:tcPr>
          <w:p w14:paraId="35194F78" w14:textId="77777777" w:rsidR="00BA0745" w:rsidRDefault="00000000">
            <w:pPr>
              <w:spacing w:before="120" w:after="120"/>
              <w:jc w:val="center"/>
              <w:rPr>
                <w:sz w:val="22"/>
                <w:szCs w:val="22"/>
              </w:rPr>
            </w:pPr>
            <w:r>
              <w:rPr>
                <w:sz w:val="22"/>
                <w:szCs w:val="22"/>
              </w:rPr>
              <w:t>Access burden / waiting time</w:t>
            </w:r>
          </w:p>
        </w:tc>
        <w:tc>
          <w:tcPr>
            <w:tcW w:w="2098" w:type="dxa"/>
            <w:vAlign w:val="center"/>
          </w:tcPr>
          <w:p w14:paraId="270A7EB2" w14:textId="77777777" w:rsidR="00BA0745" w:rsidRDefault="00000000">
            <w:pPr>
              <w:spacing w:before="120" w:after="120"/>
              <w:jc w:val="center"/>
              <w:rPr>
                <w:sz w:val="22"/>
                <w:szCs w:val="22"/>
              </w:rPr>
            </w:pPr>
            <w:r>
              <w:rPr>
                <w:sz w:val="22"/>
                <w:szCs w:val="22"/>
              </w:rPr>
              <w:t>Diagnostic service-support predictor</w:t>
            </w:r>
          </w:p>
        </w:tc>
      </w:tr>
      <w:tr w:rsidR="00BA0745" w14:paraId="2E71CF82" w14:textId="77777777">
        <w:tc>
          <w:tcPr>
            <w:tcW w:w="729" w:type="dxa"/>
            <w:vAlign w:val="center"/>
          </w:tcPr>
          <w:p w14:paraId="39E2D93E" w14:textId="77777777" w:rsidR="00BA0745" w:rsidRDefault="00000000">
            <w:pPr>
              <w:spacing w:before="120" w:after="120"/>
              <w:jc w:val="center"/>
              <w:rPr>
                <w:sz w:val="22"/>
                <w:szCs w:val="22"/>
              </w:rPr>
            </w:pPr>
            <w:r>
              <w:rPr>
                <w:sz w:val="22"/>
                <w:szCs w:val="22"/>
              </w:rPr>
              <w:t>Q3.5</w:t>
            </w:r>
          </w:p>
        </w:tc>
        <w:tc>
          <w:tcPr>
            <w:tcW w:w="1782" w:type="dxa"/>
            <w:vAlign w:val="center"/>
          </w:tcPr>
          <w:p w14:paraId="4EB4E368" w14:textId="77777777" w:rsidR="00BA0745" w:rsidRDefault="00000000">
            <w:pPr>
              <w:spacing w:before="120" w:after="120"/>
              <w:jc w:val="center"/>
              <w:rPr>
                <w:sz w:val="22"/>
                <w:szCs w:val="22"/>
              </w:rPr>
            </w:pPr>
            <w:r>
              <w:rPr>
                <w:sz w:val="22"/>
                <w:szCs w:val="22"/>
              </w:rPr>
              <w:t>How available is corporation or municipal water to your household?</w:t>
            </w:r>
          </w:p>
        </w:tc>
        <w:tc>
          <w:tcPr>
            <w:tcW w:w="2634" w:type="dxa"/>
            <w:vAlign w:val="center"/>
          </w:tcPr>
          <w:p w14:paraId="0C84FC5A" w14:textId="77777777" w:rsidR="00BA0745" w:rsidRDefault="00000000">
            <w:pPr>
              <w:spacing w:before="120" w:after="120"/>
              <w:jc w:val="center"/>
              <w:rPr>
                <w:sz w:val="22"/>
                <w:szCs w:val="22"/>
              </w:rPr>
            </w:pPr>
            <w:r>
              <w:rPr>
                <w:sz w:val="22"/>
                <w:szCs w:val="22"/>
              </w:rPr>
              <w:t>Available anytime, fixed timings, not accessible, or not used</w:t>
            </w:r>
          </w:p>
        </w:tc>
        <w:tc>
          <w:tcPr>
            <w:tcW w:w="2117" w:type="dxa"/>
            <w:vAlign w:val="center"/>
          </w:tcPr>
          <w:p w14:paraId="64D1CDED" w14:textId="77777777" w:rsidR="00BA0745" w:rsidRDefault="00000000">
            <w:pPr>
              <w:spacing w:before="120" w:after="120"/>
              <w:jc w:val="center"/>
              <w:rPr>
                <w:sz w:val="22"/>
                <w:szCs w:val="22"/>
              </w:rPr>
            </w:pPr>
            <w:r>
              <w:rPr>
                <w:sz w:val="22"/>
                <w:szCs w:val="22"/>
              </w:rPr>
              <w:t>Municipal/corporation water availability</w:t>
            </w:r>
          </w:p>
        </w:tc>
        <w:tc>
          <w:tcPr>
            <w:tcW w:w="2098" w:type="dxa"/>
            <w:vAlign w:val="center"/>
          </w:tcPr>
          <w:p w14:paraId="5FD5F701" w14:textId="77777777" w:rsidR="00BA0745" w:rsidRDefault="00000000">
            <w:pPr>
              <w:spacing w:before="120" w:after="120"/>
              <w:jc w:val="center"/>
              <w:rPr>
                <w:sz w:val="22"/>
                <w:szCs w:val="22"/>
              </w:rPr>
            </w:pPr>
            <w:r>
              <w:rPr>
                <w:sz w:val="22"/>
                <w:szCs w:val="22"/>
              </w:rPr>
              <w:t>Diagnostic service-support predictor</w:t>
            </w:r>
          </w:p>
        </w:tc>
      </w:tr>
      <w:tr w:rsidR="00BA0745" w14:paraId="1A03FA2F" w14:textId="77777777">
        <w:tc>
          <w:tcPr>
            <w:tcW w:w="729" w:type="dxa"/>
            <w:vAlign w:val="center"/>
          </w:tcPr>
          <w:p w14:paraId="5F328883" w14:textId="77777777" w:rsidR="00BA0745" w:rsidRDefault="00000000">
            <w:pPr>
              <w:spacing w:before="120" w:after="120"/>
              <w:jc w:val="center"/>
              <w:rPr>
                <w:sz w:val="22"/>
                <w:szCs w:val="22"/>
              </w:rPr>
            </w:pPr>
            <w:r>
              <w:rPr>
                <w:sz w:val="22"/>
                <w:szCs w:val="22"/>
              </w:rPr>
              <w:t>Q3.6</w:t>
            </w:r>
          </w:p>
        </w:tc>
        <w:tc>
          <w:tcPr>
            <w:tcW w:w="1782" w:type="dxa"/>
            <w:vAlign w:val="center"/>
          </w:tcPr>
          <w:p w14:paraId="30AC0513" w14:textId="77777777" w:rsidR="00BA0745" w:rsidRDefault="00000000">
            <w:pPr>
              <w:spacing w:before="120" w:after="120"/>
              <w:jc w:val="center"/>
              <w:rPr>
                <w:sz w:val="22"/>
                <w:szCs w:val="22"/>
              </w:rPr>
            </w:pPr>
            <w:r>
              <w:rPr>
                <w:sz w:val="22"/>
                <w:szCs w:val="22"/>
              </w:rPr>
              <w:t xml:space="preserve">What is the usual water-supply schedule or </w:t>
            </w:r>
            <w:r>
              <w:rPr>
                <w:sz w:val="22"/>
                <w:szCs w:val="22"/>
              </w:rPr>
              <w:lastRenderedPageBreak/>
              <w:t>frequency for your household?</w:t>
            </w:r>
          </w:p>
        </w:tc>
        <w:tc>
          <w:tcPr>
            <w:tcW w:w="2634" w:type="dxa"/>
            <w:vAlign w:val="center"/>
          </w:tcPr>
          <w:p w14:paraId="524B6A91" w14:textId="77777777" w:rsidR="00BA0745" w:rsidRDefault="00000000">
            <w:pPr>
              <w:spacing w:before="120" w:after="120"/>
              <w:jc w:val="center"/>
              <w:rPr>
                <w:sz w:val="22"/>
                <w:szCs w:val="22"/>
              </w:rPr>
            </w:pPr>
            <w:r>
              <w:rPr>
                <w:sz w:val="22"/>
                <w:szCs w:val="22"/>
              </w:rPr>
              <w:lastRenderedPageBreak/>
              <w:t>Continuous supply to every other week</w:t>
            </w:r>
          </w:p>
        </w:tc>
        <w:tc>
          <w:tcPr>
            <w:tcW w:w="2117" w:type="dxa"/>
            <w:vAlign w:val="center"/>
          </w:tcPr>
          <w:p w14:paraId="32440D26" w14:textId="77777777" w:rsidR="00BA0745" w:rsidRDefault="00000000">
            <w:pPr>
              <w:spacing w:before="120" w:after="120"/>
              <w:jc w:val="center"/>
              <w:rPr>
                <w:sz w:val="22"/>
                <w:szCs w:val="22"/>
              </w:rPr>
            </w:pPr>
            <w:r>
              <w:rPr>
                <w:sz w:val="22"/>
                <w:szCs w:val="22"/>
              </w:rPr>
              <w:t>Access / supply schedule</w:t>
            </w:r>
          </w:p>
        </w:tc>
        <w:tc>
          <w:tcPr>
            <w:tcW w:w="2098" w:type="dxa"/>
            <w:vAlign w:val="center"/>
          </w:tcPr>
          <w:p w14:paraId="77B947CA" w14:textId="77777777" w:rsidR="00BA0745" w:rsidRDefault="00000000">
            <w:pPr>
              <w:spacing w:before="120" w:after="120"/>
              <w:jc w:val="center"/>
              <w:rPr>
                <w:sz w:val="22"/>
                <w:szCs w:val="22"/>
              </w:rPr>
            </w:pPr>
            <w:r>
              <w:rPr>
                <w:sz w:val="22"/>
                <w:szCs w:val="22"/>
              </w:rPr>
              <w:t>Diagnostic service-support predictor</w:t>
            </w:r>
          </w:p>
        </w:tc>
      </w:tr>
      <w:tr w:rsidR="00BA0745" w14:paraId="686418B6" w14:textId="77777777">
        <w:tc>
          <w:tcPr>
            <w:tcW w:w="729" w:type="dxa"/>
            <w:vAlign w:val="center"/>
          </w:tcPr>
          <w:p w14:paraId="25A1A2D6" w14:textId="77777777" w:rsidR="00BA0745" w:rsidRDefault="00000000">
            <w:pPr>
              <w:spacing w:before="120" w:after="120"/>
              <w:jc w:val="center"/>
              <w:rPr>
                <w:sz w:val="22"/>
                <w:szCs w:val="22"/>
              </w:rPr>
            </w:pPr>
            <w:r>
              <w:rPr>
                <w:sz w:val="22"/>
                <w:szCs w:val="22"/>
              </w:rPr>
              <w:t>Q3.9</w:t>
            </w:r>
          </w:p>
        </w:tc>
        <w:tc>
          <w:tcPr>
            <w:tcW w:w="1782" w:type="dxa"/>
            <w:vAlign w:val="center"/>
          </w:tcPr>
          <w:p w14:paraId="44F0A357" w14:textId="77777777" w:rsidR="00BA0745" w:rsidRDefault="00000000">
            <w:pPr>
              <w:spacing w:before="120" w:after="120"/>
              <w:jc w:val="center"/>
              <w:rPr>
                <w:sz w:val="22"/>
                <w:szCs w:val="22"/>
              </w:rPr>
            </w:pPr>
            <w:r>
              <w:rPr>
                <w:sz w:val="22"/>
                <w:szCs w:val="22"/>
              </w:rPr>
              <w:t>How important is access when evaluating your household’s water service quality?</w:t>
            </w:r>
          </w:p>
        </w:tc>
        <w:tc>
          <w:tcPr>
            <w:tcW w:w="2634" w:type="dxa"/>
            <w:vAlign w:val="center"/>
          </w:tcPr>
          <w:p w14:paraId="5EB711E7" w14:textId="77777777" w:rsidR="00BA0745" w:rsidRDefault="00000000">
            <w:pPr>
              <w:spacing w:before="120" w:after="120"/>
              <w:jc w:val="center"/>
              <w:rPr>
                <w:sz w:val="22"/>
                <w:szCs w:val="22"/>
              </w:rPr>
            </w:pPr>
            <w:r>
              <w:rPr>
                <w:sz w:val="22"/>
                <w:szCs w:val="22"/>
              </w:rPr>
              <w:t>0–10 stated priority scale; higher values indicate greater stated importance</w:t>
            </w:r>
          </w:p>
        </w:tc>
        <w:tc>
          <w:tcPr>
            <w:tcW w:w="2117" w:type="dxa"/>
            <w:vAlign w:val="center"/>
          </w:tcPr>
          <w:p w14:paraId="3036A7D5" w14:textId="77777777" w:rsidR="00BA0745" w:rsidRDefault="00000000">
            <w:pPr>
              <w:spacing w:before="120" w:after="120"/>
              <w:jc w:val="center"/>
              <w:rPr>
                <w:sz w:val="22"/>
                <w:szCs w:val="22"/>
              </w:rPr>
            </w:pPr>
            <w:r>
              <w:rPr>
                <w:sz w:val="22"/>
                <w:szCs w:val="22"/>
              </w:rPr>
              <w:t>Access priority</w:t>
            </w:r>
          </w:p>
        </w:tc>
        <w:tc>
          <w:tcPr>
            <w:tcW w:w="2098" w:type="dxa"/>
            <w:vAlign w:val="center"/>
          </w:tcPr>
          <w:p w14:paraId="3BD152D9" w14:textId="77777777" w:rsidR="00BA0745" w:rsidRDefault="00000000">
            <w:pPr>
              <w:spacing w:before="120" w:after="120"/>
              <w:jc w:val="center"/>
              <w:rPr>
                <w:sz w:val="22"/>
                <w:szCs w:val="22"/>
              </w:rPr>
            </w:pPr>
            <w:r>
              <w:rPr>
                <w:sz w:val="22"/>
                <w:szCs w:val="22"/>
              </w:rPr>
              <w:t>Stated-priority predictor; used in priority-weighted WSQS sensitivity</w:t>
            </w:r>
          </w:p>
        </w:tc>
      </w:tr>
      <w:tr w:rsidR="00BA0745" w14:paraId="07BEE026" w14:textId="77777777">
        <w:tc>
          <w:tcPr>
            <w:tcW w:w="729" w:type="dxa"/>
            <w:vAlign w:val="center"/>
          </w:tcPr>
          <w:p w14:paraId="6314DBB3" w14:textId="77777777" w:rsidR="00BA0745" w:rsidRDefault="00000000">
            <w:pPr>
              <w:spacing w:before="120" w:after="120"/>
              <w:jc w:val="center"/>
              <w:rPr>
                <w:sz w:val="22"/>
                <w:szCs w:val="22"/>
              </w:rPr>
            </w:pPr>
            <w:r>
              <w:rPr>
                <w:sz w:val="22"/>
                <w:szCs w:val="22"/>
              </w:rPr>
              <w:t>Q4.1</w:t>
            </w:r>
          </w:p>
        </w:tc>
        <w:tc>
          <w:tcPr>
            <w:tcW w:w="1782" w:type="dxa"/>
            <w:vAlign w:val="center"/>
          </w:tcPr>
          <w:p w14:paraId="323D5D36" w14:textId="77777777" w:rsidR="00BA0745" w:rsidRDefault="00000000">
            <w:pPr>
              <w:spacing w:before="120" w:after="120"/>
              <w:jc w:val="center"/>
              <w:rPr>
                <w:sz w:val="22"/>
                <w:szCs w:val="22"/>
              </w:rPr>
            </w:pPr>
            <w:r>
              <w:rPr>
                <w:sz w:val="22"/>
                <w:szCs w:val="22"/>
              </w:rPr>
              <w:t>How reliable is your household’s water supply?</w:t>
            </w:r>
          </w:p>
        </w:tc>
        <w:tc>
          <w:tcPr>
            <w:tcW w:w="2634" w:type="dxa"/>
            <w:vAlign w:val="center"/>
          </w:tcPr>
          <w:p w14:paraId="772DABC4" w14:textId="77777777" w:rsidR="00BA0745" w:rsidRDefault="00000000">
            <w:pPr>
              <w:spacing w:before="120" w:after="120"/>
              <w:jc w:val="center"/>
              <w:rPr>
                <w:sz w:val="22"/>
                <w:szCs w:val="22"/>
              </w:rPr>
            </w:pPr>
            <w:r>
              <w:rPr>
                <w:sz w:val="22"/>
                <w:szCs w:val="22"/>
              </w:rPr>
              <w:t>Always reliable to not reliable</w:t>
            </w:r>
          </w:p>
        </w:tc>
        <w:tc>
          <w:tcPr>
            <w:tcW w:w="2117" w:type="dxa"/>
            <w:vAlign w:val="center"/>
          </w:tcPr>
          <w:p w14:paraId="2E238586" w14:textId="77777777" w:rsidR="00BA0745" w:rsidRDefault="00000000">
            <w:pPr>
              <w:spacing w:before="120" w:after="120"/>
              <w:jc w:val="center"/>
              <w:rPr>
                <w:sz w:val="22"/>
                <w:szCs w:val="22"/>
              </w:rPr>
            </w:pPr>
            <w:r>
              <w:rPr>
                <w:sz w:val="22"/>
                <w:szCs w:val="22"/>
              </w:rPr>
              <w:t>Reliability</w:t>
            </w:r>
          </w:p>
        </w:tc>
        <w:tc>
          <w:tcPr>
            <w:tcW w:w="2098" w:type="dxa"/>
            <w:vAlign w:val="center"/>
          </w:tcPr>
          <w:p w14:paraId="23C6412B" w14:textId="77777777" w:rsidR="00BA0745" w:rsidRDefault="00000000">
            <w:pPr>
              <w:spacing w:before="120" w:after="120"/>
              <w:jc w:val="center"/>
              <w:rPr>
                <w:sz w:val="22"/>
                <w:szCs w:val="22"/>
              </w:rPr>
            </w:pPr>
            <w:r>
              <w:rPr>
                <w:sz w:val="22"/>
                <w:szCs w:val="22"/>
              </w:rPr>
              <w:t>CORE-8 WSQS construction item; excluded from predictors</w:t>
            </w:r>
          </w:p>
        </w:tc>
      </w:tr>
      <w:tr w:rsidR="00BA0745" w14:paraId="79A64A9F" w14:textId="77777777">
        <w:tc>
          <w:tcPr>
            <w:tcW w:w="729" w:type="dxa"/>
            <w:vAlign w:val="center"/>
          </w:tcPr>
          <w:p w14:paraId="40A9B6E5" w14:textId="77777777" w:rsidR="00BA0745" w:rsidRDefault="00000000">
            <w:pPr>
              <w:spacing w:before="120" w:after="120"/>
              <w:jc w:val="center"/>
              <w:rPr>
                <w:sz w:val="22"/>
                <w:szCs w:val="22"/>
              </w:rPr>
            </w:pPr>
            <w:r>
              <w:rPr>
                <w:sz w:val="22"/>
                <w:szCs w:val="22"/>
              </w:rPr>
              <w:t>Q4.2</w:t>
            </w:r>
          </w:p>
        </w:tc>
        <w:tc>
          <w:tcPr>
            <w:tcW w:w="1782" w:type="dxa"/>
            <w:vAlign w:val="center"/>
          </w:tcPr>
          <w:p w14:paraId="49DA45A9" w14:textId="77777777" w:rsidR="00BA0745" w:rsidRDefault="00000000">
            <w:pPr>
              <w:spacing w:before="120" w:after="120"/>
              <w:jc w:val="center"/>
              <w:rPr>
                <w:sz w:val="22"/>
                <w:szCs w:val="22"/>
              </w:rPr>
            </w:pPr>
            <w:r>
              <w:rPr>
                <w:sz w:val="22"/>
                <w:szCs w:val="22"/>
              </w:rPr>
              <w:t>How sufficient and consistent is your household’s water pressure?</w:t>
            </w:r>
          </w:p>
        </w:tc>
        <w:tc>
          <w:tcPr>
            <w:tcW w:w="2634" w:type="dxa"/>
            <w:vAlign w:val="center"/>
          </w:tcPr>
          <w:p w14:paraId="55AF2F66" w14:textId="77777777" w:rsidR="00BA0745" w:rsidRDefault="00000000">
            <w:pPr>
              <w:spacing w:before="120" w:after="120"/>
              <w:jc w:val="center"/>
              <w:rPr>
                <w:sz w:val="22"/>
                <w:szCs w:val="22"/>
              </w:rPr>
            </w:pPr>
            <w:r>
              <w:rPr>
                <w:sz w:val="22"/>
                <w:szCs w:val="22"/>
              </w:rPr>
              <w:t>Always sufficient to always low</w:t>
            </w:r>
          </w:p>
        </w:tc>
        <w:tc>
          <w:tcPr>
            <w:tcW w:w="2117" w:type="dxa"/>
            <w:vAlign w:val="center"/>
          </w:tcPr>
          <w:p w14:paraId="3CBA2F13" w14:textId="77777777" w:rsidR="00BA0745" w:rsidRDefault="00000000">
            <w:pPr>
              <w:spacing w:before="120" w:after="120"/>
              <w:jc w:val="center"/>
              <w:rPr>
                <w:sz w:val="22"/>
                <w:szCs w:val="22"/>
              </w:rPr>
            </w:pPr>
            <w:r>
              <w:rPr>
                <w:sz w:val="22"/>
                <w:szCs w:val="22"/>
              </w:rPr>
              <w:t>Reliability / water pressure</w:t>
            </w:r>
          </w:p>
        </w:tc>
        <w:tc>
          <w:tcPr>
            <w:tcW w:w="2098" w:type="dxa"/>
            <w:vAlign w:val="center"/>
          </w:tcPr>
          <w:p w14:paraId="4DACCFA2" w14:textId="77777777" w:rsidR="00BA0745" w:rsidRDefault="00000000">
            <w:pPr>
              <w:spacing w:before="120" w:after="120"/>
              <w:jc w:val="center"/>
              <w:rPr>
                <w:sz w:val="22"/>
                <w:szCs w:val="22"/>
              </w:rPr>
            </w:pPr>
            <w:r>
              <w:rPr>
                <w:sz w:val="22"/>
                <w:szCs w:val="22"/>
              </w:rPr>
              <w:t>Diagnostic service-support predictor</w:t>
            </w:r>
          </w:p>
        </w:tc>
      </w:tr>
      <w:tr w:rsidR="00BA0745" w14:paraId="036AC34F" w14:textId="77777777">
        <w:tc>
          <w:tcPr>
            <w:tcW w:w="729" w:type="dxa"/>
            <w:vAlign w:val="center"/>
          </w:tcPr>
          <w:p w14:paraId="7B89AE9E" w14:textId="77777777" w:rsidR="00BA0745" w:rsidRDefault="00000000">
            <w:pPr>
              <w:spacing w:before="120" w:after="120"/>
              <w:jc w:val="center"/>
              <w:rPr>
                <w:sz w:val="22"/>
                <w:szCs w:val="22"/>
              </w:rPr>
            </w:pPr>
            <w:r>
              <w:rPr>
                <w:sz w:val="22"/>
                <w:szCs w:val="22"/>
              </w:rPr>
              <w:t>Q4.3</w:t>
            </w:r>
          </w:p>
        </w:tc>
        <w:tc>
          <w:tcPr>
            <w:tcW w:w="1782" w:type="dxa"/>
            <w:vAlign w:val="center"/>
          </w:tcPr>
          <w:p w14:paraId="6BFCE326" w14:textId="77777777" w:rsidR="00BA0745" w:rsidRDefault="00000000">
            <w:pPr>
              <w:spacing w:before="120" w:after="120"/>
              <w:jc w:val="center"/>
              <w:rPr>
                <w:sz w:val="22"/>
                <w:szCs w:val="22"/>
              </w:rPr>
            </w:pPr>
            <w:r>
              <w:rPr>
                <w:sz w:val="22"/>
                <w:szCs w:val="22"/>
              </w:rPr>
              <w:t>How often does your household receive advance communication or announcement about water-service disruption?</w:t>
            </w:r>
          </w:p>
        </w:tc>
        <w:tc>
          <w:tcPr>
            <w:tcW w:w="2634" w:type="dxa"/>
            <w:vAlign w:val="center"/>
          </w:tcPr>
          <w:p w14:paraId="5FA31D77" w14:textId="77777777" w:rsidR="00BA0745" w:rsidRDefault="00000000">
            <w:pPr>
              <w:spacing w:before="120" w:after="120"/>
              <w:jc w:val="center"/>
              <w:rPr>
                <w:sz w:val="22"/>
                <w:szCs w:val="22"/>
              </w:rPr>
            </w:pPr>
            <w:r>
              <w:rPr>
                <w:sz w:val="22"/>
                <w:szCs w:val="22"/>
              </w:rPr>
              <w:t>Always to never; includes no communication stream</w:t>
            </w:r>
          </w:p>
        </w:tc>
        <w:tc>
          <w:tcPr>
            <w:tcW w:w="2117" w:type="dxa"/>
            <w:vAlign w:val="center"/>
          </w:tcPr>
          <w:p w14:paraId="0FAE5765" w14:textId="77777777" w:rsidR="00BA0745" w:rsidRDefault="00000000">
            <w:pPr>
              <w:spacing w:before="120" w:after="120"/>
              <w:jc w:val="center"/>
              <w:rPr>
                <w:sz w:val="22"/>
                <w:szCs w:val="22"/>
              </w:rPr>
            </w:pPr>
            <w:r>
              <w:rPr>
                <w:sz w:val="22"/>
                <w:szCs w:val="22"/>
              </w:rPr>
              <w:t>Reliability / disruption communication</w:t>
            </w:r>
          </w:p>
        </w:tc>
        <w:tc>
          <w:tcPr>
            <w:tcW w:w="2098" w:type="dxa"/>
            <w:vAlign w:val="center"/>
          </w:tcPr>
          <w:p w14:paraId="2E5B6627" w14:textId="77777777" w:rsidR="00BA0745" w:rsidRDefault="00000000">
            <w:pPr>
              <w:spacing w:before="120" w:after="120"/>
              <w:jc w:val="center"/>
              <w:rPr>
                <w:sz w:val="22"/>
                <w:szCs w:val="22"/>
              </w:rPr>
            </w:pPr>
            <w:r>
              <w:rPr>
                <w:sz w:val="22"/>
                <w:szCs w:val="22"/>
              </w:rPr>
              <w:t>Diagnostic service-support predictor, with communication-status indicator where non-invariant</w:t>
            </w:r>
          </w:p>
        </w:tc>
      </w:tr>
      <w:tr w:rsidR="00BA0745" w14:paraId="3DDC6F3D" w14:textId="77777777">
        <w:tc>
          <w:tcPr>
            <w:tcW w:w="729" w:type="dxa"/>
            <w:vAlign w:val="center"/>
          </w:tcPr>
          <w:p w14:paraId="31D358B6" w14:textId="77777777" w:rsidR="00BA0745" w:rsidRDefault="00000000">
            <w:pPr>
              <w:spacing w:before="120" w:after="120"/>
              <w:jc w:val="center"/>
              <w:rPr>
                <w:sz w:val="22"/>
                <w:szCs w:val="22"/>
              </w:rPr>
            </w:pPr>
            <w:r>
              <w:rPr>
                <w:sz w:val="22"/>
                <w:szCs w:val="22"/>
              </w:rPr>
              <w:t>Q4.4</w:t>
            </w:r>
          </w:p>
        </w:tc>
        <w:tc>
          <w:tcPr>
            <w:tcW w:w="1782" w:type="dxa"/>
            <w:vAlign w:val="center"/>
          </w:tcPr>
          <w:p w14:paraId="13FEFBA3" w14:textId="77777777" w:rsidR="00BA0745" w:rsidRDefault="00000000">
            <w:pPr>
              <w:spacing w:before="120" w:after="120"/>
              <w:jc w:val="center"/>
              <w:rPr>
                <w:sz w:val="22"/>
                <w:szCs w:val="22"/>
              </w:rPr>
            </w:pPr>
            <w:r>
              <w:rPr>
                <w:sz w:val="22"/>
                <w:szCs w:val="22"/>
              </w:rPr>
              <w:t>Does your household have backup water during water-service failure?</w:t>
            </w:r>
          </w:p>
        </w:tc>
        <w:tc>
          <w:tcPr>
            <w:tcW w:w="2634" w:type="dxa"/>
            <w:vAlign w:val="center"/>
          </w:tcPr>
          <w:p w14:paraId="38085490" w14:textId="77777777" w:rsidR="00BA0745" w:rsidRDefault="00000000">
            <w:pPr>
              <w:spacing w:before="120" w:after="120"/>
              <w:jc w:val="center"/>
              <w:rPr>
                <w:sz w:val="22"/>
                <w:szCs w:val="22"/>
              </w:rPr>
            </w:pPr>
            <w:r>
              <w:rPr>
                <w:sz w:val="22"/>
                <w:szCs w:val="22"/>
              </w:rPr>
              <w:t>Sufficient backup, limited backup, no backup, or source unaffected</w:t>
            </w:r>
          </w:p>
        </w:tc>
        <w:tc>
          <w:tcPr>
            <w:tcW w:w="2117" w:type="dxa"/>
            <w:vAlign w:val="center"/>
          </w:tcPr>
          <w:p w14:paraId="32A0E291" w14:textId="77777777" w:rsidR="00BA0745" w:rsidRDefault="00000000">
            <w:pPr>
              <w:spacing w:before="120" w:after="120"/>
              <w:jc w:val="center"/>
              <w:rPr>
                <w:sz w:val="22"/>
                <w:szCs w:val="22"/>
              </w:rPr>
            </w:pPr>
            <w:r>
              <w:rPr>
                <w:sz w:val="22"/>
                <w:szCs w:val="22"/>
              </w:rPr>
              <w:t>Reliability / backup availability</w:t>
            </w:r>
          </w:p>
        </w:tc>
        <w:tc>
          <w:tcPr>
            <w:tcW w:w="2098" w:type="dxa"/>
            <w:vAlign w:val="center"/>
          </w:tcPr>
          <w:p w14:paraId="6120AEBD" w14:textId="77777777" w:rsidR="00BA0745" w:rsidRDefault="00000000">
            <w:pPr>
              <w:spacing w:before="120" w:after="120"/>
              <w:jc w:val="center"/>
              <w:rPr>
                <w:sz w:val="22"/>
                <w:szCs w:val="22"/>
              </w:rPr>
            </w:pPr>
            <w:r>
              <w:rPr>
                <w:sz w:val="22"/>
                <w:szCs w:val="22"/>
              </w:rPr>
              <w:t>Diagnostic service-support predictor</w:t>
            </w:r>
          </w:p>
        </w:tc>
      </w:tr>
      <w:tr w:rsidR="00BA0745" w14:paraId="2EA84101" w14:textId="77777777">
        <w:tc>
          <w:tcPr>
            <w:tcW w:w="729" w:type="dxa"/>
            <w:vAlign w:val="center"/>
          </w:tcPr>
          <w:p w14:paraId="4CA44430" w14:textId="77777777" w:rsidR="00BA0745" w:rsidRDefault="00000000">
            <w:pPr>
              <w:spacing w:before="120" w:after="120"/>
              <w:jc w:val="center"/>
              <w:rPr>
                <w:sz w:val="22"/>
                <w:szCs w:val="22"/>
              </w:rPr>
            </w:pPr>
            <w:r>
              <w:rPr>
                <w:sz w:val="22"/>
                <w:szCs w:val="22"/>
              </w:rPr>
              <w:t>Q4.5</w:t>
            </w:r>
          </w:p>
        </w:tc>
        <w:tc>
          <w:tcPr>
            <w:tcW w:w="1782" w:type="dxa"/>
            <w:vAlign w:val="center"/>
          </w:tcPr>
          <w:p w14:paraId="54D8B4C9" w14:textId="77777777" w:rsidR="00BA0745" w:rsidRDefault="00000000">
            <w:pPr>
              <w:spacing w:before="120" w:after="120"/>
              <w:jc w:val="center"/>
              <w:rPr>
                <w:sz w:val="22"/>
                <w:szCs w:val="22"/>
              </w:rPr>
            </w:pPr>
            <w:r>
              <w:rPr>
                <w:sz w:val="22"/>
                <w:szCs w:val="22"/>
              </w:rPr>
              <w:t>How important is reliability when evaluating your household’s water service quality?</w:t>
            </w:r>
          </w:p>
        </w:tc>
        <w:tc>
          <w:tcPr>
            <w:tcW w:w="2634" w:type="dxa"/>
            <w:vAlign w:val="center"/>
          </w:tcPr>
          <w:p w14:paraId="189C6A93" w14:textId="77777777" w:rsidR="00BA0745" w:rsidRDefault="00000000">
            <w:pPr>
              <w:spacing w:before="120" w:after="120"/>
              <w:jc w:val="center"/>
              <w:rPr>
                <w:sz w:val="22"/>
                <w:szCs w:val="22"/>
              </w:rPr>
            </w:pPr>
            <w:r>
              <w:rPr>
                <w:sz w:val="22"/>
                <w:szCs w:val="22"/>
              </w:rPr>
              <w:t>0–10 stated priority scale; higher values indicate greater stated importance</w:t>
            </w:r>
          </w:p>
        </w:tc>
        <w:tc>
          <w:tcPr>
            <w:tcW w:w="2117" w:type="dxa"/>
            <w:vAlign w:val="center"/>
          </w:tcPr>
          <w:p w14:paraId="43B13DED" w14:textId="77777777" w:rsidR="00BA0745" w:rsidRDefault="00000000">
            <w:pPr>
              <w:spacing w:before="120" w:after="120"/>
              <w:jc w:val="center"/>
              <w:rPr>
                <w:sz w:val="22"/>
                <w:szCs w:val="22"/>
              </w:rPr>
            </w:pPr>
            <w:r>
              <w:rPr>
                <w:sz w:val="22"/>
                <w:szCs w:val="22"/>
              </w:rPr>
              <w:t>Reliability priority</w:t>
            </w:r>
          </w:p>
        </w:tc>
        <w:tc>
          <w:tcPr>
            <w:tcW w:w="2098" w:type="dxa"/>
            <w:vAlign w:val="center"/>
          </w:tcPr>
          <w:p w14:paraId="01A1939B" w14:textId="77777777" w:rsidR="00BA0745" w:rsidRDefault="00000000">
            <w:pPr>
              <w:spacing w:before="120" w:after="120"/>
              <w:jc w:val="center"/>
              <w:rPr>
                <w:sz w:val="22"/>
                <w:szCs w:val="22"/>
              </w:rPr>
            </w:pPr>
            <w:r>
              <w:rPr>
                <w:sz w:val="22"/>
                <w:szCs w:val="22"/>
              </w:rPr>
              <w:t>Stated-priority predictor; used in priority-weighted WSQS sensitivity</w:t>
            </w:r>
          </w:p>
        </w:tc>
      </w:tr>
      <w:tr w:rsidR="00BA0745" w14:paraId="439E9A3D" w14:textId="77777777">
        <w:tc>
          <w:tcPr>
            <w:tcW w:w="729" w:type="dxa"/>
            <w:vAlign w:val="center"/>
          </w:tcPr>
          <w:p w14:paraId="07D296D7" w14:textId="77777777" w:rsidR="00BA0745" w:rsidRDefault="00000000">
            <w:pPr>
              <w:spacing w:before="120" w:after="120"/>
              <w:jc w:val="center"/>
              <w:rPr>
                <w:sz w:val="22"/>
                <w:szCs w:val="22"/>
              </w:rPr>
            </w:pPr>
            <w:r>
              <w:rPr>
                <w:sz w:val="22"/>
                <w:szCs w:val="22"/>
              </w:rPr>
              <w:t>Q5.1</w:t>
            </w:r>
          </w:p>
        </w:tc>
        <w:tc>
          <w:tcPr>
            <w:tcW w:w="1782" w:type="dxa"/>
            <w:vAlign w:val="center"/>
          </w:tcPr>
          <w:p w14:paraId="34F15C0F" w14:textId="77777777" w:rsidR="00BA0745" w:rsidRDefault="00000000">
            <w:pPr>
              <w:spacing w:before="120" w:after="120"/>
              <w:jc w:val="center"/>
              <w:rPr>
                <w:sz w:val="22"/>
                <w:szCs w:val="22"/>
              </w:rPr>
            </w:pPr>
            <w:r>
              <w:rPr>
                <w:sz w:val="22"/>
                <w:szCs w:val="22"/>
              </w:rPr>
              <w:t>How efficient is your household’s water system or water service?</w:t>
            </w:r>
          </w:p>
        </w:tc>
        <w:tc>
          <w:tcPr>
            <w:tcW w:w="2634" w:type="dxa"/>
            <w:vAlign w:val="center"/>
          </w:tcPr>
          <w:p w14:paraId="2A657225" w14:textId="77777777" w:rsidR="00BA0745" w:rsidRDefault="00000000">
            <w:pPr>
              <w:spacing w:before="120" w:after="120"/>
              <w:jc w:val="center"/>
              <w:rPr>
                <w:sz w:val="22"/>
                <w:szCs w:val="22"/>
              </w:rPr>
            </w:pPr>
            <w:r>
              <w:rPr>
                <w:sz w:val="22"/>
                <w:szCs w:val="22"/>
              </w:rPr>
              <w:t>Very efficient to very inefficient</w:t>
            </w:r>
          </w:p>
        </w:tc>
        <w:tc>
          <w:tcPr>
            <w:tcW w:w="2117" w:type="dxa"/>
            <w:vAlign w:val="center"/>
          </w:tcPr>
          <w:p w14:paraId="10D8CA9A" w14:textId="77777777" w:rsidR="00BA0745" w:rsidRDefault="00000000">
            <w:pPr>
              <w:spacing w:before="120" w:after="120"/>
              <w:jc w:val="center"/>
              <w:rPr>
                <w:sz w:val="22"/>
                <w:szCs w:val="22"/>
              </w:rPr>
            </w:pPr>
            <w:r>
              <w:rPr>
                <w:sz w:val="22"/>
                <w:szCs w:val="22"/>
              </w:rPr>
              <w:t>Efficiency</w:t>
            </w:r>
          </w:p>
        </w:tc>
        <w:tc>
          <w:tcPr>
            <w:tcW w:w="2098" w:type="dxa"/>
            <w:vAlign w:val="center"/>
          </w:tcPr>
          <w:p w14:paraId="67E126E9" w14:textId="77777777" w:rsidR="00BA0745" w:rsidRDefault="00000000">
            <w:pPr>
              <w:spacing w:before="120" w:after="120"/>
              <w:jc w:val="center"/>
              <w:rPr>
                <w:sz w:val="22"/>
                <w:szCs w:val="22"/>
              </w:rPr>
            </w:pPr>
            <w:r>
              <w:rPr>
                <w:sz w:val="22"/>
                <w:szCs w:val="22"/>
              </w:rPr>
              <w:t>CORE-8 WSQS construction item; excluded from predictors</w:t>
            </w:r>
          </w:p>
        </w:tc>
      </w:tr>
      <w:tr w:rsidR="00BA0745" w14:paraId="6ED6E7CB" w14:textId="77777777">
        <w:tc>
          <w:tcPr>
            <w:tcW w:w="729" w:type="dxa"/>
            <w:vAlign w:val="center"/>
          </w:tcPr>
          <w:p w14:paraId="368FF35F" w14:textId="77777777" w:rsidR="00BA0745" w:rsidRDefault="00000000">
            <w:pPr>
              <w:spacing w:before="120" w:after="120"/>
              <w:jc w:val="center"/>
              <w:rPr>
                <w:sz w:val="22"/>
                <w:szCs w:val="22"/>
              </w:rPr>
            </w:pPr>
            <w:r>
              <w:rPr>
                <w:sz w:val="22"/>
                <w:szCs w:val="22"/>
              </w:rPr>
              <w:t>Q5.2</w:t>
            </w:r>
          </w:p>
        </w:tc>
        <w:tc>
          <w:tcPr>
            <w:tcW w:w="1782" w:type="dxa"/>
            <w:vAlign w:val="center"/>
          </w:tcPr>
          <w:p w14:paraId="4B785BDA" w14:textId="77777777" w:rsidR="00BA0745" w:rsidRDefault="00000000">
            <w:pPr>
              <w:spacing w:before="120" w:after="120"/>
              <w:jc w:val="center"/>
              <w:rPr>
                <w:sz w:val="22"/>
                <w:szCs w:val="22"/>
              </w:rPr>
            </w:pPr>
            <w:r>
              <w:rPr>
                <w:sz w:val="22"/>
                <w:szCs w:val="22"/>
              </w:rPr>
              <w:t>Does your household experience minor or significant variations in water service?</w:t>
            </w:r>
          </w:p>
        </w:tc>
        <w:tc>
          <w:tcPr>
            <w:tcW w:w="2634" w:type="dxa"/>
            <w:vAlign w:val="center"/>
          </w:tcPr>
          <w:p w14:paraId="636899F4" w14:textId="77777777" w:rsidR="00BA0745" w:rsidRDefault="00000000">
            <w:pPr>
              <w:spacing w:before="120" w:after="120"/>
              <w:jc w:val="center"/>
              <w:rPr>
                <w:sz w:val="22"/>
                <w:szCs w:val="22"/>
              </w:rPr>
            </w:pPr>
            <w:r>
              <w:rPr>
                <w:sz w:val="22"/>
                <w:szCs w:val="22"/>
              </w:rPr>
              <w:t>No variation, minor variations, significant variations</w:t>
            </w:r>
          </w:p>
        </w:tc>
        <w:tc>
          <w:tcPr>
            <w:tcW w:w="2117" w:type="dxa"/>
            <w:vAlign w:val="center"/>
          </w:tcPr>
          <w:p w14:paraId="3EE704BA" w14:textId="77777777" w:rsidR="00BA0745" w:rsidRDefault="00000000">
            <w:pPr>
              <w:spacing w:before="120" w:after="120"/>
              <w:jc w:val="center"/>
              <w:rPr>
                <w:sz w:val="22"/>
                <w:szCs w:val="22"/>
              </w:rPr>
            </w:pPr>
            <w:r>
              <w:rPr>
                <w:sz w:val="22"/>
                <w:szCs w:val="22"/>
              </w:rPr>
              <w:t>Efficiency / service variation</w:t>
            </w:r>
          </w:p>
        </w:tc>
        <w:tc>
          <w:tcPr>
            <w:tcW w:w="2098" w:type="dxa"/>
            <w:vAlign w:val="center"/>
          </w:tcPr>
          <w:p w14:paraId="3FAD1A4E" w14:textId="77777777" w:rsidR="00BA0745" w:rsidRDefault="00000000">
            <w:pPr>
              <w:spacing w:before="120" w:after="120"/>
              <w:jc w:val="center"/>
              <w:rPr>
                <w:sz w:val="22"/>
                <w:szCs w:val="22"/>
              </w:rPr>
            </w:pPr>
            <w:r>
              <w:rPr>
                <w:sz w:val="22"/>
                <w:szCs w:val="22"/>
              </w:rPr>
              <w:t>Diagnostic service-support predictor</w:t>
            </w:r>
          </w:p>
        </w:tc>
      </w:tr>
      <w:tr w:rsidR="00BA0745" w14:paraId="450B0EA1" w14:textId="77777777">
        <w:tc>
          <w:tcPr>
            <w:tcW w:w="729" w:type="dxa"/>
            <w:vAlign w:val="center"/>
          </w:tcPr>
          <w:p w14:paraId="45873F32" w14:textId="77777777" w:rsidR="00BA0745" w:rsidRDefault="00000000">
            <w:pPr>
              <w:spacing w:before="120" w:after="120"/>
              <w:jc w:val="center"/>
              <w:rPr>
                <w:sz w:val="22"/>
                <w:szCs w:val="22"/>
              </w:rPr>
            </w:pPr>
            <w:r>
              <w:rPr>
                <w:sz w:val="22"/>
                <w:szCs w:val="22"/>
              </w:rPr>
              <w:lastRenderedPageBreak/>
              <w:t>Q5.3</w:t>
            </w:r>
          </w:p>
        </w:tc>
        <w:tc>
          <w:tcPr>
            <w:tcW w:w="1782" w:type="dxa"/>
            <w:vAlign w:val="center"/>
          </w:tcPr>
          <w:p w14:paraId="709042F1" w14:textId="77777777" w:rsidR="00BA0745" w:rsidRDefault="00000000">
            <w:pPr>
              <w:spacing w:before="120" w:after="120"/>
              <w:jc w:val="center"/>
              <w:rPr>
                <w:sz w:val="22"/>
                <w:szCs w:val="22"/>
              </w:rPr>
            </w:pPr>
            <w:r>
              <w:rPr>
                <w:sz w:val="22"/>
                <w:szCs w:val="22"/>
              </w:rPr>
              <w:t>How well maintained is the water infrastructure serving your household?</w:t>
            </w:r>
          </w:p>
        </w:tc>
        <w:tc>
          <w:tcPr>
            <w:tcW w:w="2634" w:type="dxa"/>
            <w:vAlign w:val="center"/>
          </w:tcPr>
          <w:p w14:paraId="69651953" w14:textId="77777777" w:rsidR="00BA0745" w:rsidRDefault="00000000">
            <w:pPr>
              <w:spacing w:before="120" w:after="120"/>
              <w:jc w:val="center"/>
              <w:rPr>
                <w:sz w:val="22"/>
                <w:szCs w:val="22"/>
              </w:rPr>
            </w:pPr>
            <w:proofErr w:type="gramStart"/>
            <w:r>
              <w:rPr>
                <w:sz w:val="22"/>
                <w:szCs w:val="22"/>
              </w:rPr>
              <w:t>Well</w:t>
            </w:r>
            <w:proofErr w:type="gramEnd"/>
            <w:r>
              <w:rPr>
                <w:sz w:val="22"/>
                <w:szCs w:val="22"/>
              </w:rPr>
              <w:t xml:space="preserve"> maintained </w:t>
            </w:r>
            <w:proofErr w:type="gramStart"/>
            <w:r>
              <w:rPr>
                <w:sz w:val="22"/>
                <w:szCs w:val="22"/>
              </w:rPr>
              <w:t>to</w:t>
            </w:r>
            <w:proofErr w:type="gramEnd"/>
            <w:r>
              <w:rPr>
                <w:sz w:val="22"/>
                <w:szCs w:val="22"/>
              </w:rPr>
              <w:t xml:space="preserve"> poorly maintained or not aware</w:t>
            </w:r>
          </w:p>
        </w:tc>
        <w:tc>
          <w:tcPr>
            <w:tcW w:w="2117" w:type="dxa"/>
            <w:vAlign w:val="center"/>
          </w:tcPr>
          <w:p w14:paraId="66897611" w14:textId="77777777" w:rsidR="00BA0745" w:rsidRDefault="00000000">
            <w:pPr>
              <w:spacing w:before="120" w:after="120"/>
              <w:jc w:val="center"/>
              <w:rPr>
                <w:sz w:val="22"/>
                <w:szCs w:val="22"/>
              </w:rPr>
            </w:pPr>
            <w:r>
              <w:rPr>
                <w:sz w:val="22"/>
                <w:szCs w:val="22"/>
              </w:rPr>
              <w:t>Efficiency / infrastructure maintenance</w:t>
            </w:r>
          </w:p>
        </w:tc>
        <w:tc>
          <w:tcPr>
            <w:tcW w:w="2098" w:type="dxa"/>
            <w:vAlign w:val="center"/>
          </w:tcPr>
          <w:p w14:paraId="4283601D" w14:textId="77777777" w:rsidR="00BA0745" w:rsidRDefault="00000000">
            <w:pPr>
              <w:spacing w:before="120" w:after="120"/>
              <w:jc w:val="center"/>
              <w:rPr>
                <w:sz w:val="22"/>
                <w:szCs w:val="22"/>
              </w:rPr>
            </w:pPr>
            <w:r>
              <w:rPr>
                <w:sz w:val="22"/>
                <w:szCs w:val="22"/>
              </w:rPr>
              <w:t>Diagnostic service-support predictor</w:t>
            </w:r>
          </w:p>
        </w:tc>
      </w:tr>
      <w:tr w:rsidR="00BA0745" w14:paraId="6AA84BE5" w14:textId="77777777">
        <w:tc>
          <w:tcPr>
            <w:tcW w:w="729" w:type="dxa"/>
            <w:vAlign w:val="center"/>
          </w:tcPr>
          <w:p w14:paraId="543D0503" w14:textId="77777777" w:rsidR="00BA0745" w:rsidRDefault="00000000">
            <w:pPr>
              <w:spacing w:before="120" w:after="120"/>
              <w:jc w:val="center"/>
              <w:rPr>
                <w:sz w:val="22"/>
                <w:szCs w:val="22"/>
              </w:rPr>
            </w:pPr>
            <w:r>
              <w:rPr>
                <w:sz w:val="22"/>
                <w:szCs w:val="22"/>
              </w:rPr>
              <w:t>Q5.4</w:t>
            </w:r>
          </w:p>
        </w:tc>
        <w:tc>
          <w:tcPr>
            <w:tcW w:w="1782" w:type="dxa"/>
            <w:vAlign w:val="center"/>
          </w:tcPr>
          <w:p w14:paraId="43F62BB7" w14:textId="77777777" w:rsidR="00BA0745" w:rsidRDefault="00000000">
            <w:pPr>
              <w:spacing w:before="120" w:after="120"/>
              <w:jc w:val="center"/>
              <w:rPr>
                <w:sz w:val="22"/>
                <w:szCs w:val="22"/>
              </w:rPr>
            </w:pPr>
            <w:r>
              <w:rPr>
                <w:sz w:val="22"/>
                <w:szCs w:val="22"/>
              </w:rPr>
              <w:t>How important is efficiency when evaluating your household’s water service quality?</w:t>
            </w:r>
          </w:p>
        </w:tc>
        <w:tc>
          <w:tcPr>
            <w:tcW w:w="2634" w:type="dxa"/>
            <w:vAlign w:val="center"/>
          </w:tcPr>
          <w:p w14:paraId="55F7ED56" w14:textId="77777777" w:rsidR="00BA0745" w:rsidRDefault="00000000">
            <w:pPr>
              <w:spacing w:before="120" w:after="120"/>
              <w:jc w:val="center"/>
              <w:rPr>
                <w:sz w:val="22"/>
                <w:szCs w:val="22"/>
              </w:rPr>
            </w:pPr>
            <w:r>
              <w:rPr>
                <w:sz w:val="22"/>
                <w:szCs w:val="22"/>
              </w:rPr>
              <w:t>0–10 stated priority scale; higher values indicate greater stated importance</w:t>
            </w:r>
          </w:p>
        </w:tc>
        <w:tc>
          <w:tcPr>
            <w:tcW w:w="2117" w:type="dxa"/>
            <w:vAlign w:val="center"/>
          </w:tcPr>
          <w:p w14:paraId="2358DEA0" w14:textId="77777777" w:rsidR="00BA0745" w:rsidRDefault="00000000">
            <w:pPr>
              <w:spacing w:before="120" w:after="120"/>
              <w:jc w:val="center"/>
              <w:rPr>
                <w:sz w:val="22"/>
                <w:szCs w:val="22"/>
              </w:rPr>
            </w:pPr>
            <w:r>
              <w:rPr>
                <w:sz w:val="22"/>
                <w:szCs w:val="22"/>
              </w:rPr>
              <w:t>Efficiency priority</w:t>
            </w:r>
          </w:p>
        </w:tc>
        <w:tc>
          <w:tcPr>
            <w:tcW w:w="2098" w:type="dxa"/>
            <w:vAlign w:val="center"/>
          </w:tcPr>
          <w:p w14:paraId="2361668F" w14:textId="77777777" w:rsidR="00BA0745" w:rsidRDefault="00000000">
            <w:pPr>
              <w:spacing w:before="120" w:after="120"/>
              <w:jc w:val="center"/>
              <w:rPr>
                <w:sz w:val="22"/>
                <w:szCs w:val="22"/>
              </w:rPr>
            </w:pPr>
            <w:r>
              <w:rPr>
                <w:sz w:val="22"/>
                <w:szCs w:val="22"/>
              </w:rPr>
              <w:t>Stated-priority predictor; used in priority-weighted WSQS sensitivity</w:t>
            </w:r>
          </w:p>
        </w:tc>
      </w:tr>
      <w:tr w:rsidR="00BA0745" w14:paraId="6F367495" w14:textId="77777777">
        <w:tc>
          <w:tcPr>
            <w:tcW w:w="729" w:type="dxa"/>
            <w:vAlign w:val="center"/>
          </w:tcPr>
          <w:p w14:paraId="55748920" w14:textId="77777777" w:rsidR="00BA0745" w:rsidRDefault="00000000">
            <w:pPr>
              <w:spacing w:before="120" w:after="120"/>
              <w:jc w:val="center"/>
              <w:rPr>
                <w:sz w:val="22"/>
                <w:szCs w:val="22"/>
              </w:rPr>
            </w:pPr>
            <w:r>
              <w:rPr>
                <w:sz w:val="22"/>
                <w:szCs w:val="22"/>
              </w:rPr>
              <w:t>Q6.1</w:t>
            </w:r>
          </w:p>
        </w:tc>
        <w:tc>
          <w:tcPr>
            <w:tcW w:w="1782" w:type="dxa"/>
            <w:vAlign w:val="center"/>
          </w:tcPr>
          <w:p w14:paraId="72BD70E8" w14:textId="77777777" w:rsidR="00BA0745" w:rsidRDefault="00000000">
            <w:pPr>
              <w:spacing w:before="120" w:after="120"/>
              <w:jc w:val="center"/>
              <w:rPr>
                <w:sz w:val="22"/>
                <w:szCs w:val="22"/>
              </w:rPr>
            </w:pPr>
            <w:r>
              <w:rPr>
                <w:sz w:val="22"/>
                <w:szCs w:val="22"/>
              </w:rPr>
              <w:t>Overall, how acceptable is your household’s water service?</w:t>
            </w:r>
          </w:p>
        </w:tc>
        <w:tc>
          <w:tcPr>
            <w:tcW w:w="2634" w:type="dxa"/>
            <w:vAlign w:val="center"/>
          </w:tcPr>
          <w:p w14:paraId="68A15DC7" w14:textId="77777777" w:rsidR="00BA0745" w:rsidRDefault="00000000">
            <w:pPr>
              <w:spacing w:before="120" w:after="120"/>
              <w:jc w:val="center"/>
              <w:rPr>
                <w:sz w:val="22"/>
                <w:szCs w:val="22"/>
              </w:rPr>
            </w:pPr>
            <w:r>
              <w:rPr>
                <w:sz w:val="22"/>
                <w:szCs w:val="22"/>
              </w:rPr>
              <w:t>Completely satisfied to completely dissatisfied</w:t>
            </w:r>
          </w:p>
        </w:tc>
        <w:tc>
          <w:tcPr>
            <w:tcW w:w="2117" w:type="dxa"/>
            <w:vAlign w:val="center"/>
          </w:tcPr>
          <w:p w14:paraId="119791E8" w14:textId="77777777" w:rsidR="00BA0745" w:rsidRDefault="00000000">
            <w:pPr>
              <w:spacing w:before="120" w:after="120"/>
              <w:jc w:val="center"/>
              <w:rPr>
                <w:sz w:val="22"/>
                <w:szCs w:val="22"/>
              </w:rPr>
            </w:pPr>
            <w:r>
              <w:rPr>
                <w:sz w:val="22"/>
                <w:szCs w:val="22"/>
              </w:rPr>
              <w:t>Acceptability / satisfaction</w:t>
            </w:r>
          </w:p>
        </w:tc>
        <w:tc>
          <w:tcPr>
            <w:tcW w:w="2098" w:type="dxa"/>
            <w:vAlign w:val="center"/>
          </w:tcPr>
          <w:p w14:paraId="7EC5395C" w14:textId="77777777" w:rsidR="00BA0745" w:rsidRDefault="00000000">
            <w:pPr>
              <w:spacing w:before="120" w:after="120"/>
              <w:jc w:val="center"/>
              <w:rPr>
                <w:sz w:val="22"/>
                <w:szCs w:val="22"/>
              </w:rPr>
            </w:pPr>
            <w:r>
              <w:rPr>
                <w:sz w:val="22"/>
                <w:szCs w:val="22"/>
              </w:rPr>
              <w:t>CORE-8 WSQS construction item; excluded from predictors</w:t>
            </w:r>
          </w:p>
        </w:tc>
      </w:tr>
      <w:tr w:rsidR="00BA0745" w14:paraId="7A51EB72" w14:textId="77777777">
        <w:tc>
          <w:tcPr>
            <w:tcW w:w="729" w:type="dxa"/>
            <w:vAlign w:val="center"/>
          </w:tcPr>
          <w:p w14:paraId="17236334" w14:textId="77777777" w:rsidR="00BA0745" w:rsidRDefault="00000000">
            <w:pPr>
              <w:spacing w:before="120" w:after="120"/>
              <w:jc w:val="center"/>
              <w:rPr>
                <w:sz w:val="22"/>
                <w:szCs w:val="22"/>
              </w:rPr>
            </w:pPr>
            <w:r>
              <w:rPr>
                <w:sz w:val="22"/>
                <w:szCs w:val="22"/>
              </w:rPr>
              <w:t>Q6.2</w:t>
            </w:r>
          </w:p>
        </w:tc>
        <w:tc>
          <w:tcPr>
            <w:tcW w:w="1782" w:type="dxa"/>
            <w:vAlign w:val="center"/>
          </w:tcPr>
          <w:p w14:paraId="43A18B18" w14:textId="77777777" w:rsidR="00BA0745" w:rsidRDefault="00000000">
            <w:pPr>
              <w:spacing w:before="120" w:after="120"/>
              <w:jc w:val="center"/>
              <w:rPr>
                <w:sz w:val="22"/>
                <w:szCs w:val="22"/>
              </w:rPr>
            </w:pPr>
            <w:r>
              <w:rPr>
                <w:sz w:val="22"/>
                <w:szCs w:val="22"/>
              </w:rPr>
              <w:t>How acceptable is the appearance of your household’s water?</w:t>
            </w:r>
          </w:p>
        </w:tc>
        <w:tc>
          <w:tcPr>
            <w:tcW w:w="2634" w:type="dxa"/>
            <w:vAlign w:val="center"/>
          </w:tcPr>
          <w:p w14:paraId="27620351" w14:textId="77777777" w:rsidR="00BA0745" w:rsidRDefault="00000000">
            <w:pPr>
              <w:spacing w:before="120" w:after="120"/>
              <w:jc w:val="center"/>
              <w:rPr>
                <w:sz w:val="22"/>
                <w:szCs w:val="22"/>
              </w:rPr>
            </w:pPr>
            <w:r>
              <w:rPr>
                <w:sz w:val="22"/>
                <w:szCs w:val="22"/>
              </w:rPr>
              <w:t>Completely acceptable, somewhat acceptable, neutral, somewhat unacceptable, completely unacceptable</w:t>
            </w:r>
          </w:p>
        </w:tc>
        <w:tc>
          <w:tcPr>
            <w:tcW w:w="2117" w:type="dxa"/>
            <w:vAlign w:val="center"/>
          </w:tcPr>
          <w:p w14:paraId="76260DF8" w14:textId="77777777" w:rsidR="00BA0745" w:rsidRDefault="00000000">
            <w:pPr>
              <w:spacing w:before="120" w:after="120"/>
              <w:jc w:val="center"/>
              <w:rPr>
                <w:sz w:val="22"/>
                <w:szCs w:val="22"/>
              </w:rPr>
            </w:pPr>
            <w:r>
              <w:rPr>
                <w:sz w:val="22"/>
                <w:szCs w:val="22"/>
              </w:rPr>
              <w:t>Acceptability / appearance</w:t>
            </w:r>
          </w:p>
        </w:tc>
        <w:tc>
          <w:tcPr>
            <w:tcW w:w="2098" w:type="dxa"/>
            <w:vAlign w:val="center"/>
          </w:tcPr>
          <w:p w14:paraId="2CF2D13D" w14:textId="77777777" w:rsidR="00BA0745" w:rsidRDefault="00000000">
            <w:pPr>
              <w:spacing w:before="120" w:after="120"/>
              <w:jc w:val="center"/>
              <w:rPr>
                <w:sz w:val="22"/>
                <w:szCs w:val="22"/>
              </w:rPr>
            </w:pPr>
            <w:r>
              <w:rPr>
                <w:sz w:val="22"/>
                <w:szCs w:val="22"/>
              </w:rPr>
              <w:t>Diagnostic service-support predictor</w:t>
            </w:r>
          </w:p>
        </w:tc>
      </w:tr>
      <w:tr w:rsidR="00BA0745" w14:paraId="26425C1F" w14:textId="77777777">
        <w:tc>
          <w:tcPr>
            <w:tcW w:w="729" w:type="dxa"/>
            <w:vAlign w:val="center"/>
          </w:tcPr>
          <w:p w14:paraId="33C26FE6" w14:textId="77777777" w:rsidR="00BA0745" w:rsidRDefault="00000000">
            <w:pPr>
              <w:spacing w:before="120" w:after="120"/>
              <w:jc w:val="center"/>
              <w:rPr>
                <w:sz w:val="22"/>
                <w:szCs w:val="22"/>
              </w:rPr>
            </w:pPr>
            <w:r>
              <w:rPr>
                <w:sz w:val="22"/>
                <w:szCs w:val="22"/>
              </w:rPr>
              <w:t>Q6.3</w:t>
            </w:r>
          </w:p>
        </w:tc>
        <w:tc>
          <w:tcPr>
            <w:tcW w:w="1782" w:type="dxa"/>
            <w:vAlign w:val="center"/>
          </w:tcPr>
          <w:p w14:paraId="454B8B38" w14:textId="77777777" w:rsidR="00BA0745" w:rsidRDefault="00000000">
            <w:pPr>
              <w:spacing w:before="120" w:after="120"/>
              <w:jc w:val="center"/>
              <w:rPr>
                <w:sz w:val="22"/>
                <w:szCs w:val="22"/>
              </w:rPr>
            </w:pPr>
            <w:r>
              <w:rPr>
                <w:sz w:val="22"/>
                <w:szCs w:val="22"/>
              </w:rPr>
              <w:t>How acceptable is the taste of your household’s water?</w:t>
            </w:r>
          </w:p>
        </w:tc>
        <w:tc>
          <w:tcPr>
            <w:tcW w:w="2634" w:type="dxa"/>
            <w:vAlign w:val="center"/>
          </w:tcPr>
          <w:p w14:paraId="7E28B3D0" w14:textId="77777777" w:rsidR="00BA0745" w:rsidRDefault="00000000">
            <w:pPr>
              <w:spacing w:before="120" w:after="120"/>
              <w:jc w:val="center"/>
              <w:rPr>
                <w:sz w:val="22"/>
                <w:szCs w:val="22"/>
              </w:rPr>
            </w:pPr>
            <w:r>
              <w:rPr>
                <w:sz w:val="22"/>
                <w:szCs w:val="22"/>
              </w:rPr>
              <w:t>Completely acceptable, somewhat acceptable, neutral, somewhat unacceptable, completely unacceptable</w:t>
            </w:r>
          </w:p>
        </w:tc>
        <w:tc>
          <w:tcPr>
            <w:tcW w:w="2117" w:type="dxa"/>
            <w:vAlign w:val="center"/>
          </w:tcPr>
          <w:p w14:paraId="7A8735E9" w14:textId="77777777" w:rsidR="00BA0745" w:rsidRDefault="00000000">
            <w:pPr>
              <w:spacing w:before="120" w:after="120"/>
              <w:jc w:val="center"/>
              <w:rPr>
                <w:sz w:val="22"/>
                <w:szCs w:val="22"/>
              </w:rPr>
            </w:pPr>
            <w:r>
              <w:rPr>
                <w:sz w:val="22"/>
                <w:szCs w:val="22"/>
              </w:rPr>
              <w:t>Acceptability / taste</w:t>
            </w:r>
          </w:p>
        </w:tc>
        <w:tc>
          <w:tcPr>
            <w:tcW w:w="2098" w:type="dxa"/>
            <w:vAlign w:val="center"/>
          </w:tcPr>
          <w:p w14:paraId="302C1585" w14:textId="77777777" w:rsidR="00BA0745" w:rsidRDefault="00000000">
            <w:pPr>
              <w:spacing w:before="120" w:after="120"/>
              <w:jc w:val="center"/>
              <w:rPr>
                <w:sz w:val="22"/>
                <w:szCs w:val="22"/>
              </w:rPr>
            </w:pPr>
            <w:r>
              <w:rPr>
                <w:sz w:val="22"/>
                <w:szCs w:val="22"/>
              </w:rPr>
              <w:t>Diagnostic service-support predictor</w:t>
            </w:r>
          </w:p>
        </w:tc>
      </w:tr>
      <w:tr w:rsidR="00BA0745" w14:paraId="376D3247" w14:textId="77777777">
        <w:tc>
          <w:tcPr>
            <w:tcW w:w="729" w:type="dxa"/>
            <w:vAlign w:val="center"/>
          </w:tcPr>
          <w:p w14:paraId="5AD4CBB4" w14:textId="77777777" w:rsidR="00BA0745" w:rsidRDefault="00000000">
            <w:pPr>
              <w:spacing w:before="120" w:after="120"/>
              <w:jc w:val="center"/>
              <w:rPr>
                <w:sz w:val="22"/>
                <w:szCs w:val="22"/>
              </w:rPr>
            </w:pPr>
            <w:r>
              <w:rPr>
                <w:sz w:val="22"/>
                <w:szCs w:val="22"/>
              </w:rPr>
              <w:t>Q6.4</w:t>
            </w:r>
          </w:p>
        </w:tc>
        <w:tc>
          <w:tcPr>
            <w:tcW w:w="1782" w:type="dxa"/>
            <w:vAlign w:val="center"/>
          </w:tcPr>
          <w:p w14:paraId="3097AC4E" w14:textId="77777777" w:rsidR="00BA0745" w:rsidRDefault="00000000">
            <w:pPr>
              <w:spacing w:before="120" w:after="120"/>
              <w:jc w:val="center"/>
              <w:rPr>
                <w:sz w:val="22"/>
                <w:szCs w:val="22"/>
              </w:rPr>
            </w:pPr>
            <w:r>
              <w:rPr>
                <w:sz w:val="22"/>
                <w:szCs w:val="22"/>
              </w:rPr>
              <w:t>How acceptable is the odor of your household’s water?</w:t>
            </w:r>
          </w:p>
        </w:tc>
        <w:tc>
          <w:tcPr>
            <w:tcW w:w="2634" w:type="dxa"/>
            <w:vAlign w:val="center"/>
          </w:tcPr>
          <w:p w14:paraId="45BA061A" w14:textId="77777777" w:rsidR="00BA0745" w:rsidRDefault="00000000">
            <w:pPr>
              <w:spacing w:before="120" w:after="120"/>
              <w:jc w:val="center"/>
              <w:rPr>
                <w:sz w:val="22"/>
                <w:szCs w:val="22"/>
              </w:rPr>
            </w:pPr>
            <w:r>
              <w:rPr>
                <w:sz w:val="22"/>
                <w:szCs w:val="22"/>
              </w:rPr>
              <w:t>Completely acceptable, somewhat acceptable, neutral, somewhat unacceptable, completely unacceptable</w:t>
            </w:r>
          </w:p>
        </w:tc>
        <w:tc>
          <w:tcPr>
            <w:tcW w:w="2117" w:type="dxa"/>
            <w:vAlign w:val="center"/>
          </w:tcPr>
          <w:p w14:paraId="0C88DE27" w14:textId="77777777" w:rsidR="00BA0745" w:rsidRDefault="00000000">
            <w:pPr>
              <w:spacing w:before="120" w:after="120"/>
              <w:jc w:val="center"/>
              <w:rPr>
                <w:sz w:val="22"/>
                <w:szCs w:val="22"/>
              </w:rPr>
            </w:pPr>
            <w:r>
              <w:rPr>
                <w:sz w:val="22"/>
                <w:szCs w:val="22"/>
              </w:rPr>
              <w:t>Acceptability / odor</w:t>
            </w:r>
          </w:p>
        </w:tc>
        <w:tc>
          <w:tcPr>
            <w:tcW w:w="2098" w:type="dxa"/>
            <w:vAlign w:val="center"/>
          </w:tcPr>
          <w:p w14:paraId="79BF3550" w14:textId="77777777" w:rsidR="00BA0745" w:rsidRDefault="00000000">
            <w:pPr>
              <w:spacing w:before="120" w:after="120"/>
              <w:jc w:val="center"/>
              <w:rPr>
                <w:sz w:val="22"/>
                <w:szCs w:val="22"/>
              </w:rPr>
            </w:pPr>
            <w:r>
              <w:rPr>
                <w:sz w:val="22"/>
                <w:szCs w:val="22"/>
              </w:rPr>
              <w:t>Diagnostic service-support predictor</w:t>
            </w:r>
          </w:p>
        </w:tc>
      </w:tr>
      <w:tr w:rsidR="00BA0745" w14:paraId="3CD78728" w14:textId="77777777">
        <w:tc>
          <w:tcPr>
            <w:tcW w:w="729" w:type="dxa"/>
            <w:vAlign w:val="center"/>
          </w:tcPr>
          <w:p w14:paraId="732E9D24" w14:textId="77777777" w:rsidR="00BA0745" w:rsidRDefault="00000000">
            <w:pPr>
              <w:spacing w:before="120" w:after="120"/>
              <w:jc w:val="center"/>
              <w:rPr>
                <w:sz w:val="22"/>
                <w:szCs w:val="22"/>
              </w:rPr>
            </w:pPr>
            <w:r>
              <w:rPr>
                <w:sz w:val="22"/>
                <w:szCs w:val="22"/>
              </w:rPr>
              <w:t>Q6.5</w:t>
            </w:r>
          </w:p>
        </w:tc>
        <w:tc>
          <w:tcPr>
            <w:tcW w:w="1782" w:type="dxa"/>
            <w:vAlign w:val="center"/>
          </w:tcPr>
          <w:p w14:paraId="5E4F55A1" w14:textId="77777777" w:rsidR="00BA0745" w:rsidRDefault="00000000">
            <w:pPr>
              <w:spacing w:before="120" w:after="120"/>
              <w:jc w:val="center"/>
              <w:rPr>
                <w:sz w:val="22"/>
                <w:szCs w:val="22"/>
              </w:rPr>
            </w:pPr>
            <w:r>
              <w:rPr>
                <w:sz w:val="22"/>
                <w:szCs w:val="22"/>
              </w:rPr>
              <w:t>If given a choice, would your household prefer to switch to another water source or water-service system?</w:t>
            </w:r>
          </w:p>
        </w:tc>
        <w:tc>
          <w:tcPr>
            <w:tcW w:w="2634" w:type="dxa"/>
            <w:vAlign w:val="center"/>
          </w:tcPr>
          <w:p w14:paraId="2494DC61" w14:textId="77777777" w:rsidR="00BA0745" w:rsidRDefault="00000000">
            <w:pPr>
              <w:spacing w:before="120" w:after="120"/>
              <w:jc w:val="center"/>
              <w:rPr>
                <w:sz w:val="22"/>
                <w:szCs w:val="22"/>
              </w:rPr>
            </w:pPr>
            <w:r>
              <w:rPr>
                <w:sz w:val="22"/>
                <w:szCs w:val="22"/>
              </w:rPr>
              <w:t>Categorical switching-preference responses</w:t>
            </w:r>
          </w:p>
        </w:tc>
        <w:tc>
          <w:tcPr>
            <w:tcW w:w="2117" w:type="dxa"/>
            <w:vAlign w:val="center"/>
          </w:tcPr>
          <w:p w14:paraId="7DD73560" w14:textId="77777777" w:rsidR="00BA0745" w:rsidRDefault="00000000">
            <w:pPr>
              <w:spacing w:before="120" w:after="120"/>
              <w:jc w:val="center"/>
              <w:rPr>
                <w:sz w:val="22"/>
                <w:szCs w:val="22"/>
              </w:rPr>
            </w:pPr>
            <w:r>
              <w:rPr>
                <w:sz w:val="22"/>
                <w:szCs w:val="22"/>
              </w:rPr>
              <w:t>Switching preference / acceptability context</w:t>
            </w:r>
          </w:p>
        </w:tc>
        <w:tc>
          <w:tcPr>
            <w:tcW w:w="2098" w:type="dxa"/>
            <w:vAlign w:val="center"/>
          </w:tcPr>
          <w:p w14:paraId="4427904C" w14:textId="77777777" w:rsidR="00BA0745" w:rsidRDefault="00000000">
            <w:pPr>
              <w:spacing w:before="120" w:after="120"/>
              <w:jc w:val="center"/>
              <w:rPr>
                <w:sz w:val="22"/>
                <w:szCs w:val="22"/>
              </w:rPr>
            </w:pPr>
            <w:r>
              <w:rPr>
                <w:sz w:val="22"/>
                <w:szCs w:val="22"/>
              </w:rPr>
              <w:t>Retained as context/switching-preference item; not scored into WSQS</w:t>
            </w:r>
          </w:p>
        </w:tc>
      </w:tr>
      <w:tr w:rsidR="00BA0745" w14:paraId="7DBD3B80" w14:textId="77777777">
        <w:tc>
          <w:tcPr>
            <w:tcW w:w="729" w:type="dxa"/>
            <w:vAlign w:val="center"/>
          </w:tcPr>
          <w:p w14:paraId="3368D150" w14:textId="77777777" w:rsidR="00BA0745" w:rsidRDefault="00000000">
            <w:pPr>
              <w:spacing w:before="120" w:after="120"/>
              <w:jc w:val="center"/>
              <w:rPr>
                <w:sz w:val="22"/>
                <w:szCs w:val="22"/>
              </w:rPr>
            </w:pPr>
            <w:r>
              <w:rPr>
                <w:sz w:val="22"/>
                <w:szCs w:val="22"/>
              </w:rPr>
              <w:t>Q6.6</w:t>
            </w:r>
          </w:p>
        </w:tc>
        <w:tc>
          <w:tcPr>
            <w:tcW w:w="1782" w:type="dxa"/>
            <w:vAlign w:val="center"/>
          </w:tcPr>
          <w:p w14:paraId="5732C45A" w14:textId="77777777" w:rsidR="00BA0745" w:rsidRDefault="00000000">
            <w:pPr>
              <w:spacing w:before="120" w:after="120"/>
              <w:jc w:val="center"/>
              <w:rPr>
                <w:sz w:val="22"/>
                <w:szCs w:val="22"/>
              </w:rPr>
            </w:pPr>
            <w:r>
              <w:rPr>
                <w:sz w:val="22"/>
                <w:szCs w:val="22"/>
              </w:rPr>
              <w:t>How important is acceptability or satisfaction when evaluating your household’s water service quality?</w:t>
            </w:r>
          </w:p>
        </w:tc>
        <w:tc>
          <w:tcPr>
            <w:tcW w:w="2634" w:type="dxa"/>
            <w:vAlign w:val="center"/>
          </w:tcPr>
          <w:p w14:paraId="51A385D0" w14:textId="77777777" w:rsidR="00BA0745" w:rsidRDefault="00000000">
            <w:pPr>
              <w:spacing w:before="120" w:after="120"/>
              <w:jc w:val="center"/>
              <w:rPr>
                <w:sz w:val="22"/>
                <w:szCs w:val="22"/>
              </w:rPr>
            </w:pPr>
            <w:r>
              <w:rPr>
                <w:sz w:val="22"/>
                <w:szCs w:val="22"/>
              </w:rPr>
              <w:t>0–10 stated priority scale; higher values indicate greater stated importance</w:t>
            </w:r>
          </w:p>
        </w:tc>
        <w:tc>
          <w:tcPr>
            <w:tcW w:w="2117" w:type="dxa"/>
            <w:vAlign w:val="center"/>
          </w:tcPr>
          <w:p w14:paraId="09516398" w14:textId="77777777" w:rsidR="00BA0745" w:rsidRDefault="00000000">
            <w:pPr>
              <w:spacing w:before="120" w:after="120"/>
              <w:jc w:val="center"/>
              <w:rPr>
                <w:sz w:val="22"/>
                <w:szCs w:val="22"/>
              </w:rPr>
            </w:pPr>
            <w:r>
              <w:rPr>
                <w:sz w:val="22"/>
                <w:szCs w:val="22"/>
              </w:rPr>
              <w:t>Acceptability priority</w:t>
            </w:r>
          </w:p>
        </w:tc>
        <w:tc>
          <w:tcPr>
            <w:tcW w:w="2098" w:type="dxa"/>
            <w:vAlign w:val="center"/>
          </w:tcPr>
          <w:p w14:paraId="12666855" w14:textId="77777777" w:rsidR="00BA0745" w:rsidRDefault="00000000">
            <w:pPr>
              <w:spacing w:before="120" w:after="120"/>
              <w:jc w:val="center"/>
              <w:rPr>
                <w:sz w:val="22"/>
                <w:szCs w:val="22"/>
              </w:rPr>
            </w:pPr>
            <w:r>
              <w:rPr>
                <w:sz w:val="22"/>
                <w:szCs w:val="22"/>
              </w:rPr>
              <w:t>Stated-priority predictor; used in priority-weighted WSQS sensitivity</w:t>
            </w:r>
          </w:p>
        </w:tc>
      </w:tr>
      <w:tr w:rsidR="00BA0745" w14:paraId="2DC5FF9F" w14:textId="77777777">
        <w:tc>
          <w:tcPr>
            <w:tcW w:w="729" w:type="dxa"/>
            <w:vAlign w:val="center"/>
          </w:tcPr>
          <w:p w14:paraId="5FA0874C" w14:textId="77777777" w:rsidR="00BA0745" w:rsidRDefault="00000000">
            <w:pPr>
              <w:spacing w:before="120" w:after="120"/>
              <w:jc w:val="center"/>
              <w:rPr>
                <w:sz w:val="22"/>
                <w:szCs w:val="22"/>
              </w:rPr>
            </w:pPr>
            <w:r>
              <w:rPr>
                <w:sz w:val="22"/>
                <w:szCs w:val="22"/>
              </w:rPr>
              <w:lastRenderedPageBreak/>
              <w:t>Q7.1</w:t>
            </w:r>
          </w:p>
        </w:tc>
        <w:tc>
          <w:tcPr>
            <w:tcW w:w="1782" w:type="dxa"/>
            <w:vAlign w:val="center"/>
          </w:tcPr>
          <w:p w14:paraId="2C735ABB" w14:textId="77777777" w:rsidR="00BA0745" w:rsidRDefault="00000000">
            <w:pPr>
              <w:spacing w:before="120" w:after="120"/>
              <w:jc w:val="center"/>
              <w:rPr>
                <w:sz w:val="22"/>
                <w:szCs w:val="22"/>
              </w:rPr>
            </w:pPr>
            <w:r>
              <w:rPr>
                <w:sz w:val="22"/>
                <w:szCs w:val="22"/>
              </w:rPr>
              <w:t>How would you rate the perceived quality of your household’s water?</w:t>
            </w:r>
          </w:p>
        </w:tc>
        <w:tc>
          <w:tcPr>
            <w:tcW w:w="2634" w:type="dxa"/>
            <w:vAlign w:val="center"/>
          </w:tcPr>
          <w:p w14:paraId="606C95E4" w14:textId="77777777" w:rsidR="00BA0745" w:rsidRDefault="00000000">
            <w:pPr>
              <w:spacing w:before="120" w:after="120"/>
              <w:jc w:val="center"/>
              <w:rPr>
                <w:sz w:val="22"/>
                <w:szCs w:val="22"/>
              </w:rPr>
            </w:pPr>
            <w:r>
              <w:rPr>
                <w:sz w:val="22"/>
                <w:szCs w:val="22"/>
              </w:rPr>
              <w:t>Excellent to very poor</w:t>
            </w:r>
          </w:p>
        </w:tc>
        <w:tc>
          <w:tcPr>
            <w:tcW w:w="2117" w:type="dxa"/>
            <w:vAlign w:val="center"/>
          </w:tcPr>
          <w:p w14:paraId="40BF437D" w14:textId="77777777" w:rsidR="00BA0745" w:rsidRDefault="00000000">
            <w:pPr>
              <w:spacing w:before="120" w:after="120"/>
              <w:jc w:val="center"/>
              <w:rPr>
                <w:sz w:val="22"/>
                <w:szCs w:val="22"/>
              </w:rPr>
            </w:pPr>
            <w:r>
              <w:rPr>
                <w:sz w:val="22"/>
                <w:szCs w:val="22"/>
              </w:rPr>
              <w:t>Perceived quality</w:t>
            </w:r>
          </w:p>
        </w:tc>
        <w:tc>
          <w:tcPr>
            <w:tcW w:w="2098" w:type="dxa"/>
            <w:vAlign w:val="center"/>
          </w:tcPr>
          <w:p w14:paraId="048CEF53" w14:textId="77777777" w:rsidR="00BA0745" w:rsidRDefault="00000000">
            <w:pPr>
              <w:spacing w:before="120" w:after="120"/>
              <w:jc w:val="center"/>
              <w:rPr>
                <w:sz w:val="22"/>
                <w:szCs w:val="22"/>
              </w:rPr>
            </w:pPr>
            <w:r>
              <w:rPr>
                <w:sz w:val="22"/>
                <w:szCs w:val="22"/>
              </w:rPr>
              <w:t>CORE-8 WSQS construction item; excluded from predictors</w:t>
            </w:r>
          </w:p>
        </w:tc>
      </w:tr>
      <w:tr w:rsidR="00BA0745" w14:paraId="1BEA0081" w14:textId="77777777">
        <w:tc>
          <w:tcPr>
            <w:tcW w:w="729" w:type="dxa"/>
            <w:vAlign w:val="center"/>
          </w:tcPr>
          <w:p w14:paraId="1FEC40A5" w14:textId="77777777" w:rsidR="00BA0745" w:rsidRDefault="00000000">
            <w:pPr>
              <w:spacing w:before="120" w:after="120"/>
              <w:jc w:val="center"/>
              <w:rPr>
                <w:sz w:val="22"/>
                <w:szCs w:val="22"/>
              </w:rPr>
            </w:pPr>
            <w:r>
              <w:rPr>
                <w:sz w:val="22"/>
                <w:szCs w:val="22"/>
              </w:rPr>
              <w:t>Q7.3</w:t>
            </w:r>
          </w:p>
        </w:tc>
        <w:tc>
          <w:tcPr>
            <w:tcW w:w="1782" w:type="dxa"/>
            <w:vAlign w:val="center"/>
          </w:tcPr>
          <w:p w14:paraId="4578B12A" w14:textId="77777777" w:rsidR="00BA0745" w:rsidRDefault="00000000">
            <w:pPr>
              <w:spacing w:before="120" w:after="120"/>
              <w:jc w:val="center"/>
              <w:rPr>
                <w:sz w:val="22"/>
                <w:szCs w:val="22"/>
              </w:rPr>
            </w:pPr>
            <w:r>
              <w:rPr>
                <w:sz w:val="22"/>
                <w:szCs w:val="22"/>
              </w:rPr>
              <w:t>How often is your household’s water clear?</w:t>
            </w:r>
          </w:p>
        </w:tc>
        <w:tc>
          <w:tcPr>
            <w:tcW w:w="2634" w:type="dxa"/>
            <w:vAlign w:val="center"/>
          </w:tcPr>
          <w:p w14:paraId="42316D14" w14:textId="77777777" w:rsidR="00BA0745" w:rsidRDefault="00000000">
            <w:pPr>
              <w:spacing w:before="120" w:after="120"/>
              <w:jc w:val="center"/>
              <w:rPr>
                <w:sz w:val="22"/>
                <w:szCs w:val="22"/>
              </w:rPr>
            </w:pPr>
            <w:r>
              <w:rPr>
                <w:sz w:val="22"/>
                <w:szCs w:val="22"/>
              </w:rPr>
              <w:t>Always clear to never clear</w:t>
            </w:r>
          </w:p>
        </w:tc>
        <w:tc>
          <w:tcPr>
            <w:tcW w:w="2117" w:type="dxa"/>
            <w:vAlign w:val="center"/>
          </w:tcPr>
          <w:p w14:paraId="7D32636A" w14:textId="77777777" w:rsidR="00BA0745" w:rsidRDefault="00000000">
            <w:pPr>
              <w:spacing w:before="120" w:after="120"/>
              <w:jc w:val="center"/>
              <w:rPr>
                <w:sz w:val="22"/>
                <w:szCs w:val="22"/>
              </w:rPr>
            </w:pPr>
            <w:r>
              <w:rPr>
                <w:sz w:val="22"/>
                <w:szCs w:val="22"/>
              </w:rPr>
              <w:t>Water clarity</w:t>
            </w:r>
          </w:p>
        </w:tc>
        <w:tc>
          <w:tcPr>
            <w:tcW w:w="2098" w:type="dxa"/>
            <w:vAlign w:val="center"/>
          </w:tcPr>
          <w:p w14:paraId="111CE0D5" w14:textId="77777777" w:rsidR="00BA0745" w:rsidRDefault="00000000">
            <w:pPr>
              <w:spacing w:before="120" w:after="120"/>
              <w:jc w:val="center"/>
              <w:rPr>
                <w:sz w:val="22"/>
                <w:szCs w:val="22"/>
              </w:rPr>
            </w:pPr>
            <w:r>
              <w:rPr>
                <w:sz w:val="22"/>
                <w:szCs w:val="22"/>
              </w:rPr>
              <w:t>Diagnostic service-support predictor</w:t>
            </w:r>
          </w:p>
        </w:tc>
      </w:tr>
      <w:tr w:rsidR="00BA0745" w14:paraId="079AAF50" w14:textId="77777777">
        <w:tc>
          <w:tcPr>
            <w:tcW w:w="729" w:type="dxa"/>
            <w:vAlign w:val="center"/>
          </w:tcPr>
          <w:p w14:paraId="7B222662" w14:textId="77777777" w:rsidR="00BA0745" w:rsidRDefault="00000000">
            <w:pPr>
              <w:spacing w:before="120" w:after="120"/>
              <w:jc w:val="center"/>
              <w:rPr>
                <w:sz w:val="22"/>
                <w:szCs w:val="22"/>
              </w:rPr>
            </w:pPr>
            <w:r>
              <w:rPr>
                <w:sz w:val="22"/>
                <w:szCs w:val="22"/>
              </w:rPr>
              <w:t>Q7.4</w:t>
            </w:r>
          </w:p>
        </w:tc>
        <w:tc>
          <w:tcPr>
            <w:tcW w:w="1782" w:type="dxa"/>
            <w:vAlign w:val="center"/>
          </w:tcPr>
          <w:p w14:paraId="68276F6A" w14:textId="77777777" w:rsidR="00BA0745" w:rsidRDefault="00000000">
            <w:pPr>
              <w:spacing w:before="120" w:after="120"/>
              <w:jc w:val="center"/>
              <w:rPr>
                <w:sz w:val="22"/>
                <w:szCs w:val="22"/>
              </w:rPr>
            </w:pPr>
            <w:r>
              <w:rPr>
                <w:sz w:val="22"/>
                <w:szCs w:val="22"/>
              </w:rPr>
              <w:t>How has your household’s water quality changed over time?</w:t>
            </w:r>
          </w:p>
        </w:tc>
        <w:tc>
          <w:tcPr>
            <w:tcW w:w="2634" w:type="dxa"/>
            <w:vAlign w:val="center"/>
          </w:tcPr>
          <w:p w14:paraId="4BEA326A" w14:textId="77777777" w:rsidR="00BA0745" w:rsidRDefault="00000000">
            <w:pPr>
              <w:spacing w:before="120" w:after="120"/>
              <w:jc w:val="center"/>
              <w:rPr>
                <w:sz w:val="22"/>
                <w:szCs w:val="22"/>
              </w:rPr>
            </w:pPr>
            <w:r>
              <w:rPr>
                <w:sz w:val="22"/>
                <w:szCs w:val="22"/>
              </w:rPr>
              <w:t>Improved, remained the same, degraded</w:t>
            </w:r>
          </w:p>
        </w:tc>
        <w:tc>
          <w:tcPr>
            <w:tcW w:w="2117" w:type="dxa"/>
            <w:vAlign w:val="center"/>
          </w:tcPr>
          <w:p w14:paraId="729CDE7A" w14:textId="77777777" w:rsidR="00BA0745" w:rsidRDefault="00000000">
            <w:pPr>
              <w:spacing w:before="120" w:after="120"/>
              <w:jc w:val="center"/>
              <w:rPr>
                <w:sz w:val="22"/>
                <w:szCs w:val="22"/>
              </w:rPr>
            </w:pPr>
            <w:r>
              <w:rPr>
                <w:sz w:val="22"/>
                <w:szCs w:val="22"/>
              </w:rPr>
              <w:t>Quality change over time</w:t>
            </w:r>
          </w:p>
        </w:tc>
        <w:tc>
          <w:tcPr>
            <w:tcW w:w="2098" w:type="dxa"/>
            <w:vAlign w:val="center"/>
          </w:tcPr>
          <w:p w14:paraId="070FE396" w14:textId="77777777" w:rsidR="00BA0745" w:rsidRDefault="00000000">
            <w:pPr>
              <w:spacing w:before="120" w:after="120"/>
              <w:jc w:val="center"/>
              <w:rPr>
                <w:sz w:val="22"/>
                <w:szCs w:val="22"/>
              </w:rPr>
            </w:pPr>
            <w:r>
              <w:rPr>
                <w:sz w:val="22"/>
                <w:szCs w:val="22"/>
              </w:rPr>
              <w:t>Diagnostic service-support predictor</w:t>
            </w:r>
          </w:p>
        </w:tc>
      </w:tr>
      <w:tr w:rsidR="00BA0745" w14:paraId="3DFE39C8" w14:textId="77777777">
        <w:tc>
          <w:tcPr>
            <w:tcW w:w="729" w:type="dxa"/>
            <w:vAlign w:val="center"/>
          </w:tcPr>
          <w:p w14:paraId="54443DEB" w14:textId="77777777" w:rsidR="00BA0745" w:rsidRDefault="00000000">
            <w:pPr>
              <w:spacing w:before="120" w:after="120"/>
              <w:jc w:val="center"/>
              <w:rPr>
                <w:sz w:val="22"/>
                <w:szCs w:val="22"/>
              </w:rPr>
            </w:pPr>
            <w:r>
              <w:rPr>
                <w:sz w:val="22"/>
                <w:szCs w:val="22"/>
              </w:rPr>
              <w:t>Q7.5</w:t>
            </w:r>
          </w:p>
        </w:tc>
        <w:tc>
          <w:tcPr>
            <w:tcW w:w="1782" w:type="dxa"/>
            <w:vAlign w:val="center"/>
          </w:tcPr>
          <w:p w14:paraId="59084081" w14:textId="77777777" w:rsidR="00BA0745" w:rsidRDefault="00000000">
            <w:pPr>
              <w:spacing w:before="120" w:after="120"/>
              <w:jc w:val="center"/>
              <w:rPr>
                <w:sz w:val="22"/>
                <w:szCs w:val="22"/>
              </w:rPr>
            </w:pPr>
            <w:r>
              <w:rPr>
                <w:sz w:val="22"/>
                <w:szCs w:val="22"/>
              </w:rPr>
              <w:t>How important is perceived water quality when evaluating your household’s water service quality?</w:t>
            </w:r>
          </w:p>
        </w:tc>
        <w:tc>
          <w:tcPr>
            <w:tcW w:w="2634" w:type="dxa"/>
            <w:vAlign w:val="center"/>
          </w:tcPr>
          <w:p w14:paraId="2C9F706D" w14:textId="77777777" w:rsidR="00BA0745" w:rsidRDefault="00000000">
            <w:pPr>
              <w:spacing w:before="120" w:after="120"/>
              <w:jc w:val="center"/>
              <w:rPr>
                <w:sz w:val="22"/>
                <w:szCs w:val="22"/>
              </w:rPr>
            </w:pPr>
            <w:r>
              <w:rPr>
                <w:sz w:val="22"/>
                <w:szCs w:val="22"/>
              </w:rPr>
              <w:t>0–10 stated priority scale; higher values indicate greater stated importance</w:t>
            </w:r>
          </w:p>
        </w:tc>
        <w:tc>
          <w:tcPr>
            <w:tcW w:w="2117" w:type="dxa"/>
            <w:vAlign w:val="center"/>
          </w:tcPr>
          <w:p w14:paraId="7BA8DE16" w14:textId="77777777" w:rsidR="00BA0745" w:rsidRDefault="00000000">
            <w:pPr>
              <w:spacing w:before="120" w:after="120"/>
              <w:jc w:val="center"/>
              <w:rPr>
                <w:sz w:val="22"/>
                <w:szCs w:val="22"/>
              </w:rPr>
            </w:pPr>
            <w:r>
              <w:rPr>
                <w:sz w:val="22"/>
                <w:szCs w:val="22"/>
              </w:rPr>
              <w:t>Quality priority</w:t>
            </w:r>
          </w:p>
        </w:tc>
        <w:tc>
          <w:tcPr>
            <w:tcW w:w="2098" w:type="dxa"/>
            <w:vAlign w:val="center"/>
          </w:tcPr>
          <w:p w14:paraId="185CDFB1" w14:textId="77777777" w:rsidR="00BA0745" w:rsidRDefault="00000000">
            <w:pPr>
              <w:spacing w:before="120" w:after="120"/>
              <w:jc w:val="center"/>
              <w:rPr>
                <w:sz w:val="22"/>
                <w:szCs w:val="22"/>
              </w:rPr>
            </w:pPr>
            <w:r>
              <w:rPr>
                <w:sz w:val="22"/>
                <w:szCs w:val="22"/>
              </w:rPr>
              <w:t>Stated-priority predictor; used in priority-weighted WSQS sensitivity</w:t>
            </w:r>
          </w:p>
        </w:tc>
      </w:tr>
      <w:tr w:rsidR="00BA0745" w14:paraId="372DA180" w14:textId="77777777">
        <w:tc>
          <w:tcPr>
            <w:tcW w:w="729" w:type="dxa"/>
            <w:vAlign w:val="center"/>
          </w:tcPr>
          <w:p w14:paraId="5CFB7523" w14:textId="77777777" w:rsidR="00BA0745" w:rsidRDefault="00000000">
            <w:pPr>
              <w:spacing w:before="120" w:after="120"/>
              <w:jc w:val="center"/>
              <w:rPr>
                <w:sz w:val="22"/>
                <w:szCs w:val="22"/>
              </w:rPr>
            </w:pPr>
            <w:r>
              <w:rPr>
                <w:sz w:val="22"/>
                <w:szCs w:val="22"/>
              </w:rPr>
              <w:t>Q8.1</w:t>
            </w:r>
          </w:p>
        </w:tc>
        <w:tc>
          <w:tcPr>
            <w:tcW w:w="1782" w:type="dxa"/>
            <w:vAlign w:val="center"/>
          </w:tcPr>
          <w:p w14:paraId="35C9A47F" w14:textId="77777777" w:rsidR="00BA0745" w:rsidRDefault="00000000">
            <w:pPr>
              <w:spacing w:before="120" w:after="120"/>
              <w:jc w:val="center"/>
              <w:rPr>
                <w:sz w:val="22"/>
                <w:szCs w:val="22"/>
              </w:rPr>
            </w:pPr>
            <w:r>
              <w:rPr>
                <w:sz w:val="22"/>
                <w:szCs w:val="22"/>
              </w:rPr>
              <w:t>How sufficient is the quantity of water available to your household?</w:t>
            </w:r>
          </w:p>
        </w:tc>
        <w:tc>
          <w:tcPr>
            <w:tcW w:w="2634" w:type="dxa"/>
            <w:vAlign w:val="center"/>
          </w:tcPr>
          <w:p w14:paraId="13B85B61" w14:textId="77777777" w:rsidR="00BA0745" w:rsidRDefault="00000000">
            <w:pPr>
              <w:spacing w:before="120" w:after="120"/>
              <w:jc w:val="center"/>
              <w:rPr>
                <w:sz w:val="22"/>
                <w:szCs w:val="22"/>
              </w:rPr>
            </w:pPr>
            <w:r>
              <w:rPr>
                <w:sz w:val="22"/>
                <w:szCs w:val="22"/>
              </w:rPr>
              <w:t>Always sufficient to never sufficient</w:t>
            </w:r>
          </w:p>
        </w:tc>
        <w:tc>
          <w:tcPr>
            <w:tcW w:w="2117" w:type="dxa"/>
            <w:vAlign w:val="center"/>
          </w:tcPr>
          <w:p w14:paraId="22965768" w14:textId="77777777" w:rsidR="00BA0745" w:rsidRDefault="00000000">
            <w:pPr>
              <w:spacing w:before="120" w:after="120"/>
              <w:jc w:val="center"/>
              <w:rPr>
                <w:sz w:val="22"/>
                <w:szCs w:val="22"/>
              </w:rPr>
            </w:pPr>
            <w:r>
              <w:rPr>
                <w:sz w:val="22"/>
                <w:szCs w:val="22"/>
              </w:rPr>
              <w:t>Quantity sufficiency</w:t>
            </w:r>
          </w:p>
        </w:tc>
        <w:tc>
          <w:tcPr>
            <w:tcW w:w="2098" w:type="dxa"/>
            <w:vAlign w:val="center"/>
          </w:tcPr>
          <w:p w14:paraId="7CA3E8F9" w14:textId="77777777" w:rsidR="00BA0745" w:rsidRDefault="00000000">
            <w:pPr>
              <w:spacing w:before="120" w:after="120"/>
              <w:jc w:val="center"/>
              <w:rPr>
                <w:sz w:val="22"/>
                <w:szCs w:val="22"/>
              </w:rPr>
            </w:pPr>
            <w:r>
              <w:rPr>
                <w:sz w:val="22"/>
                <w:szCs w:val="22"/>
              </w:rPr>
              <w:t>CORE-8 WSQS construction item; excluded from predictors</w:t>
            </w:r>
          </w:p>
        </w:tc>
      </w:tr>
      <w:tr w:rsidR="00BA0745" w14:paraId="1B1415E2" w14:textId="77777777">
        <w:tc>
          <w:tcPr>
            <w:tcW w:w="729" w:type="dxa"/>
            <w:vAlign w:val="center"/>
          </w:tcPr>
          <w:p w14:paraId="6C998DE1" w14:textId="77777777" w:rsidR="00BA0745" w:rsidRDefault="00000000">
            <w:pPr>
              <w:spacing w:before="120" w:after="120"/>
              <w:jc w:val="center"/>
              <w:rPr>
                <w:sz w:val="22"/>
                <w:szCs w:val="22"/>
              </w:rPr>
            </w:pPr>
            <w:r>
              <w:rPr>
                <w:sz w:val="22"/>
                <w:szCs w:val="22"/>
              </w:rPr>
              <w:t>Q8.2</w:t>
            </w:r>
          </w:p>
        </w:tc>
        <w:tc>
          <w:tcPr>
            <w:tcW w:w="1782" w:type="dxa"/>
            <w:vAlign w:val="center"/>
          </w:tcPr>
          <w:p w14:paraId="59E4DD88" w14:textId="77777777" w:rsidR="00BA0745" w:rsidRDefault="00000000">
            <w:pPr>
              <w:spacing w:before="120" w:after="120"/>
              <w:jc w:val="center"/>
              <w:rPr>
                <w:sz w:val="22"/>
                <w:szCs w:val="22"/>
              </w:rPr>
            </w:pPr>
            <w:r>
              <w:rPr>
                <w:sz w:val="22"/>
                <w:szCs w:val="22"/>
              </w:rPr>
              <w:t>What is the estimated quantity of water available to your household?</w:t>
            </w:r>
          </w:p>
        </w:tc>
        <w:tc>
          <w:tcPr>
            <w:tcW w:w="2634" w:type="dxa"/>
            <w:vAlign w:val="center"/>
          </w:tcPr>
          <w:p w14:paraId="3C13A0B8" w14:textId="77777777" w:rsidR="00BA0745" w:rsidRDefault="00000000">
            <w:pPr>
              <w:spacing w:before="120" w:after="120"/>
              <w:jc w:val="center"/>
              <w:rPr>
                <w:sz w:val="22"/>
                <w:szCs w:val="22"/>
              </w:rPr>
            </w:pPr>
            <w:r>
              <w:rPr>
                <w:sz w:val="22"/>
                <w:szCs w:val="22"/>
              </w:rPr>
              <w:t>Liter-volume categories; includes “I don’t know”</w:t>
            </w:r>
          </w:p>
        </w:tc>
        <w:tc>
          <w:tcPr>
            <w:tcW w:w="2117" w:type="dxa"/>
            <w:vAlign w:val="center"/>
          </w:tcPr>
          <w:p w14:paraId="5809856A" w14:textId="77777777" w:rsidR="00BA0745" w:rsidRDefault="00000000">
            <w:pPr>
              <w:spacing w:before="120" w:after="120"/>
              <w:jc w:val="center"/>
              <w:rPr>
                <w:sz w:val="22"/>
                <w:szCs w:val="22"/>
              </w:rPr>
            </w:pPr>
            <w:r>
              <w:rPr>
                <w:sz w:val="22"/>
                <w:szCs w:val="22"/>
              </w:rPr>
              <w:t>Available quantity / volume</w:t>
            </w:r>
          </w:p>
        </w:tc>
        <w:tc>
          <w:tcPr>
            <w:tcW w:w="2098" w:type="dxa"/>
            <w:vAlign w:val="center"/>
          </w:tcPr>
          <w:p w14:paraId="005013CB" w14:textId="77777777" w:rsidR="00BA0745" w:rsidRDefault="00000000">
            <w:pPr>
              <w:spacing w:before="120" w:after="120"/>
              <w:jc w:val="center"/>
              <w:rPr>
                <w:sz w:val="22"/>
                <w:szCs w:val="22"/>
              </w:rPr>
            </w:pPr>
            <w:r>
              <w:rPr>
                <w:sz w:val="22"/>
                <w:szCs w:val="22"/>
              </w:rPr>
              <w:t>Diagnostic service-support predictor; liter-volume responses direction-checked so larger volume corresponds to lower severity</w:t>
            </w:r>
          </w:p>
        </w:tc>
      </w:tr>
      <w:tr w:rsidR="00BA0745" w14:paraId="320571F2" w14:textId="77777777">
        <w:tc>
          <w:tcPr>
            <w:tcW w:w="729" w:type="dxa"/>
            <w:vAlign w:val="center"/>
          </w:tcPr>
          <w:p w14:paraId="6C984F59" w14:textId="77777777" w:rsidR="00BA0745" w:rsidRDefault="00000000">
            <w:pPr>
              <w:spacing w:before="120" w:after="120"/>
              <w:jc w:val="center"/>
              <w:rPr>
                <w:sz w:val="22"/>
                <w:szCs w:val="22"/>
              </w:rPr>
            </w:pPr>
            <w:r>
              <w:rPr>
                <w:sz w:val="22"/>
                <w:szCs w:val="22"/>
              </w:rPr>
              <w:t>Q8.3</w:t>
            </w:r>
          </w:p>
        </w:tc>
        <w:tc>
          <w:tcPr>
            <w:tcW w:w="1782" w:type="dxa"/>
            <w:vAlign w:val="center"/>
          </w:tcPr>
          <w:p w14:paraId="2A29062A" w14:textId="77777777" w:rsidR="00BA0745" w:rsidRDefault="00000000">
            <w:pPr>
              <w:spacing w:before="120" w:after="120"/>
              <w:jc w:val="center"/>
              <w:rPr>
                <w:sz w:val="22"/>
                <w:szCs w:val="22"/>
              </w:rPr>
            </w:pPr>
            <w:r>
              <w:rPr>
                <w:sz w:val="22"/>
                <w:szCs w:val="22"/>
              </w:rPr>
              <w:t>How often does your household experience water shortages?</w:t>
            </w:r>
          </w:p>
        </w:tc>
        <w:tc>
          <w:tcPr>
            <w:tcW w:w="2634" w:type="dxa"/>
            <w:vAlign w:val="center"/>
          </w:tcPr>
          <w:p w14:paraId="02DE4444" w14:textId="77777777" w:rsidR="00BA0745" w:rsidRDefault="00000000">
            <w:pPr>
              <w:spacing w:before="120" w:after="120"/>
              <w:jc w:val="center"/>
              <w:rPr>
                <w:sz w:val="22"/>
                <w:szCs w:val="22"/>
              </w:rPr>
            </w:pPr>
            <w:r>
              <w:rPr>
                <w:sz w:val="22"/>
                <w:szCs w:val="22"/>
              </w:rPr>
              <w:t>Never to always</w:t>
            </w:r>
          </w:p>
        </w:tc>
        <w:tc>
          <w:tcPr>
            <w:tcW w:w="2117" w:type="dxa"/>
            <w:vAlign w:val="center"/>
          </w:tcPr>
          <w:p w14:paraId="23ED915D" w14:textId="77777777" w:rsidR="00BA0745" w:rsidRDefault="00000000">
            <w:pPr>
              <w:spacing w:before="120" w:after="120"/>
              <w:jc w:val="center"/>
              <w:rPr>
                <w:sz w:val="22"/>
                <w:szCs w:val="22"/>
              </w:rPr>
            </w:pPr>
            <w:r>
              <w:rPr>
                <w:sz w:val="22"/>
                <w:szCs w:val="22"/>
              </w:rPr>
              <w:t>Shortage frequency</w:t>
            </w:r>
          </w:p>
        </w:tc>
        <w:tc>
          <w:tcPr>
            <w:tcW w:w="2098" w:type="dxa"/>
            <w:vAlign w:val="center"/>
          </w:tcPr>
          <w:p w14:paraId="6BEE5A27" w14:textId="77777777" w:rsidR="00BA0745" w:rsidRDefault="00000000">
            <w:pPr>
              <w:spacing w:before="120" w:after="120"/>
              <w:jc w:val="center"/>
              <w:rPr>
                <w:sz w:val="22"/>
                <w:szCs w:val="22"/>
              </w:rPr>
            </w:pPr>
            <w:r>
              <w:rPr>
                <w:sz w:val="22"/>
                <w:szCs w:val="22"/>
              </w:rPr>
              <w:t>Diagnostic service-support predictor</w:t>
            </w:r>
          </w:p>
        </w:tc>
      </w:tr>
      <w:tr w:rsidR="00BA0745" w14:paraId="321F4C14" w14:textId="77777777">
        <w:tc>
          <w:tcPr>
            <w:tcW w:w="729" w:type="dxa"/>
            <w:vAlign w:val="center"/>
          </w:tcPr>
          <w:p w14:paraId="15F11A6C" w14:textId="77777777" w:rsidR="00BA0745" w:rsidRDefault="00000000">
            <w:pPr>
              <w:spacing w:before="120" w:after="120"/>
              <w:jc w:val="center"/>
              <w:rPr>
                <w:sz w:val="22"/>
                <w:szCs w:val="22"/>
              </w:rPr>
            </w:pPr>
            <w:r>
              <w:rPr>
                <w:sz w:val="22"/>
                <w:szCs w:val="22"/>
              </w:rPr>
              <w:t>Q8.4</w:t>
            </w:r>
          </w:p>
        </w:tc>
        <w:tc>
          <w:tcPr>
            <w:tcW w:w="1782" w:type="dxa"/>
            <w:vAlign w:val="center"/>
          </w:tcPr>
          <w:p w14:paraId="5D8F5BFA" w14:textId="77777777" w:rsidR="00BA0745" w:rsidRDefault="00000000">
            <w:pPr>
              <w:spacing w:before="120" w:after="120"/>
              <w:jc w:val="center"/>
              <w:rPr>
                <w:sz w:val="22"/>
                <w:szCs w:val="22"/>
              </w:rPr>
            </w:pPr>
            <w:r>
              <w:rPr>
                <w:sz w:val="22"/>
                <w:szCs w:val="22"/>
              </w:rPr>
              <w:t>Does your household experience seasonal variation in water quantity?</w:t>
            </w:r>
          </w:p>
        </w:tc>
        <w:tc>
          <w:tcPr>
            <w:tcW w:w="2634" w:type="dxa"/>
            <w:vAlign w:val="center"/>
          </w:tcPr>
          <w:p w14:paraId="5FC86F3E" w14:textId="77777777" w:rsidR="00BA0745" w:rsidRDefault="00000000">
            <w:pPr>
              <w:spacing w:before="120" w:after="120"/>
              <w:jc w:val="center"/>
              <w:rPr>
                <w:sz w:val="22"/>
                <w:szCs w:val="22"/>
              </w:rPr>
            </w:pPr>
            <w:r>
              <w:rPr>
                <w:sz w:val="22"/>
                <w:szCs w:val="22"/>
              </w:rPr>
              <w:t>No variation, minor variations, significant variations</w:t>
            </w:r>
          </w:p>
        </w:tc>
        <w:tc>
          <w:tcPr>
            <w:tcW w:w="2117" w:type="dxa"/>
            <w:vAlign w:val="center"/>
          </w:tcPr>
          <w:p w14:paraId="27608D2B" w14:textId="77777777" w:rsidR="00BA0745" w:rsidRDefault="00000000">
            <w:pPr>
              <w:spacing w:before="120" w:after="120"/>
              <w:jc w:val="center"/>
              <w:rPr>
                <w:sz w:val="22"/>
                <w:szCs w:val="22"/>
              </w:rPr>
            </w:pPr>
            <w:r>
              <w:rPr>
                <w:sz w:val="22"/>
                <w:szCs w:val="22"/>
              </w:rPr>
              <w:t>Seasonal quantity variation</w:t>
            </w:r>
          </w:p>
        </w:tc>
        <w:tc>
          <w:tcPr>
            <w:tcW w:w="2098" w:type="dxa"/>
            <w:vAlign w:val="center"/>
          </w:tcPr>
          <w:p w14:paraId="3E1476D3" w14:textId="77777777" w:rsidR="00BA0745" w:rsidRDefault="00000000">
            <w:pPr>
              <w:spacing w:before="120" w:after="120"/>
              <w:jc w:val="center"/>
              <w:rPr>
                <w:sz w:val="22"/>
                <w:szCs w:val="22"/>
              </w:rPr>
            </w:pPr>
            <w:r>
              <w:rPr>
                <w:sz w:val="22"/>
                <w:szCs w:val="22"/>
              </w:rPr>
              <w:t>Diagnostic service-support predictor</w:t>
            </w:r>
          </w:p>
        </w:tc>
      </w:tr>
      <w:tr w:rsidR="00BA0745" w14:paraId="78A0EEF8" w14:textId="77777777">
        <w:tc>
          <w:tcPr>
            <w:tcW w:w="729" w:type="dxa"/>
            <w:vAlign w:val="center"/>
          </w:tcPr>
          <w:p w14:paraId="75B6636B" w14:textId="77777777" w:rsidR="00BA0745" w:rsidRDefault="00000000">
            <w:pPr>
              <w:spacing w:before="120" w:after="120"/>
              <w:jc w:val="center"/>
              <w:rPr>
                <w:sz w:val="22"/>
                <w:szCs w:val="22"/>
              </w:rPr>
            </w:pPr>
            <w:r>
              <w:rPr>
                <w:sz w:val="22"/>
                <w:szCs w:val="22"/>
              </w:rPr>
              <w:t>Q8.6</w:t>
            </w:r>
          </w:p>
        </w:tc>
        <w:tc>
          <w:tcPr>
            <w:tcW w:w="1782" w:type="dxa"/>
            <w:vAlign w:val="center"/>
          </w:tcPr>
          <w:p w14:paraId="7110FD00" w14:textId="77777777" w:rsidR="00BA0745" w:rsidRDefault="00000000">
            <w:pPr>
              <w:spacing w:before="120" w:after="120"/>
              <w:jc w:val="center"/>
              <w:rPr>
                <w:sz w:val="22"/>
                <w:szCs w:val="22"/>
              </w:rPr>
            </w:pPr>
            <w:r>
              <w:rPr>
                <w:sz w:val="22"/>
                <w:szCs w:val="22"/>
              </w:rPr>
              <w:t xml:space="preserve">How important is quantity sufficiency when evaluating your </w:t>
            </w:r>
            <w:r>
              <w:rPr>
                <w:sz w:val="22"/>
                <w:szCs w:val="22"/>
              </w:rPr>
              <w:lastRenderedPageBreak/>
              <w:t>household’s water service quality?</w:t>
            </w:r>
          </w:p>
        </w:tc>
        <w:tc>
          <w:tcPr>
            <w:tcW w:w="2634" w:type="dxa"/>
            <w:vAlign w:val="center"/>
          </w:tcPr>
          <w:p w14:paraId="33C6CFE1" w14:textId="77777777" w:rsidR="00BA0745" w:rsidRDefault="00000000">
            <w:pPr>
              <w:spacing w:before="120" w:after="120"/>
              <w:jc w:val="center"/>
              <w:rPr>
                <w:sz w:val="22"/>
                <w:szCs w:val="22"/>
              </w:rPr>
            </w:pPr>
            <w:r>
              <w:rPr>
                <w:sz w:val="22"/>
                <w:szCs w:val="22"/>
              </w:rPr>
              <w:lastRenderedPageBreak/>
              <w:t>0–10 stated priority scale; higher values indicate greater stated importance</w:t>
            </w:r>
          </w:p>
        </w:tc>
        <w:tc>
          <w:tcPr>
            <w:tcW w:w="2117" w:type="dxa"/>
            <w:vAlign w:val="center"/>
          </w:tcPr>
          <w:p w14:paraId="6D21AD59" w14:textId="77777777" w:rsidR="00BA0745" w:rsidRDefault="00000000">
            <w:pPr>
              <w:spacing w:before="120" w:after="120"/>
              <w:jc w:val="center"/>
              <w:rPr>
                <w:sz w:val="22"/>
                <w:szCs w:val="22"/>
              </w:rPr>
            </w:pPr>
            <w:r>
              <w:rPr>
                <w:sz w:val="22"/>
                <w:szCs w:val="22"/>
              </w:rPr>
              <w:t>Quantity priority</w:t>
            </w:r>
          </w:p>
        </w:tc>
        <w:tc>
          <w:tcPr>
            <w:tcW w:w="2098" w:type="dxa"/>
            <w:vAlign w:val="center"/>
          </w:tcPr>
          <w:p w14:paraId="40041B87" w14:textId="77777777" w:rsidR="00BA0745" w:rsidRDefault="00000000">
            <w:pPr>
              <w:spacing w:before="120" w:after="120"/>
              <w:jc w:val="center"/>
              <w:rPr>
                <w:sz w:val="22"/>
                <w:szCs w:val="22"/>
              </w:rPr>
            </w:pPr>
            <w:r>
              <w:rPr>
                <w:sz w:val="22"/>
                <w:szCs w:val="22"/>
              </w:rPr>
              <w:t>Stated-priority predictor; used in priority-weighted WSQS sensitivity</w:t>
            </w:r>
          </w:p>
        </w:tc>
      </w:tr>
      <w:tr w:rsidR="00BA0745" w14:paraId="511A002D" w14:textId="77777777">
        <w:tc>
          <w:tcPr>
            <w:tcW w:w="729" w:type="dxa"/>
            <w:vAlign w:val="center"/>
          </w:tcPr>
          <w:p w14:paraId="50FC93A2" w14:textId="77777777" w:rsidR="00BA0745" w:rsidRDefault="00000000">
            <w:pPr>
              <w:spacing w:before="120" w:after="120"/>
              <w:jc w:val="center"/>
              <w:rPr>
                <w:sz w:val="22"/>
                <w:szCs w:val="22"/>
              </w:rPr>
            </w:pPr>
            <w:r>
              <w:rPr>
                <w:sz w:val="22"/>
                <w:szCs w:val="22"/>
              </w:rPr>
              <w:t>Q9.1</w:t>
            </w:r>
          </w:p>
        </w:tc>
        <w:tc>
          <w:tcPr>
            <w:tcW w:w="1782" w:type="dxa"/>
            <w:vAlign w:val="center"/>
          </w:tcPr>
          <w:p w14:paraId="04B88B24" w14:textId="77777777" w:rsidR="00BA0745" w:rsidRDefault="00000000">
            <w:pPr>
              <w:spacing w:before="120" w:after="120"/>
              <w:jc w:val="center"/>
              <w:rPr>
                <w:sz w:val="22"/>
                <w:szCs w:val="22"/>
              </w:rPr>
            </w:pPr>
            <w:r>
              <w:rPr>
                <w:sz w:val="22"/>
                <w:szCs w:val="22"/>
              </w:rPr>
              <w:t>How would you rate provider or customer-service quality for your household’s water service?</w:t>
            </w:r>
          </w:p>
        </w:tc>
        <w:tc>
          <w:tcPr>
            <w:tcW w:w="2634" w:type="dxa"/>
            <w:vAlign w:val="center"/>
          </w:tcPr>
          <w:p w14:paraId="36BE9D06" w14:textId="77777777" w:rsidR="00BA0745" w:rsidRDefault="00000000">
            <w:pPr>
              <w:spacing w:before="120" w:after="120"/>
              <w:jc w:val="center"/>
              <w:rPr>
                <w:sz w:val="22"/>
                <w:szCs w:val="22"/>
              </w:rPr>
            </w:pPr>
            <w:r>
              <w:rPr>
                <w:sz w:val="22"/>
                <w:szCs w:val="22"/>
              </w:rPr>
              <w:t>Excellent to very poor; includes full in-house system where applicable</w:t>
            </w:r>
          </w:p>
        </w:tc>
        <w:tc>
          <w:tcPr>
            <w:tcW w:w="2117" w:type="dxa"/>
            <w:vAlign w:val="center"/>
          </w:tcPr>
          <w:p w14:paraId="499ACAD1" w14:textId="77777777" w:rsidR="00BA0745" w:rsidRDefault="00000000">
            <w:pPr>
              <w:spacing w:before="120" w:after="120"/>
              <w:jc w:val="center"/>
              <w:rPr>
                <w:sz w:val="22"/>
                <w:szCs w:val="22"/>
              </w:rPr>
            </w:pPr>
            <w:r>
              <w:rPr>
                <w:sz w:val="22"/>
                <w:szCs w:val="22"/>
              </w:rPr>
              <w:t>Customer service</w:t>
            </w:r>
          </w:p>
        </w:tc>
        <w:tc>
          <w:tcPr>
            <w:tcW w:w="2098" w:type="dxa"/>
            <w:vAlign w:val="center"/>
          </w:tcPr>
          <w:p w14:paraId="52639362" w14:textId="77777777" w:rsidR="00BA0745" w:rsidRDefault="00000000">
            <w:pPr>
              <w:spacing w:before="120" w:after="120"/>
              <w:jc w:val="center"/>
              <w:rPr>
                <w:sz w:val="22"/>
                <w:szCs w:val="22"/>
              </w:rPr>
            </w:pPr>
            <w:r>
              <w:rPr>
                <w:sz w:val="22"/>
                <w:szCs w:val="22"/>
              </w:rPr>
              <w:t>CORE-8 WSQS construction item; excluded from predictors</w:t>
            </w:r>
          </w:p>
        </w:tc>
      </w:tr>
      <w:tr w:rsidR="00BA0745" w14:paraId="1BBE43EC" w14:textId="77777777">
        <w:tc>
          <w:tcPr>
            <w:tcW w:w="729" w:type="dxa"/>
            <w:vAlign w:val="center"/>
          </w:tcPr>
          <w:p w14:paraId="6D859590" w14:textId="77777777" w:rsidR="00BA0745" w:rsidRDefault="00000000">
            <w:pPr>
              <w:spacing w:before="120" w:after="120"/>
              <w:jc w:val="center"/>
              <w:rPr>
                <w:sz w:val="22"/>
                <w:szCs w:val="22"/>
              </w:rPr>
            </w:pPr>
            <w:r>
              <w:rPr>
                <w:sz w:val="22"/>
                <w:szCs w:val="22"/>
              </w:rPr>
              <w:t>Q9.2</w:t>
            </w:r>
          </w:p>
        </w:tc>
        <w:tc>
          <w:tcPr>
            <w:tcW w:w="1782" w:type="dxa"/>
            <w:vAlign w:val="center"/>
          </w:tcPr>
          <w:p w14:paraId="38C79FA3" w14:textId="77777777" w:rsidR="00BA0745" w:rsidRDefault="00000000">
            <w:pPr>
              <w:spacing w:before="120" w:after="120"/>
              <w:jc w:val="center"/>
              <w:rPr>
                <w:sz w:val="22"/>
                <w:szCs w:val="22"/>
              </w:rPr>
            </w:pPr>
            <w:r>
              <w:rPr>
                <w:sz w:val="22"/>
                <w:szCs w:val="22"/>
              </w:rPr>
              <w:t>How often are your household’s water-service complaints resolved or responded to?</w:t>
            </w:r>
          </w:p>
        </w:tc>
        <w:tc>
          <w:tcPr>
            <w:tcW w:w="2634" w:type="dxa"/>
            <w:vAlign w:val="center"/>
          </w:tcPr>
          <w:p w14:paraId="5D440076" w14:textId="77777777" w:rsidR="00BA0745" w:rsidRDefault="00000000">
            <w:pPr>
              <w:spacing w:before="120" w:after="120"/>
              <w:jc w:val="center"/>
              <w:rPr>
                <w:sz w:val="22"/>
                <w:szCs w:val="22"/>
              </w:rPr>
            </w:pPr>
            <w:r>
              <w:rPr>
                <w:sz w:val="22"/>
                <w:szCs w:val="22"/>
              </w:rPr>
              <w:t>Always to never</w:t>
            </w:r>
          </w:p>
        </w:tc>
        <w:tc>
          <w:tcPr>
            <w:tcW w:w="2117" w:type="dxa"/>
            <w:vAlign w:val="center"/>
          </w:tcPr>
          <w:p w14:paraId="14D29D50" w14:textId="77777777" w:rsidR="00BA0745" w:rsidRDefault="00000000">
            <w:pPr>
              <w:spacing w:before="120" w:after="120"/>
              <w:jc w:val="center"/>
              <w:rPr>
                <w:sz w:val="22"/>
                <w:szCs w:val="22"/>
              </w:rPr>
            </w:pPr>
            <w:r>
              <w:rPr>
                <w:sz w:val="22"/>
                <w:szCs w:val="22"/>
              </w:rPr>
              <w:t>Complaint resolution / responsiveness</w:t>
            </w:r>
          </w:p>
        </w:tc>
        <w:tc>
          <w:tcPr>
            <w:tcW w:w="2098" w:type="dxa"/>
            <w:vAlign w:val="center"/>
          </w:tcPr>
          <w:p w14:paraId="6EE9D5DC" w14:textId="77777777" w:rsidR="00BA0745" w:rsidRDefault="00000000">
            <w:pPr>
              <w:spacing w:before="120" w:after="120"/>
              <w:jc w:val="center"/>
              <w:rPr>
                <w:sz w:val="22"/>
                <w:szCs w:val="22"/>
              </w:rPr>
            </w:pPr>
            <w:r>
              <w:rPr>
                <w:sz w:val="22"/>
                <w:szCs w:val="22"/>
              </w:rPr>
              <w:t>Diagnostic service-support predictor</w:t>
            </w:r>
          </w:p>
        </w:tc>
      </w:tr>
      <w:tr w:rsidR="00BA0745" w14:paraId="478350A9" w14:textId="77777777">
        <w:tc>
          <w:tcPr>
            <w:tcW w:w="729" w:type="dxa"/>
            <w:vAlign w:val="center"/>
          </w:tcPr>
          <w:p w14:paraId="6D4076E5" w14:textId="77777777" w:rsidR="00BA0745" w:rsidRDefault="00000000">
            <w:pPr>
              <w:spacing w:before="120" w:after="120"/>
              <w:jc w:val="center"/>
              <w:rPr>
                <w:sz w:val="22"/>
                <w:szCs w:val="22"/>
              </w:rPr>
            </w:pPr>
            <w:r>
              <w:rPr>
                <w:sz w:val="22"/>
                <w:szCs w:val="22"/>
              </w:rPr>
              <w:t>Q9.3</w:t>
            </w:r>
          </w:p>
        </w:tc>
        <w:tc>
          <w:tcPr>
            <w:tcW w:w="1782" w:type="dxa"/>
            <w:vAlign w:val="center"/>
          </w:tcPr>
          <w:p w14:paraId="5D1E17F1" w14:textId="77777777" w:rsidR="00BA0745" w:rsidRDefault="00000000">
            <w:pPr>
              <w:spacing w:before="120" w:after="120"/>
              <w:jc w:val="center"/>
              <w:rPr>
                <w:sz w:val="22"/>
                <w:szCs w:val="22"/>
              </w:rPr>
            </w:pPr>
            <w:r>
              <w:rPr>
                <w:sz w:val="22"/>
                <w:szCs w:val="22"/>
              </w:rPr>
              <w:t>How easy is it for your household to contact the water-service provider or responsible party?</w:t>
            </w:r>
          </w:p>
        </w:tc>
        <w:tc>
          <w:tcPr>
            <w:tcW w:w="2634" w:type="dxa"/>
            <w:vAlign w:val="center"/>
          </w:tcPr>
          <w:p w14:paraId="66894FD7" w14:textId="77777777" w:rsidR="00BA0745" w:rsidRDefault="00000000">
            <w:pPr>
              <w:spacing w:before="120" w:after="120"/>
              <w:jc w:val="center"/>
              <w:rPr>
                <w:sz w:val="22"/>
                <w:szCs w:val="22"/>
              </w:rPr>
            </w:pPr>
            <w:r>
              <w:rPr>
                <w:sz w:val="22"/>
                <w:szCs w:val="22"/>
              </w:rPr>
              <w:t>Very easy to very difficult</w:t>
            </w:r>
          </w:p>
        </w:tc>
        <w:tc>
          <w:tcPr>
            <w:tcW w:w="2117" w:type="dxa"/>
            <w:vAlign w:val="center"/>
          </w:tcPr>
          <w:p w14:paraId="3CC8DC66" w14:textId="77777777" w:rsidR="00BA0745" w:rsidRDefault="00000000">
            <w:pPr>
              <w:spacing w:before="120" w:after="120"/>
              <w:jc w:val="center"/>
              <w:rPr>
                <w:sz w:val="22"/>
                <w:szCs w:val="22"/>
              </w:rPr>
            </w:pPr>
            <w:proofErr w:type="gramStart"/>
            <w:r>
              <w:rPr>
                <w:sz w:val="22"/>
                <w:szCs w:val="22"/>
              </w:rPr>
              <w:t>Provider</w:t>
            </w:r>
            <w:proofErr w:type="gramEnd"/>
            <w:r>
              <w:rPr>
                <w:sz w:val="22"/>
                <w:szCs w:val="22"/>
              </w:rPr>
              <w:t xml:space="preserve"> contact ease</w:t>
            </w:r>
          </w:p>
        </w:tc>
        <w:tc>
          <w:tcPr>
            <w:tcW w:w="2098" w:type="dxa"/>
            <w:vAlign w:val="center"/>
          </w:tcPr>
          <w:p w14:paraId="00BC011C" w14:textId="77777777" w:rsidR="00BA0745" w:rsidRDefault="00000000">
            <w:pPr>
              <w:spacing w:before="120" w:after="120"/>
              <w:jc w:val="center"/>
              <w:rPr>
                <w:sz w:val="22"/>
                <w:szCs w:val="22"/>
              </w:rPr>
            </w:pPr>
            <w:r>
              <w:rPr>
                <w:sz w:val="22"/>
                <w:szCs w:val="22"/>
              </w:rPr>
              <w:t>Diagnostic service-support predictor</w:t>
            </w:r>
          </w:p>
        </w:tc>
      </w:tr>
      <w:tr w:rsidR="00BA0745" w14:paraId="14527ECD" w14:textId="77777777">
        <w:tc>
          <w:tcPr>
            <w:tcW w:w="729" w:type="dxa"/>
            <w:vAlign w:val="center"/>
          </w:tcPr>
          <w:p w14:paraId="13BA33CC" w14:textId="77777777" w:rsidR="00BA0745" w:rsidRDefault="00000000">
            <w:pPr>
              <w:spacing w:before="120" w:after="120"/>
              <w:jc w:val="center"/>
              <w:rPr>
                <w:sz w:val="22"/>
                <w:szCs w:val="22"/>
              </w:rPr>
            </w:pPr>
            <w:r>
              <w:rPr>
                <w:sz w:val="22"/>
                <w:szCs w:val="22"/>
              </w:rPr>
              <w:t>Q9.4</w:t>
            </w:r>
          </w:p>
        </w:tc>
        <w:tc>
          <w:tcPr>
            <w:tcW w:w="1782" w:type="dxa"/>
            <w:vAlign w:val="center"/>
          </w:tcPr>
          <w:p w14:paraId="6961D43A" w14:textId="77777777" w:rsidR="00BA0745" w:rsidRDefault="00000000">
            <w:pPr>
              <w:spacing w:before="120" w:after="120"/>
              <w:jc w:val="center"/>
              <w:rPr>
                <w:sz w:val="22"/>
                <w:szCs w:val="22"/>
              </w:rPr>
            </w:pPr>
            <w:r>
              <w:rPr>
                <w:sz w:val="22"/>
                <w:szCs w:val="22"/>
              </w:rPr>
              <w:t>Is your household aware of water-infrastructure upgrades or service improvements?</w:t>
            </w:r>
          </w:p>
        </w:tc>
        <w:tc>
          <w:tcPr>
            <w:tcW w:w="2634" w:type="dxa"/>
            <w:vAlign w:val="center"/>
          </w:tcPr>
          <w:p w14:paraId="69179AF8" w14:textId="77777777" w:rsidR="00BA0745" w:rsidRDefault="00000000">
            <w:pPr>
              <w:spacing w:before="120" w:after="120"/>
              <w:jc w:val="center"/>
              <w:rPr>
                <w:sz w:val="22"/>
                <w:szCs w:val="22"/>
              </w:rPr>
            </w:pPr>
            <w:r>
              <w:rPr>
                <w:sz w:val="22"/>
                <w:szCs w:val="22"/>
              </w:rPr>
              <w:t>Yes, no, not aware</w:t>
            </w:r>
          </w:p>
        </w:tc>
        <w:tc>
          <w:tcPr>
            <w:tcW w:w="2117" w:type="dxa"/>
            <w:vAlign w:val="center"/>
          </w:tcPr>
          <w:p w14:paraId="49A11D7F" w14:textId="77777777" w:rsidR="00BA0745" w:rsidRDefault="00000000">
            <w:pPr>
              <w:spacing w:before="120" w:after="120"/>
              <w:jc w:val="center"/>
              <w:rPr>
                <w:sz w:val="22"/>
                <w:szCs w:val="22"/>
              </w:rPr>
            </w:pPr>
            <w:r>
              <w:rPr>
                <w:sz w:val="22"/>
                <w:szCs w:val="22"/>
              </w:rPr>
              <w:t>Infrastructure awareness / upgrades</w:t>
            </w:r>
          </w:p>
        </w:tc>
        <w:tc>
          <w:tcPr>
            <w:tcW w:w="2098" w:type="dxa"/>
            <w:vAlign w:val="center"/>
          </w:tcPr>
          <w:p w14:paraId="44F55F36" w14:textId="77777777" w:rsidR="00BA0745" w:rsidRDefault="00000000">
            <w:pPr>
              <w:spacing w:before="120" w:after="120"/>
              <w:jc w:val="center"/>
              <w:rPr>
                <w:sz w:val="22"/>
                <w:szCs w:val="22"/>
              </w:rPr>
            </w:pPr>
            <w:r>
              <w:rPr>
                <w:sz w:val="22"/>
                <w:szCs w:val="22"/>
              </w:rPr>
              <w:t>Diagnostic service-support predictor</w:t>
            </w:r>
          </w:p>
        </w:tc>
      </w:tr>
      <w:tr w:rsidR="00BA0745" w14:paraId="3C780CFD" w14:textId="77777777">
        <w:tc>
          <w:tcPr>
            <w:tcW w:w="729" w:type="dxa"/>
            <w:vAlign w:val="center"/>
          </w:tcPr>
          <w:p w14:paraId="3BD72C54" w14:textId="77777777" w:rsidR="00BA0745" w:rsidRDefault="00000000">
            <w:pPr>
              <w:spacing w:before="120" w:after="120"/>
              <w:jc w:val="center"/>
              <w:rPr>
                <w:sz w:val="22"/>
                <w:szCs w:val="22"/>
              </w:rPr>
            </w:pPr>
            <w:r>
              <w:rPr>
                <w:sz w:val="22"/>
                <w:szCs w:val="22"/>
              </w:rPr>
              <w:t>Q9.5</w:t>
            </w:r>
          </w:p>
        </w:tc>
        <w:tc>
          <w:tcPr>
            <w:tcW w:w="1782" w:type="dxa"/>
            <w:vAlign w:val="center"/>
          </w:tcPr>
          <w:p w14:paraId="48CC72A6" w14:textId="77777777" w:rsidR="00BA0745" w:rsidRDefault="00000000">
            <w:pPr>
              <w:spacing w:before="120" w:after="120"/>
              <w:jc w:val="center"/>
              <w:rPr>
                <w:sz w:val="22"/>
                <w:szCs w:val="22"/>
              </w:rPr>
            </w:pPr>
            <w:r>
              <w:rPr>
                <w:sz w:val="22"/>
                <w:szCs w:val="22"/>
              </w:rPr>
              <w:t>How important is customer service when evaluating your household’s water service quality?</w:t>
            </w:r>
          </w:p>
        </w:tc>
        <w:tc>
          <w:tcPr>
            <w:tcW w:w="2634" w:type="dxa"/>
            <w:vAlign w:val="center"/>
          </w:tcPr>
          <w:p w14:paraId="665725DD" w14:textId="77777777" w:rsidR="00BA0745" w:rsidRDefault="00000000">
            <w:pPr>
              <w:spacing w:before="120" w:after="120"/>
              <w:jc w:val="center"/>
              <w:rPr>
                <w:sz w:val="22"/>
                <w:szCs w:val="22"/>
              </w:rPr>
            </w:pPr>
            <w:r>
              <w:rPr>
                <w:sz w:val="22"/>
                <w:szCs w:val="22"/>
              </w:rPr>
              <w:t>0–10 stated priority scale; higher values indicate greater stated importance</w:t>
            </w:r>
          </w:p>
        </w:tc>
        <w:tc>
          <w:tcPr>
            <w:tcW w:w="2117" w:type="dxa"/>
            <w:vAlign w:val="center"/>
          </w:tcPr>
          <w:p w14:paraId="38548E24" w14:textId="77777777" w:rsidR="00BA0745" w:rsidRDefault="00000000">
            <w:pPr>
              <w:spacing w:before="120" w:after="120"/>
              <w:jc w:val="center"/>
              <w:rPr>
                <w:sz w:val="22"/>
                <w:szCs w:val="22"/>
              </w:rPr>
            </w:pPr>
            <w:r>
              <w:rPr>
                <w:sz w:val="22"/>
                <w:szCs w:val="22"/>
              </w:rPr>
              <w:t>Customer-service priority</w:t>
            </w:r>
          </w:p>
        </w:tc>
        <w:tc>
          <w:tcPr>
            <w:tcW w:w="2098" w:type="dxa"/>
            <w:vAlign w:val="center"/>
          </w:tcPr>
          <w:p w14:paraId="1EDDC26A" w14:textId="77777777" w:rsidR="00BA0745" w:rsidRDefault="00000000">
            <w:pPr>
              <w:spacing w:before="120" w:after="120"/>
              <w:jc w:val="center"/>
              <w:rPr>
                <w:sz w:val="22"/>
                <w:szCs w:val="22"/>
              </w:rPr>
            </w:pPr>
            <w:r>
              <w:rPr>
                <w:sz w:val="22"/>
                <w:szCs w:val="22"/>
              </w:rPr>
              <w:t>Stated-priority predictor; used in priority-weighted WSQS sensitivity</w:t>
            </w:r>
          </w:p>
        </w:tc>
      </w:tr>
      <w:tr w:rsidR="00BA0745" w14:paraId="033751AE" w14:textId="77777777">
        <w:tc>
          <w:tcPr>
            <w:tcW w:w="729" w:type="dxa"/>
            <w:vAlign w:val="center"/>
          </w:tcPr>
          <w:p w14:paraId="64970D64" w14:textId="77777777" w:rsidR="00BA0745" w:rsidRDefault="00000000">
            <w:pPr>
              <w:spacing w:before="120" w:after="120"/>
              <w:jc w:val="center"/>
              <w:rPr>
                <w:sz w:val="22"/>
                <w:szCs w:val="22"/>
              </w:rPr>
            </w:pPr>
            <w:r>
              <w:rPr>
                <w:sz w:val="22"/>
                <w:szCs w:val="22"/>
              </w:rPr>
              <w:t>Q15.17</w:t>
            </w:r>
          </w:p>
        </w:tc>
        <w:tc>
          <w:tcPr>
            <w:tcW w:w="1782" w:type="dxa"/>
            <w:vAlign w:val="center"/>
          </w:tcPr>
          <w:p w14:paraId="11E99A1C" w14:textId="77777777" w:rsidR="00BA0745" w:rsidRDefault="00000000">
            <w:pPr>
              <w:spacing w:before="120" w:after="120"/>
              <w:jc w:val="center"/>
              <w:rPr>
                <w:sz w:val="22"/>
                <w:szCs w:val="22"/>
              </w:rPr>
            </w:pPr>
            <w:r>
              <w:rPr>
                <w:sz w:val="22"/>
                <w:szCs w:val="22"/>
              </w:rPr>
              <w:t>What is your household’s annual income category?</w:t>
            </w:r>
          </w:p>
        </w:tc>
        <w:tc>
          <w:tcPr>
            <w:tcW w:w="2634" w:type="dxa"/>
            <w:vAlign w:val="center"/>
          </w:tcPr>
          <w:p w14:paraId="49C9E369" w14:textId="77777777" w:rsidR="00BA0745" w:rsidRDefault="00000000">
            <w:pPr>
              <w:spacing w:before="120" w:after="120"/>
              <w:jc w:val="center"/>
              <w:rPr>
                <w:sz w:val="22"/>
                <w:szCs w:val="22"/>
              </w:rPr>
            </w:pPr>
            <w:r>
              <w:rPr>
                <w:sz w:val="22"/>
                <w:szCs w:val="22"/>
              </w:rPr>
              <w:t>Income category</w:t>
            </w:r>
          </w:p>
        </w:tc>
        <w:tc>
          <w:tcPr>
            <w:tcW w:w="2117" w:type="dxa"/>
            <w:vAlign w:val="center"/>
          </w:tcPr>
          <w:p w14:paraId="612618AC" w14:textId="77777777" w:rsidR="00BA0745" w:rsidRDefault="00000000">
            <w:pPr>
              <w:spacing w:before="120" w:after="120"/>
              <w:jc w:val="center"/>
              <w:rPr>
                <w:sz w:val="22"/>
                <w:szCs w:val="22"/>
              </w:rPr>
            </w:pPr>
            <w:r>
              <w:rPr>
                <w:sz w:val="22"/>
                <w:szCs w:val="22"/>
              </w:rPr>
              <w:t>Household socioeconomic context</w:t>
            </w:r>
          </w:p>
        </w:tc>
        <w:tc>
          <w:tcPr>
            <w:tcW w:w="2098" w:type="dxa"/>
            <w:vAlign w:val="center"/>
          </w:tcPr>
          <w:p w14:paraId="0D8D5D0C" w14:textId="77777777" w:rsidR="00BA0745" w:rsidRDefault="00000000">
            <w:pPr>
              <w:spacing w:before="120" w:after="120"/>
              <w:jc w:val="center"/>
              <w:rPr>
                <w:sz w:val="22"/>
                <w:szCs w:val="22"/>
              </w:rPr>
            </w:pPr>
            <w:r>
              <w:rPr>
                <w:sz w:val="22"/>
                <w:szCs w:val="22"/>
              </w:rPr>
              <w:t>Main household-context predictor; ordered income encoding in primary model and categorical encoding in sensitivity analysis</w:t>
            </w:r>
          </w:p>
        </w:tc>
      </w:tr>
      <w:tr w:rsidR="00BA0745" w14:paraId="76A9C59E" w14:textId="77777777">
        <w:tc>
          <w:tcPr>
            <w:tcW w:w="729" w:type="dxa"/>
            <w:vAlign w:val="center"/>
          </w:tcPr>
          <w:p w14:paraId="7C453C26" w14:textId="77777777" w:rsidR="00BA0745" w:rsidRDefault="00000000">
            <w:pPr>
              <w:spacing w:before="120" w:after="120"/>
              <w:jc w:val="center"/>
              <w:rPr>
                <w:sz w:val="22"/>
                <w:szCs w:val="22"/>
              </w:rPr>
            </w:pPr>
            <w:r>
              <w:rPr>
                <w:sz w:val="22"/>
                <w:szCs w:val="22"/>
              </w:rPr>
              <w:t>Q15.10</w:t>
            </w:r>
          </w:p>
        </w:tc>
        <w:tc>
          <w:tcPr>
            <w:tcW w:w="1782" w:type="dxa"/>
            <w:vAlign w:val="center"/>
          </w:tcPr>
          <w:p w14:paraId="07218A00" w14:textId="77777777" w:rsidR="00BA0745" w:rsidRDefault="00000000">
            <w:pPr>
              <w:spacing w:before="120" w:after="120"/>
              <w:jc w:val="center"/>
              <w:rPr>
                <w:sz w:val="22"/>
                <w:szCs w:val="22"/>
              </w:rPr>
            </w:pPr>
            <w:r>
              <w:rPr>
                <w:sz w:val="22"/>
                <w:szCs w:val="22"/>
              </w:rPr>
              <w:t>What is your household size?</w:t>
            </w:r>
          </w:p>
        </w:tc>
        <w:tc>
          <w:tcPr>
            <w:tcW w:w="2634" w:type="dxa"/>
            <w:vAlign w:val="center"/>
          </w:tcPr>
          <w:p w14:paraId="2CB7E6B6" w14:textId="77777777" w:rsidR="00BA0745" w:rsidRDefault="00000000">
            <w:pPr>
              <w:spacing w:before="120" w:after="120"/>
              <w:jc w:val="center"/>
              <w:rPr>
                <w:sz w:val="22"/>
                <w:szCs w:val="22"/>
              </w:rPr>
            </w:pPr>
            <w:r>
              <w:rPr>
                <w:sz w:val="22"/>
                <w:szCs w:val="22"/>
              </w:rPr>
              <w:t>Household size category or numeric value</w:t>
            </w:r>
          </w:p>
        </w:tc>
        <w:tc>
          <w:tcPr>
            <w:tcW w:w="2117" w:type="dxa"/>
            <w:vAlign w:val="center"/>
          </w:tcPr>
          <w:p w14:paraId="261A9D40" w14:textId="77777777" w:rsidR="00BA0745" w:rsidRDefault="00000000">
            <w:pPr>
              <w:spacing w:before="120" w:after="120"/>
              <w:jc w:val="center"/>
              <w:rPr>
                <w:sz w:val="22"/>
                <w:szCs w:val="22"/>
              </w:rPr>
            </w:pPr>
            <w:r>
              <w:rPr>
                <w:sz w:val="22"/>
                <w:szCs w:val="22"/>
              </w:rPr>
              <w:t>Household composition</w:t>
            </w:r>
          </w:p>
        </w:tc>
        <w:tc>
          <w:tcPr>
            <w:tcW w:w="2098" w:type="dxa"/>
            <w:vAlign w:val="center"/>
          </w:tcPr>
          <w:p w14:paraId="660F5E83" w14:textId="77777777" w:rsidR="00BA0745" w:rsidRDefault="00000000">
            <w:pPr>
              <w:spacing w:before="120" w:after="120"/>
              <w:jc w:val="center"/>
              <w:rPr>
                <w:sz w:val="22"/>
                <w:szCs w:val="22"/>
              </w:rPr>
            </w:pPr>
            <w:r>
              <w:rPr>
                <w:sz w:val="22"/>
                <w:szCs w:val="22"/>
              </w:rPr>
              <w:t>Main household-context predictor; numeric/capped encoding</w:t>
            </w:r>
          </w:p>
        </w:tc>
      </w:tr>
      <w:tr w:rsidR="00BA0745" w14:paraId="5A7A8DF5" w14:textId="77777777">
        <w:tc>
          <w:tcPr>
            <w:tcW w:w="729" w:type="dxa"/>
            <w:vAlign w:val="center"/>
          </w:tcPr>
          <w:p w14:paraId="6A0F2C2B" w14:textId="77777777" w:rsidR="00BA0745" w:rsidRDefault="00000000">
            <w:pPr>
              <w:spacing w:before="120" w:after="120"/>
              <w:jc w:val="center"/>
              <w:rPr>
                <w:sz w:val="22"/>
                <w:szCs w:val="22"/>
              </w:rPr>
            </w:pPr>
            <w:r>
              <w:rPr>
                <w:sz w:val="22"/>
                <w:szCs w:val="22"/>
              </w:rPr>
              <w:lastRenderedPageBreak/>
              <w:t>Q15.14</w:t>
            </w:r>
          </w:p>
        </w:tc>
        <w:tc>
          <w:tcPr>
            <w:tcW w:w="1782" w:type="dxa"/>
            <w:vAlign w:val="center"/>
          </w:tcPr>
          <w:p w14:paraId="631E4B81" w14:textId="77777777" w:rsidR="00BA0745" w:rsidRDefault="00000000">
            <w:pPr>
              <w:spacing w:before="120" w:after="120"/>
              <w:jc w:val="center"/>
              <w:rPr>
                <w:sz w:val="22"/>
                <w:szCs w:val="22"/>
              </w:rPr>
            </w:pPr>
            <w:r>
              <w:rPr>
                <w:sz w:val="22"/>
                <w:szCs w:val="22"/>
              </w:rPr>
              <w:t>What type of dwelling does your household live in?</w:t>
            </w:r>
          </w:p>
        </w:tc>
        <w:tc>
          <w:tcPr>
            <w:tcW w:w="2634" w:type="dxa"/>
            <w:vAlign w:val="center"/>
          </w:tcPr>
          <w:p w14:paraId="1C43848F" w14:textId="77777777" w:rsidR="00BA0745" w:rsidRDefault="00000000">
            <w:pPr>
              <w:spacing w:before="120" w:after="120"/>
              <w:jc w:val="center"/>
              <w:rPr>
                <w:sz w:val="22"/>
                <w:szCs w:val="22"/>
              </w:rPr>
            </w:pPr>
            <w:r>
              <w:rPr>
                <w:sz w:val="22"/>
                <w:szCs w:val="22"/>
              </w:rPr>
              <w:t>Individual house, apartment, temporary housing, other</w:t>
            </w:r>
          </w:p>
        </w:tc>
        <w:tc>
          <w:tcPr>
            <w:tcW w:w="2117" w:type="dxa"/>
            <w:vAlign w:val="center"/>
          </w:tcPr>
          <w:p w14:paraId="65411C9E" w14:textId="77777777" w:rsidR="00BA0745" w:rsidRDefault="00000000">
            <w:pPr>
              <w:spacing w:before="120" w:after="120"/>
              <w:jc w:val="center"/>
              <w:rPr>
                <w:sz w:val="22"/>
                <w:szCs w:val="22"/>
              </w:rPr>
            </w:pPr>
            <w:r>
              <w:rPr>
                <w:sz w:val="22"/>
                <w:szCs w:val="22"/>
              </w:rPr>
              <w:t>Housing context</w:t>
            </w:r>
          </w:p>
        </w:tc>
        <w:tc>
          <w:tcPr>
            <w:tcW w:w="2098" w:type="dxa"/>
            <w:vAlign w:val="center"/>
          </w:tcPr>
          <w:p w14:paraId="0DF3BBDC" w14:textId="77777777" w:rsidR="00BA0745" w:rsidRDefault="00000000">
            <w:pPr>
              <w:spacing w:before="120" w:after="120"/>
              <w:jc w:val="center"/>
              <w:rPr>
                <w:sz w:val="22"/>
                <w:szCs w:val="22"/>
              </w:rPr>
            </w:pPr>
            <w:r>
              <w:rPr>
                <w:sz w:val="22"/>
                <w:szCs w:val="22"/>
              </w:rPr>
              <w:t>Main household-context predictor; categorical</w:t>
            </w:r>
          </w:p>
        </w:tc>
      </w:tr>
      <w:tr w:rsidR="00BA0745" w14:paraId="4EC86291" w14:textId="77777777">
        <w:tc>
          <w:tcPr>
            <w:tcW w:w="729" w:type="dxa"/>
            <w:vAlign w:val="center"/>
          </w:tcPr>
          <w:p w14:paraId="2AA4E232" w14:textId="77777777" w:rsidR="00BA0745" w:rsidRDefault="00000000">
            <w:pPr>
              <w:spacing w:before="120" w:after="120"/>
              <w:jc w:val="center"/>
              <w:rPr>
                <w:sz w:val="22"/>
                <w:szCs w:val="22"/>
              </w:rPr>
            </w:pPr>
            <w:r>
              <w:rPr>
                <w:sz w:val="22"/>
                <w:szCs w:val="22"/>
              </w:rPr>
              <w:t>Q15.2</w:t>
            </w:r>
          </w:p>
        </w:tc>
        <w:tc>
          <w:tcPr>
            <w:tcW w:w="1782" w:type="dxa"/>
            <w:vAlign w:val="center"/>
          </w:tcPr>
          <w:p w14:paraId="12866B1D" w14:textId="77777777" w:rsidR="00BA0745" w:rsidRDefault="00000000">
            <w:pPr>
              <w:spacing w:before="120" w:after="120"/>
              <w:jc w:val="center"/>
              <w:rPr>
                <w:sz w:val="22"/>
                <w:szCs w:val="22"/>
              </w:rPr>
            </w:pPr>
            <w:r>
              <w:rPr>
                <w:sz w:val="22"/>
                <w:szCs w:val="22"/>
              </w:rPr>
              <w:t>What is the respondent’s gender?</w:t>
            </w:r>
          </w:p>
        </w:tc>
        <w:tc>
          <w:tcPr>
            <w:tcW w:w="2634" w:type="dxa"/>
            <w:vAlign w:val="center"/>
          </w:tcPr>
          <w:p w14:paraId="49C7EDEF" w14:textId="77777777" w:rsidR="00BA0745" w:rsidRDefault="00000000">
            <w:pPr>
              <w:spacing w:before="120" w:after="120"/>
              <w:jc w:val="center"/>
              <w:rPr>
                <w:sz w:val="22"/>
                <w:szCs w:val="22"/>
              </w:rPr>
            </w:pPr>
            <w:r>
              <w:rPr>
                <w:sz w:val="22"/>
                <w:szCs w:val="22"/>
              </w:rPr>
              <w:t>Female, male, choose not to specify, others</w:t>
            </w:r>
          </w:p>
        </w:tc>
        <w:tc>
          <w:tcPr>
            <w:tcW w:w="2117" w:type="dxa"/>
            <w:vAlign w:val="center"/>
          </w:tcPr>
          <w:p w14:paraId="15FFBEB9" w14:textId="77777777" w:rsidR="00BA0745" w:rsidRDefault="00000000">
            <w:pPr>
              <w:spacing w:before="120" w:after="120"/>
              <w:jc w:val="center"/>
              <w:rPr>
                <w:sz w:val="22"/>
                <w:szCs w:val="22"/>
              </w:rPr>
            </w:pPr>
            <w:r>
              <w:rPr>
                <w:sz w:val="22"/>
                <w:szCs w:val="22"/>
              </w:rPr>
              <w:t>Demographic context</w:t>
            </w:r>
          </w:p>
        </w:tc>
        <w:tc>
          <w:tcPr>
            <w:tcW w:w="2098" w:type="dxa"/>
            <w:vAlign w:val="center"/>
          </w:tcPr>
          <w:p w14:paraId="0F446AF8" w14:textId="77777777" w:rsidR="00BA0745" w:rsidRDefault="00000000">
            <w:pPr>
              <w:spacing w:before="120" w:after="120"/>
              <w:jc w:val="center"/>
              <w:rPr>
                <w:sz w:val="22"/>
                <w:szCs w:val="22"/>
              </w:rPr>
            </w:pPr>
            <w:r>
              <w:rPr>
                <w:sz w:val="22"/>
                <w:szCs w:val="22"/>
              </w:rPr>
              <w:t>Sensitivity-only context variable; not included in main model</w:t>
            </w:r>
          </w:p>
        </w:tc>
      </w:tr>
      <w:tr w:rsidR="00BA0745" w14:paraId="6BE17032" w14:textId="77777777">
        <w:tc>
          <w:tcPr>
            <w:tcW w:w="729" w:type="dxa"/>
            <w:tcBorders>
              <w:bottom w:val="single" w:sz="4" w:space="0" w:color="000000"/>
            </w:tcBorders>
            <w:vAlign w:val="center"/>
          </w:tcPr>
          <w:p w14:paraId="787A3089" w14:textId="77777777" w:rsidR="00BA0745" w:rsidRDefault="00000000">
            <w:pPr>
              <w:spacing w:before="120" w:after="120"/>
              <w:jc w:val="center"/>
              <w:rPr>
                <w:sz w:val="22"/>
                <w:szCs w:val="22"/>
              </w:rPr>
            </w:pPr>
            <w:r>
              <w:rPr>
                <w:sz w:val="22"/>
                <w:szCs w:val="22"/>
              </w:rPr>
              <w:t>Q15.3</w:t>
            </w:r>
          </w:p>
        </w:tc>
        <w:tc>
          <w:tcPr>
            <w:tcW w:w="1782" w:type="dxa"/>
            <w:tcBorders>
              <w:bottom w:val="single" w:sz="4" w:space="0" w:color="000000"/>
            </w:tcBorders>
            <w:vAlign w:val="center"/>
          </w:tcPr>
          <w:p w14:paraId="02A4EC23" w14:textId="77777777" w:rsidR="00BA0745" w:rsidRDefault="00000000">
            <w:pPr>
              <w:spacing w:before="120" w:after="120"/>
              <w:jc w:val="center"/>
              <w:rPr>
                <w:sz w:val="22"/>
                <w:szCs w:val="22"/>
              </w:rPr>
            </w:pPr>
            <w:r>
              <w:rPr>
                <w:sz w:val="22"/>
                <w:szCs w:val="22"/>
              </w:rPr>
              <w:t>What is the respondent’s age?</w:t>
            </w:r>
          </w:p>
        </w:tc>
        <w:tc>
          <w:tcPr>
            <w:tcW w:w="2634" w:type="dxa"/>
            <w:tcBorders>
              <w:bottom w:val="single" w:sz="4" w:space="0" w:color="000000"/>
            </w:tcBorders>
            <w:vAlign w:val="center"/>
          </w:tcPr>
          <w:p w14:paraId="0C03B1A4" w14:textId="77777777" w:rsidR="00BA0745" w:rsidRDefault="00000000">
            <w:pPr>
              <w:spacing w:before="120" w:after="120"/>
              <w:jc w:val="center"/>
              <w:rPr>
                <w:sz w:val="22"/>
                <w:szCs w:val="22"/>
              </w:rPr>
            </w:pPr>
            <w:r>
              <w:rPr>
                <w:sz w:val="22"/>
                <w:szCs w:val="22"/>
              </w:rPr>
              <w:t>Open numeric age where available</w:t>
            </w:r>
          </w:p>
        </w:tc>
        <w:tc>
          <w:tcPr>
            <w:tcW w:w="2117" w:type="dxa"/>
            <w:tcBorders>
              <w:bottom w:val="single" w:sz="4" w:space="0" w:color="000000"/>
            </w:tcBorders>
            <w:vAlign w:val="center"/>
          </w:tcPr>
          <w:p w14:paraId="04C29988" w14:textId="77777777" w:rsidR="00BA0745" w:rsidRDefault="00000000">
            <w:pPr>
              <w:spacing w:before="120" w:after="120"/>
              <w:jc w:val="center"/>
              <w:rPr>
                <w:sz w:val="22"/>
                <w:szCs w:val="22"/>
              </w:rPr>
            </w:pPr>
            <w:r>
              <w:rPr>
                <w:sz w:val="22"/>
                <w:szCs w:val="22"/>
              </w:rPr>
              <w:t>Demographic context</w:t>
            </w:r>
          </w:p>
        </w:tc>
        <w:tc>
          <w:tcPr>
            <w:tcW w:w="2098" w:type="dxa"/>
            <w:tcBorders>
              <w:bottom w:val="single" w:sz="4" w:space="0" w:color="000000"/>
            </w:tcBorders>
            <w:vAlign w:val="center"/>
          </w:tcPr>
          <w:p w14:paraId="38889C50" w14:textId="77777777" w:rsidR="00BA0745" w:rsidRDefault="00000000">
            <w:pPr>
              <w:spacing w:before="120" w:after="120"/>
              <w:jc w:val="center"/>
              <w:rPr>
                <w:sz w:val="22"/>
                <w:szCs w:val="22"/>
              </w:rPr>
            </w:pPr>
            <w:r>
              <w:rPr>
                <w:sz w:val="22"/>
                <w:szCs w:val="22"/>
              </w:rPr>
              <w:t>Sensitivity-only context variable; not included in main model</w:t>
            </w:r>
          </w:p>
        </w:tc>
      </w:tr>
    </w:tbl>
    <w:p w14:paraId="429A1DE2" w14:textId="77777777" w:rsidR="00BA0745" w:rsidRDefault="00000000">
      <w:pPr>
        <w:pBdr>
          <w:bottom w:val="none" w:sz="0" w:space="30" w:color="000000"/>
        </w:pBdr>
        <w:spacing w:before="120" w:after="120"/>
        <w:jc w:val="both"/>
        <w:rPr>
          <w:b/>
          <w:bCs/>
          <w:sz w:val="22"/>
          <w:szCs w:val="22"/>
        </w:rPr>
      </w:pPr>
      <w:r>
        <w:rPr>
          <w:b/>
          <w:bCs/>
          <w:sz w:val="22"/>
          <w:szCs w:val="22"/>
        </w:rPr>
        <w:t>S4. Sample coverage and external benchmark diagnostics</w:t>
      </w:r>
    </w:p>
    <w:p w14:paraId="2D793A59" w14:textId="77777777" w:rsidR="00BA0745" w:rsidRDefault="00000000">
      <w:pPr>
        <w:pBdr>
          <w:bottom w:val="none" w:sz="0" w:space="30" w:color="000000"/>
        </w:pBdr>
        <w:spacing w:before="120" w:after="120"/>
        <w:jc w:val="both"/>
        <w:rPr>
          <w:b/>
          <w:bCs/>
          <w:sz w:val="22"/>
          <w:szCs w:val="22"/>
        </w:rPr>
      </w:pPr>
      <w:r>
        <w:rPr>
          <w:b/>
          <w:bCs/>
          <w:sz w:val="22"/>
          <w:szCs w:val="22"/>
        </w:rPr>
        <w:t>S4.1. Coverage framework and external reference data</w:t>
      </w:r>
    </w:p>
    <w:p w14:paraId="1EC03A9B" w14:textId="77777777" w:rsidR="00BA0745" w:rsidRDefault="00000000">
      <w:pPr>
        <w:pBdr>
          <w:bottom w:val="none" w:sz="0" w:space="30" w:color="000000"/>
        </w:pBdr>
        <w:spacing w:before="120" w:after="120"/>
        <w:jc w:val="both"/>
        <w:rPr>
          <w:sz w:val="22"/>
          <w:szCs w:val="22"/>
        </w:rPr>
      </w:pPr>
      <w:r>
        <w:rPr>
          <w:sz w:val="22"/>
          <w:szCs w:val="22"/>
        </w:rPr>
        <w:t>The non-probability recruitment strategy was designed to capture heterogeneity in household water-service experiences and provision arrangements, rather than to reproduce Tamil Nadu's population distribution as detailed in the main methods section. We therefore evaluated sample coverage separately from the WSQS analysis by comparing selected observable household characteristics with independent state-level reference data and by characterizing the geographic and settlement environments represented in the survey.</w:t>
      </w:r>
    </w:p>
    <w:p w14:paraId="4F9510B8" w14:textId="77777777" w:rsidR="00BA0745" w:rsidRDefault="00000000">
      <w:pPr>
        <w:pBdr>
          <w:bottom w:val="none" w:sz="0" w:space="30" w:color="000000"/>
        </w:pBdr>
        <w:spacing w:before="120" w:after="120"/>
        <w:jc w:val="both"/>
        <w:rPr>
          <w:sz w:val="22"/>
          <w:szCs w:val="22"/>
        </w:rPr>
      </w:pPr>
      <w:r>
        <w:rPr>
          <w:sz w:val="22"/>
          <w:szCs w:val="22"/>
        </w:rPr>
        <w:t>These diagnostics were used to assess the breadth and composition of the observed sample, not to establish probability-based representativeness. We did not use external benchmarks for post-stratification, survey weighting, sample exclusion, WSQS construction, or model calibration. Instead, we used them to provide an independent reference for identifying where the study population overlaps with or differs from statewide distributions and for establishing the range of household and service environments over which the measurement and modeling analyses were evaluated.</w:t>
      </w:r>
    </w:p>
    <w:p w14:paraId="24AF3677" w14:textId="77777777" w:rsidR="00BA0745" w:rsidRDefault="00000000">
      <w:pPr>
        <w:pBdr>
          <w:bottom w:val="none" w:sz="0" w:space="30" w:color="000000"/>
        </w:pBdr>
        <w:spacing w:before="120" w:after="120"/>
        <w:jc w:val="both"/>
        <w:rPr>
          <w:sz w:val="22"/>
          <w:szCs w:val="22"/>
        </w:rPr>
      </w:pPr>
      <w:r>
        <w:rPr>
          <w:sz w:val="22"/>
          <w:szCs w:val="22"/>
        </w:rPr>
        <w:t>The coverage analysis used 6,093 household records. The difference from the final QA-passed analytical sample of 6,145 households described in Section S1 reflects 52 records with respondent-entered latitude/longitude errors that prevented sufficiently reliable spatial characterization. The remaining location and survey information for these households was successfully validated, and the records were therefore retained in the primary WSQS analyses but excluded from the spatial coverage analysis.</w:t>
      </w:r>
    </w:p>
    <w:p w14:paraId="70C941FA" w14:textId="77777777" w:rsidR="00BA0745" w:rsidRDefault="00000000">
      <w:pPr>
        <w:pBdr>
          <w:bottom w:val="none" w:sz="0" w:space="30" w:color="000000"/>
        </w:pBdr>
        <w:spacing w:before="120" w:after="120"/>
        <w:jc w:val="both"/>
        <w:rPr>
          <w:sz w:val="22"/>
          <w:szCs w:val="22"/>
        </w:rPr>
      </w:pPr>
      <w:r>
        <w:rPr>
          <w:sz w:val="22"/>
          <w:szCs w:val="22"/>
        </w:rPr>
        <w:t>Coverage was examined across household composition, housing tenure, asset ownership, geography, settlement context, population density, and primary domestic water provision. Variables were externally benchmarked only where the study and reference measures could be harmonized with reasonable conceptual consistency. Household size was compared with the Census of India 2011 Tamil Nadu household-size distribution, with NFHS-5 providing a more recent cross-check of average household size. Housing tenure was contextualized using the National Sample Survey (NSS), 76th Round and National Family Health Survey, Fifth Round (NFHS-5), and household car ownership was compared with NFHS-5 (Office of the Registrar General &amp; Census Commissioner, India, 2011; National Statistical Office, 2019; IIPS &amp; ICF, 2021). Geographic and settlement coverage were independently characterized using the Government of India All India Pincode Directory, the current Tamil Nadu district framework, and the Global Human Settlement Layer (Department of Posts, Government of India, 2026; Government of Tamil Nadu, 2026; Schiavina et al., 2023</w:t>
      </w:r>
      <w:proofErr w:type="gramStart"/>
      <w:r>
        <w:rPr>
          <w:sz w:val="22"/>
          <w:szCs w:val="22"/>
        </w:rPr>
        <w:t>a,b</w:t>
      </w:r>
      <w:proofErr w:type="gramEnd"/>
      <w:r>
        <w:rPr>
          <w:sz w:val="22"/>
          <w:szCs w:val="22"/>
        </w:rPr>
        <w:t>).</w:t>
      </w:r>
    </w:p>
    <w:p w14:paraId="73F51059" w14:textId="77777777" w:rsidR="00BA0745" w:rsidRDefault="00000000">
      <w:pPr>
        <w:pBdr>
          <w:bottom w:val="none" w:sz="0" w:space="30" w:color="000000"/>
        </w:pBdr>
        <w:spacing w:before="120" w:after="120"/>
        <w:jc w:val="both"/>
        <w:rPr>
          <w:sz w:val="22"/>
          <w:szCs w:val="22"/>
        </w:rPr>
      </w:pPr>
      <w:r>
        <w:rPr>
          <w:sz w:val="22"/>
          <w:szCs w:val="22"/>
        </w:rPr>
        <w:t>Annual household income was not externally benchmarked because the principal recent official state-level datasets identified during benchmark selection measure household consumption expenditure rather than annual household income. These non-equivalent constructs were not directly compared.</w:t>
      </w:r>
    </w:p>
    <w:p w14:paraId="1B812231" w14:textId="77777777" w:rsidR="00BA0745" w:rsidRDefault="00000000">
      <w:pPr>
        <w:pBdr>
          <w:bottom w:val="none" w:sz="0" w:space="30" w:color="000000"/>
        </w:pBdr>
        <w:spacing w:before="120" w:after="120"/>
        <w:jc w:val="both"/>
        <w:rPr>
          <w:sz w:val="22"/>
          <w:szCs w:val="22"/>
        </w:rPr>
      </w:pPr>
      <w:r>
        <w:rPr>
          <w:b/>
          <w:bCs/>
          <w:sz w:val="22"/>
          <w:szCs w:val="22"/>
        </w:rPr>
        <w:lastRenderedPageBreak/>
        <w:t>Supplementary Table S16</w:t>
      </w:r>
      <w:r>
        <w:rPr>
          <w:sz w:val="22"/>
          <w:szCs w:val="22"/>
        </w:rPr>
        <w:t>. Coverage measures, harmonization rules, and external reference data.</w:t>
      </w:r>
    </w:p>
    <w:tbl>
      <w:tblPr>
        <w:tblStyle w:val="aff"/>
        <w:tblW w:w="9360" w:type="dxa"/>
        <w:tblLayout w:type="fixed"/>
        <w:tblLook w:val="0400" w:firstRow="0" w:lastRow="0" w:firstColumn="0" w:lastColumn="0" w:noHBand="0" w:noVBand="1"/>
      </w:tblPr>
      <w:tblGrid>
        <w:gridCol w:w="1350"/>
        <w:gridCol w:w="1051"/>
        <w:gridCol w:w="3006"/>
        <w:gridCol w:w="2113"/>
        <w:gridCol w:w="1840"/>
      </w:tblGrid>
      <w:tr w:rsidR="00BA0745" w14:paraId="619ED5A5" w14:textId="77777777">
        <w:tc>
          <w:tcPr>
            <w:tcW w:w="1350" w:type="dxa"/>
            <w:tcBorders>
              <w:top w:val="single" w:sz="4" w:space="0" w:color="000000"/>
              <w:bottom w:val="single" w:sz="4" w:space="0" w:color="000000"/>
            </w:tcBorders>
            <w:vAlign w:val="center"/>
          </w:tcPr>
          <w:p w14:paraId="44096F04" w14:textId="77777777" w:rsidR="00BA0745" w:rsidRDefault="00000000">
            <w:pPr>
              <w:pBdr>
                <w:bottom w:val="none" w:sz="0" w:space="30" w:color="000000"/>
              </w:pBdr>
              <w:spacing w:before="120" w:after="120"/>
              <w:jc w:val="center"/>
              <w:rPr>
                <w:sz w:val="22"/>
                <w:szCs w:val="22"/>
              </w:rPr>
            </w:pPr>
            <w:r>
              <w:rPr>
                <w:sz w:val="22"/>
                <w:szCs w:val="22"/>
              </w:rPr>
              <w:t>Coverage dimension</w:t>
            </w:r>
          </w:p>
        </w:tc>
        <w:tc>
          <w:tcPr>
            <w:tcW w:w="1051" w:type="dxa"/>
            <w:tcBorders>
              <w:top w:val="single" w:sz="4" w:space="0" w:color="000000"/>
              <w:bottom w:val="single" w:sz="4" w:space="0" w:color="000000"/>
            </w:tcBorders>
            <w:vAlign w:val="center"/>
          </w:tcPr>
          <w:p w14:paraId="38F4D5A7" w14:textId="77777777" w:rsidR="00BA0745" w:rsidRDefault="00000000">
            <w:pPr>
              <w:pBdr>
                <w:bottom w:val="none" w:sz="0" w:space="30" w:color="000000"/>
              </w:pBdr>
              <w:spacing w:before="120" w:after="120"/>
              <w:jc w:val="center"/>
              <w:rPr>
                <w:sz w:val="22"/>
                <w:szCs w:val="22"/>
              </w:rPr>
            </w:pPr>
            <w:r>
              <w:rPr>
                <w:sz w:val="22"/>
                <w:szCs w:val="22"/>
              </w:rPr>
              <w:t>Study measure</w:t>
            </w:r>
          </w:p>
        </w:tc>
        <w:tc>
          <w:tcPr>
            <w:tcW w:w="3006" w:type="dxa"/>
            <w:tcBorders>
              <w:top w:val="single" w:sz="4" w:space="0" w:color="000000"/>
              <w:bottom w:val="single" w:sz="4" w:space="0" w:color="000000"/>
            </w:tcBorders>
            <w:vAlign w:val="center"/>
          </w:tcPr>
          <w:p w14:paraId="23B54268" w14:textId="77777777" w:rsidR="00BA0745" w:rsidRDefault="00000000">
            <w:pPr>
              <w:pBdr>
                <w:bottom w:val="none" w:sz="0" w:space="30" w:color="000000"/>
              </w:pBdr>
              <w:spacing w:before="120" w:after="120"/>
              <w:jc w:val="center"/>
              <w:rPr>
                <w:sz w:val="22"/>
                <w:szCs w:val="22"/>
              </w:rPr>
            </w:pPr>
            <w:r>
              <w:rPr>
                <w:sz w:val="22"/>
                <w:szCs w:val="22"/>
              </w:rPr>
              <w:t xml:space="preserve">Harmonization </w:t>
            </w:r>
          </w:p>
        </w:tc>
        <w:tc>
          <w:tcPr>
            <w:tcW w:w="2113" w:type="dxa"/>
            <w:tcBorders>
              <w:top w:val="single" w:sz="4" w:space="0" w:color="000000"/>
              <w:bottom w:val="single" w:sz="4" w:space="0" w:color="000000"/>
            </w:tcBorders>
            <w:vAlign w:val="center"/>
          </w:tcPr>
          <w:p w14:paraId="7BC16858" w14:textId="77777777" w:rsidR="00BA0745" w:rsidRDefault="00000000">
            <w:pPr>
              <w:pBdr>
                <w:bottom w:val="none" w:sz="0" w:space="30" w:color="000000"/>
              </w:pBdr>
              <w:spacing w:before="120" w:after="120"/>
              <w:jc w:val="center"/>
              <w:rPr>
                <w:sz w:val="22"/>
                <w:szCs w:val="22"/>
              </w:rPr>
            </w:pPr>
            <w:r>
              <w:rPr>
                <w:sz w:val="22"/>
                <w:szCs w:val="22"/>
              </w:rPr>
              <w:t>External/reference data</w:t>
            </w:r>
          </w:p>
        </w:tc>
        <w:tc>
          <w:tcPr>
            <w:tcW w:w="1840" w:type="dxa"/>
            <w:tcBorders>
              <w:top w:val="single" w:sz="4" w:space="0" w:color="000000"/>
              <w:bottom w:val="single" w:sz="4" w:space="0" w:color="000000"/>
            </w:tcBorders>
            <w:vAlign w:val="center"/>
          </w:tcPr>
          <w:p w14:paraId="45CCECA2" w14:textId="77777777" w:rsidR="00BA0745" w:rsidRDefault="00000000">
            <w:pPr>
              <w:pBdr>
                <w:bottom w:val="none" w:sz="0" w:space="30" w:color="000000"/>
              </w:pBdr>
              <w:spacing w:before="120" w:after="120"/>
              <w:jc w:val="center"/>
              <w:rPr>
                <w:sz w:val="22"/>
                <w:szCs w:val="22"/>
              </w:rPr>
            </w:pPr>
            <w:r>
              <w:rPr>
                <w:sz w:val="22"/>
                <w:szCs w:val="22"/>
              </w:rPr>
              <w:t>Role in coverage assessment</w:t>
            </w:r>
          </w:p>
        </w:tc>
      </w:tr>
      <w:tr w:rsidR="00BA0745" w14:paraId="49FCD703" w14:textId="77777777">
        <w:tc>
          <w:tcPr>
            <w:tcW w:w="1350" w:type="dxa"/>
            <w:vAlign w:val="center"/>
          </w:tcPr>
          <w:p w14:paraId="25771022" w14:textId="77777777" w:rsidR="00BA0745" w:rsidRDefault="00000000">
            <w:pPr>
              <w:pBdr>
                <w:bottom w:val="none" w:sz="0" w:space="30" w:color="000000"/>
              </w:pBdr>
              <w:spacing w:before="120" w:after="120"/>
              <w:jc w:val="center"/>
              <w:rPr>
                <w:sz w:val="22"/>
                <w:szCs w:val="22"/>
              </w:rPr>
            </w:pPr>
            <w:r>
              <w:rPr>
                <w:sz w:val="22"/>
                <w:szCs w:val="22"/>
              </w:rPr>
              <w:t>Household composition</w:t>
            </w:r>
          </w:p>
        </w:tc>
        <w:tc>
          <w:tcPr>
            <w:tcW w:w="1051" w:type="dxa"/>
            <w:vAlign w:val="center"/>
          </w:tcPr>
          <w:p w14:paraId="63B29F1F" w14:textId="77777777" w:rsidR="00BA0745" w:rsidRDefault="00000000">
            <w:pPr>
              <w:pBdr>
                <w:bottom w:val="none" w:sz="0" w:space="30" w:color="000000"/>
              </w:pBdr>
              <w:spacing w:before="120" w:after="120"/>
              <w:jc w:val="center"/>
              <w:rPr>
                <w:sz w:val="22"/>
                <w:szCs w:val="22"/>
              </w:rPr>
            </w:pPr>
            <w:r>
              <w:rPr>
                <w:sz w:val="22"/>
                <w:szCs w:val="22"/>
              </w:rPr>
              <w:t>Household size, Q15.10</w:t>
            </w:r>
          </w:p>
        </w:tc>
        <w:tc>
          <w:tcPr>
            <w:tcW w:w="3006" w:type="dxa"/>
            <w:vAlign w:val="center"/>
          </w:tcPr>
          <w:p w14:paraId="568F5FFF" w14:textId="77777777" w:rsidR="00BA0745" w:rsidRDefault="00000000">
            <w:pPr>
              <w:pBdr>
                <w:bottom w:val="none" w:sz="0" w:space="30" w:color="000000"/>
              </w:pBdr>
              <w:spacing w:before="120" w:after="120"/>
              <w:jc w:val="center"/>
              <w:rPr>
                <w:sz w:val="22"/>
                <w:szCs w:val="22"/>
              </w:rPr>
            </w:pPr>
            <w:r>
              <w:rPr>
                <w:sz w:val="22"/>
                <w:szCs w:val="22"/>
              </w:rPr>
              <w:t>Responses grouped as 1, 2, 3, 4, 5, 6, and 7+ persons for comparison with the statewide distribution</w:t>
            </w:r>
          </w:p>
        </w:tc>
        <w:tc>
          <w:tcPr>
            <w:tcW w:w="2113" w:type="dxa"/>
            <w:vAlign w:val="center"/>
          </w:tcPr>
          <w:p w14:paraId="55629D84" w14:textId="77777777" w:rsidR="00BA0745" w:rsidRDefault="00000000">
            <w:pPr>
              <w:pBdr>
                <w:bottom w:val="none" w:sz="0" w:space="30" w:color="000000"/>
              </w:pBdr>
              <w:spacing w:before="120" w:after="120"/>
              <w:jc w:val="center"/>
              <w:rPr>
                <w:sz w:val="22"/>
                <w:szCs w:val="22"/>
              </w:rPr>
            </w:pPr>
            <w:r>
              <w:rPr>
                <w:sz w:val="22"/>
                <w:szCs w:val="22"/>
              </w:rPr>
              <w:t>Census of India 2011, Tamil Nadu HH-01; NFHS-5 used as a more recent mean-household-size cross-check</w:t>
            </w:r>
          </w:p>
        </w:tc>
        <w:tc>
          <w:tcPr>
            <w:tcW w:w="1840" w:type="dxa"/>
            <w:vAlign w:val="center"/>
          </w:tcPr>
          <w:p w14:paraId="4341AFAA" w14:textId="77777777" w:rsidR="00BA0745" w:rsidRDefault="00000000">
            <w:pPr>
              <w:pBdr>
                <w:bottom w:val="none" w:sz="0" w:space="30" w:color="000000"/>
              </w:pBdr>
              <w:spacing w:before="120" w:after="120"/>
              <w:jc w:val="center"/>
              <w:rPr>
                <w:sz w:val="22"/>
                <w:szCs w:val="22"/>
              </w:rPr>
            </w:pPr>
            <w:r>
              <w:rPr>
                <w:sz w:val="22"/>
                <w:szCs w:val="22"/>
              </w:rPr>
              <w:t>Characterize household-size coverage and compositional differences</w:t>
            </w:r>
          </w:p>
        </w:tc>
      </w:tr>
      <w:tr w:rsidR="00BA0745" w14:paraId="1982BD10" w14:textId="77777777">
        <w:tc>
          <w:tcPr>
            <w:tcW w:w="1350" w:type="dxa"/>
            <w:vAlign w:val="center"/>
          </w:tcPr>
          <w:p w14:paraId="03D16828" w14:textId="77777777" w:rsidR="00BA0745" w:rsidRDefault="00000000">
            <w:pPr>
              <w:pBdr>
                <w:bottom w:val="none" w:sz="0" w:space="30" w:color="000000"/>
              </w:pBdr>
              <w:spacing w:before="120" w:after="120"/>
              <w:jc w:val="center"/>
              <w:rPr>
                <w:sz w:val="22"/>
                <w:szCs w:val="22"/>
              </w:rPr>
            </w:pPr>
            <w:r>
              <w:rPr>
                <w:sz w:val="22"/>
                <w:szCs w:val="22"/>
              </w:rPr>
              <w:t>Housing tenure</w:t>
            </w:r>
          </w:p>
        </w:tc>
        <w:tc>
          <w:tcPr>
            <w:tcW w:w="1051" w:type="dxa"/>
            <w:vAlign w:val="center"/>
          </w:tcPr>
          <w:p w14:paraId="139586BF" w14:textId="77777777" w:rsidR="00BA0745" w:rsidRDefault="00000000">
            <w:pPr>
              <w:pBdr>
                <w:bottom w:val="none" w:sz="0" w:space="30" w:color="000000"/>
              </w:pBdr>
              <w:spacing w:before="120" w:after="120"/>
              <w:jc w:val="center"/>
              <w:rPr>
                <w:sz w:val="22"/>
                <w:szCs w:val="22"/>
              </w:rPr>
            </w:pPr>
            <w:r>
              <w:rPr>
                <w:sz w:val="22"/>
                <w:szCs w:val="22"/>
              </w:rPr>
              <w:t>Housing tenure, Q15.15</w:t>
            </w:r>
          </w:p>
        </w:tc>
        <w:tc>
          <w:tcPr>
            <w:tcW w:w="3006" w:type="dxa"/>
            <w:vAlign w:val="center"/>
          </w:tcPr>
          <w:p w14:paraId="6A5F1A69" w14:textId="77777777" w:rsidR="00BA0745" w:rsidRDefault="00000000">
            <w:pPr>
              <w:pBdr>
                <w:bottom w:val="none" w:sz="0" w:space="30" w:color="000000"/>
              </w:pBdr>
              <w:spacing w:before="120" w:after="120"/>
              <w:jc w:val="center"/>
              <w:rPr>
                <w:sz w:val="22"/>
                <w:szCs w:val="22"/>
              </w:rPr>
            </w:pPr>
            <w:r>
              <w:rPr>
                <w:sz w:val="22"/>
                <w:szCs w:val="22"/>
              </w:rPr>
              <w:t>Owned free and clear and owned with mortgage/loan combined as Owned; remaining responses classified as Rented or Other</w:t>
            </w:r>
          </w:p>
        </w:tc>
        <w:tc>
          <w:tcPr>
            <w:tcW w:w="2113" w:type="dxa"/>
            <w:vAlign w:val="center"/>
          </w:tcPr>
          <w:p w14:paraId="5D8523DB" w14:textId="77777777" w:rsidR="00BA0745" w:rsidRDefault="00000000">
            <w:pPr>
              <w:pBdr>
                <w:bottom w:val="none" w:sz="0" w:space="30" w:color="000000"/>
              </w:pBdr>
              <w:spacing w:before="120" w:after="120"/>
              <w:jc w:val="center"/>
              <w:rPr>
                <w:sz w:val="22"/>
                <w:szCs w:val="22"/>
              </w:rPr>
            </w:pPr>
            <w:r>
              <w:rPr>
                <w:sz w:val="22"/>
                <w:szCs w:val="22"/>
              </w:rPr>
              <w:t>NSS 76th Round, 2018; NFHS-5 Tamil Nadu ownership estimate used as a recent statewide ownership cross-check</w:t>
            </w:r>
          </w:p>
        </w:tc>
        <w:tc>
          <w:tcPr>
            <w:tcW w:w="1840" w:type="dxa"/>
            <w:vAlign w:val="center"/>
          </w:tcPr>
          <w:p w14:paraId="57BD701C" w14:textId="77777777" w:rsidR="00BA0745" w:rsidRDefault="00000000">
            <w:pPr>
              <w:pBdr>
                <w:bottom w:val="none" w:sz="0" w:space="30" w:color="000000"/>
              </w:pBdr>
              <w:spacing w:before="120" w:after="120"/>
              <w:jc w:val="center"/>
              <w:rPr>
                <w:sz w:val="22"/>
                <w:szCs w:val="22"/>
              </w:rPr>
            </w:pPr>
            <w:r>
              <w:rPr>
                <w:sz w:val="22"/>
                <w:szCs w:val="22"/>
              </w:rPr>
              <w:t>Characterize housing-tenure coverage</w:t>
            </w:r>
          </w:p>
        </w:tc>
      </w:tr>
      <w:tr w:rsidR="00BA0745" w14:paraId="2F0B56B4" w14:textId="77777777">
        <w:tc>
          <w:tcPr>
            <w:tcW w:w="1350" w:type="dxa"/>
            <w:vAlign w:val="center"/>
          </w:tcPr>
          <w:p w14:paraId="479BCEF3" w14:textId="77777777" w:rsidR="00BA0745" w:rsidRDefault="00000000">
            <w:pPr>
              <w:pBdr>
                <w:bottom w:val="none" w:sz="0" w:space="30" w:color="000000"/>
              </w:pBdr>
              <w:spacing w:before="120" w:after="120"/>
              <w:jc w:val="center"/>
              <w:rPr>
                <w:sz w:val="22"/>
                <w:szCs w:val="22"/>
              </w:rPr>
            </w:pPr>
            <w:r>
              <w:rPr>
                <w:sz w:val="22"/>
                <w:szCs w:val="22"/>
              </w:rPr>
              <w:t>Household asset ownership</w:t>
            </w:r>
          </w:p>
        </w:tc>
        <w:tc>
          <w:tcPr>
            <w:tcW w:w="1051" w:type="dxa"/>
            <w:vAlign w:val="center"/>
          </w:tcPr>
          <w:p w14:paraId="3F5F2CB3" w14:textId="77777777" w:rsidR="00BA0745" w:rsidRDefault="00000000">
            <w:pPr>
              <w:pBdr>
                <w:bottom w:val="none" w:sz="0" w:space="30" w:color="000000"/>
              </w:pBdr>
              <w:spacing w:before="120" w:after="120"/>
              <w:jc w:val="center"/>
              <w:rPr>
                <w:sz w:val="22"/>
                <w:szCs w:val="22"/>
              </w:rPr>
            </w:pPr>
            <w:r>
              <w:rPr>
                <w:sz w:val="22"/>
                <w:szCs w:val="22"/>
              </w:rPr>
              <w:t>Car ownership, Q15.13</w:t>
            </w:r>
          </w:p>
        </w:tc>
        <w:tc>
          <w:tcPr>
            <w:tcW w:w="3006" w:type="dxa"/>
            <w:vAlign w:val="center"/>
          </w:tcPr>
          <w:p w14:paraId="4142A27F" w14:textId="254B7776" w:rsidR="00BA0745" w:rsidRDefault="00500622">
            <w:pPr>
              <w:pBdr>
                <w:bottom w:val="none" w:sz="0" w:space="30" w:color="000000"/>
              </w:pBdr>
              <w:spacing w:before="120" w:after="120"/>
              <w:jc w:val="center"/>
              <w:rPr>
                <w:sz w:val="22"/>
                <w:szCs w:val="22"/>
              </w:rPr>
            </w:pPr>
            <w:r w:rsidRPr="00500622">
              <w:rPr>
                <w:sz w:val="22"/>
                <w:szCs w:val="22"/>
              </w:rPr>
              <w:t>Literal response None treated as zero cars; households classified as No car or ≥1 car</w:t>
            </w:r>
          </w:p>
        </w:tc>
        <w:tc>
          <w:tcPr>
            <w:tcW w:w="2113" w:type="dxa"/>
            <w:vAlign w:val="center"/>
          </w:tcPr>
          <w:p w14:paraId="3460C950" w14:textId="77777777" w:rsidR="00BA0745" w:rsidRDefault="00000000">
            <w:pPr>
              <w:pBdr>
                <w:bottom w:val="none" w:sz="0" w:space="30" w:color="000000"/>
              </w:pBdr>
              <w:spacing w:before="120" w:after="120"/>
              <w:jc w:val="center"/>
              <w:rPr>
                <w:sz w:val="22"/>
                <w:szCs w:val="22"/>
              </w:rPr>
            </w:pPr>
            <w:r>
              <w:rPr>
                <w:sz w:val="22"/>
                <w:szCs w:val="22"/>
              </w:rPr>
              <w:t>NFHS-5 Tamil Nadu</w:t>
            </w:r>
          </w:p>
        </w:tc>
        <w:tc>
          <w:tcPr>
            <w:tcW w:w="1840" w:type="dxa"/>
            <w:vAlign w:val="center"/>
          </w:tcPr>
          <w:p w14:paraId="0017E07A" w14:textId="77777777" w:rsidR="00BA0745" w:rsidRDefault="00000000">
            <w:pPr>
              <w:pBdr>
                <w:bottom w:val="none" w:sz="0" w:space="30" w:color="000000"/>
              </w:pBdr>
              <w:spacing w:before="120" w:after="120"/>
              <w:jc w:val="center"/>
              <w:rPr>
                <w:sz w:val="22"/>
                <w:szCs w:val="22"/>
              </w:rPr>
            </w:pPr>
            <w:r>
              <w:rPr>
                <w:sz w:val="22"/>
                <w:szCs w:val="22"/>
              </w:rPr>
              <w:t>Characterize variation in a major household asset</w:t>
            </w:r>
          </w:p>
        </w:tc>
      </w:tr>
      <w:tr w:rsidR="00BA0745" w14:paraId="4459B1B1" w14:textId="77777777">
        <w:tc>
          <w:tcPr>
            <w:tcW w:w="1350" w:type="dxa"/>
            <w:vAlign w:val="center"/>
          </w:tcPr>
          <w:p w14:paraId="6109FB93" w14:textId="77777777" w:rsidR="00BA0745" w:rsidRDefault="00000000">
            <w:pPr>
              <w:pBdr>
                <w:bottom w:val="none" w:sz="0" w:space="30" w:color="000000"/>
              </w:pBdr>
              <w:spacing w:before="120" w:after="120"/>
              <w:jc w:val="center"/>
              <w:rPr>
                <w:sz w:val="22"/>
                <w:szCs w:val="22"/>
              </w:rPr>
            </w:pPr>
            <w:r>
              <w:rPr>
                <w:sz w:val="22"/>
                <w:szCs w:val="22"/>
              </w:rPr>
              <w:t>Geographic coverage</w:t>
            </w:r>
          </w:p>
        </w:tc>
        <w:tc>
          <w:tcPr>
            <w:tcW w:w="1051" w:type="dxa"/>
            <w:vAlign w:val="center"/>
          </w:tcPr>
          <w:p w14:paraId="5705291E" w14:textId="77777777" w:rsidR="00BA0745" w:rsidRDefault="00000000">
            <w:pPr>
              <w:pBdr>
                <w:bottom w:val="none" w:sz="0" w:space="30" w:color="000000"/>
              </w:pBdr>
              <w:spacing w:before="120" w:after="120"/>
              <w:jc w:val="center"/>
              <w:rPr>
                <w:sz w:val="22"/>
                <w:szCs w:val="22"/>
              </w:rPr>
            </w:pPr>
            <w:r>
              <w:rPr>
                <w:sz w:val="22"/>
                <w:szCs w:val="22"/>
              </w:rPr>
              <w:t>Household PIN code, Q15.1</w:t>
            </w:r>
          </w:p>
        </w:tc>
        <w:tc>
          <w:tcPr>
            <w:tcW w:w="3006" w:type="dxa"/>
            <w:vAlign w:val="center"/>
          </w:tcPr>
          <w:p w14:paraId="7C074141" w14:textId="77777777" w:rsidR="00BA0745" w:rsidRDefault="00000000">
            <w:pPr>
              <w:pBdr>
                <w:bottom w:val="none" w:sz="0" w:space="30" w:color="000000"/>
              </w:pBdr>
              <w:spacing w:before="120" w:after="120"/>
              <w:jc w:val="center"/>
              <w:rPr>
                <w:sz w:val="22"/>
                <w:szCs w:val="22"/>
              </w:rPr>
            </w:pPr>
            <w:r>
              <w:rPr>
                <w:sz w:val="22"/>
                <w:szCs w:val="22"/>
              </w:rPr>
              <w:t>Internal whitespace removed before six-digit validation; valid PIN codes matched to postal state and district metadata; district names harmonized to current Tamil Nadu nomenclature</w:t>
            </w:r>
          </w:p>
        </w:tc>
        <w:tc>
          <w:tcPr>
            <w:tcW w:w="2113" w:type="dxa"/>
            <w:vAlign w:val="center"/>
          </w:tcPr>
          <w:p w14:paraId="3D5F6741" w14:textId="77777777" w:rsidR="00BA0745" w:rsidRDefault="00000000">
            <w:pPr>
              <w:pBdr>
                <w:bottom w:val="none" w:sz="0" w:space="30" w:color="000000"/>
              </w:pBdr>
              <w:spacing w:before="120" w:after="120"/>
              <w:jc w:val="center"/>
              <w:rPr>
                <w:sz w:val="22"/>
                <w:szCs w:val="22"/>
              </w:rPr>
            </w:pPr>
            <w:r>
              <w:rPr>
                <w:sz w:val="22"/>
                <w:szCs w:val="22"/>
              </w:rPr>
              <w:t>Government of India All India Pincode Directory; current Tamil Nadu district framework</w:t>
            </w:r>
          </w:p>
        </w:tc>
        <w:tc>
          <w:tcPr>
            <w:tcW w:w="1840" w:type="dxa"/>
            <w:vAlign w:val="center"/>
          </w:tcPr>
          <w:p w14:paraId="10090035" w14:textId="77777777" w:rsidR="00BA0745" w:rsidRDefault="00000000">
            <w:pPr>
              <w:pBdr>
                <w:bottom w:val="none" w:sz="0" w:space="30" w:color="000000"/>
              </w:pBdr>
              <w:spacing w:before="120" w:after="120"/>
              <w:jc w:val="center"/>
              <w:rPr>
                <w:sz w:val="22"/>
                <w:szCs w:val="22"/>
              </w:rPr>
            </w:pPr>
            <w:r>
              <w:rPr>
                <w:sz w:val="22"/>
                <w:szCs w:val="22"/>
              </w:rPr>
              <w:t>Characterize geographic breadth and concentration</w:t>
            </w:r>
          </w:p>
        </w:tc>
      </w:tr>
      <w:tr w:rsidR="00BA0745" w14:paraId="7498E94D" w14:textId="77777777">
        <w:tc>
          <w:tcPr>
            <w:tcW w:w="1350" w:type="dxa"/>
            <w:vAlign w:val="center"/>
          </w:tcPr>
          <w:p w14:paraId="4002B53B" w14:textId="77777777" w:rsidR="00BA0745" w:rsidRDefault="00000000">
            <w:pPr>
              <w:pBdr>
                <w:bottom w:val="none" w:sz="0" w:space="30" w:color="000000"/>
              </w:pBdr>
              <w:spacing w:before="120" w:after="120"/>
              <w:jc w:val="center"/>
              <w:rPr>
                <w:sz w:val="22"/>
                <w:szCs w:val="22"/>
              </w:rPr>
            </w:pPr>
            <w:r>
              <w:rPr>
                <w:sz w:val="22"/>
                <w:szCs w:val="22"/>
              </w:rPr>
              <w:t>Settlement context</w:t>
            </w:r>
          </w:p>
        </w:tc>
        <w:tc>
          <w:tcPr>
            <w:tcW w:w="1051" w:type="dxa"/>
            <w:vAlign w:val="center"/>
          </w:tcPr>
          <w:p w14:paraId="42EF81C8" w14:textId="77777777" w:rsidR="00BA0745" w:rsidRDefault="00000000">
            <w:pPr>
              <w:pBdr>
                <w:bottom w:val="none" w:sz="0" w:space="30" w:color="000000"/>
              </w:pBdr>
              <w:spacing w:before="120" w:after="120"/>
              <w:jc w:val="center"/>
              <w:rPr>
                <w:sz w:val="22"/>
                <w:szCs w:val="22"/>
              </w:rPr>
            </w:pPr>
            <w:r>
              <w:rPr>
                <w:sz w:val="22"/>
                <w:szCs w:val="22"/>
              </w:rPr>
              <w:t xml:space="preserve">Validated Tamil Nadu PIN </w:t>
            </w:r>
            <w:r>
              <w:rPr>
                <w:sz w:val="22"/>
                <w:szCs w:val="22"/>
              </w:rPr>
              <w:lastRenderedPageBreak/>
              <w:t>reference locations</w:t>
            </w:r>
          </w:p>
        </w:tc>
        <w:tc>
          <w:tcPr>
            <w:tcW w:w="3006" w:type="dxa"/>
            <w:vAlign w:val="center"/>
          </w:tcPr>
          <w:p w14:paraId="7952BE54" w14:textId="77777777" w:rsidR="00BA0745" w:rsidRDefault="00000000">
            <w:pPr>
              <w:pBdr>
                <w:bottom w:val="none" w:sz="0" w:space="30" w:color="000000"/>
              </w:pBdr>
              <w:spacing w:before="120" w:after="120"/>
              <w:jc w:val="center"/>
              <w:rPr>
                <w:sz w:val="22"/>
                <w:szCs w:val="22"/>
              </w:rPr>
            </w:pPr>
            <w:r>
              <w:rPr>
                <w:sz w:val="22"/>
                <w:szCs w:val="22"/>
              </w:rPr>
              <w:lastRenderedPageBreak/>
              <w:t xml:space="preserve">PIN reference locations intersected with 2025 GHS-SMOD; detailed classes retained for QA and summarized as rural, suburban/peri-urban, urban </w:t>
            </w:r>
            <w:r>
              <w:rPr>
                <w:sz w:val="22"/>
                <w:szCs w:val="22"/>
              </w:rPr>
              <w:lastRenderedPageBreak/>
              <w:t>cluster, and urban centre for reporting</w:t>
            </w:r>
          </w:p>
        </w:tc>
        <w:tc>
          <w:tcPr>
            <w:tcW w:w="2113" w:type="dxa"/>
            <w:vAlign w:val="center"/>
          </w:tcPr>
          <w:p w14:paraId="765C9333" w14:textId="77777777" w:rsidR="00BA0745" w:rsidRDefault="00000000">
            <w:pPr>
              <w:pBdr>
                <w:bottom w:val="none" w:sz="0" w:space="30" w:color="000000"/>
              </w:pBdr>
              <w:spacing w:before="120" w:after="120"/>
              <w:jc w:val="center"/>
              <w:rPr>
                <w:sz w:val="22"/>
                <w:szCs w:val="22"/>
              </w:rPr>
            </w:pPr>
            <w:r>
              <w:rPr>
                <w:sz w:val="22"/>
                <w:szCs w:val="22"/>
              </w:rPr>
              <w:lastRenderedPageBreak/>
              <w:t xml:space="preserve">European Commission Joint Research Centre </w:t>
            </w:r>
            <w:r>
              <w:rPr>
                <w:sz w:val="22"/>
                <w:szCs w:val="22"/>
              </w:rPr>
              <w:lastRenderedPageBreak/>
              <w:t>GHS-SMOD R2023A, 2025 epoch</w:t>
            </w:r>
          </w:p>
        </w:tc>
        <w:tc>
          <w:tcPr>
            <w:tcW w:w="1840" w:type="dxa"/>
            <w:vAlign w:val="center"/>
          </w:tcPr>
          <w:p w14:paraId="588800F0" w14:textId="77777777" w:rsidR="00BA0745" w:rsidRDefault="00000000">
            <w:pPr>
              <w:pBdr>
                <w:bottom w:val="none" w:sz="0" w:space="30" w:color="000000"/>
              </w:pBdr>
              <w:spacing w:before="120" w:after="120"/>
              <w:jc w:val="center"/>
              <w:rPr>
                <w:sz w:val="22"/>
                <w:szCs w:val="22"/>
              </w:rPr>
            </w:pPr>
            <w:r>
              <w:rPr>
                <w:sz w:val="22"/>
                <w:szCs w:val="22"/>
              </w:rPr>
              <w:lastRenderedPageBreak/>
              <w:t xml:space="preserve">Independently characterize </w:t>
            </w:r>
            <w:r>
              <w:rPr>
                <w:sz w:val="22"/>
                <w:szCs w:val="22"/>
              </w:rPr>
              <w:lastRenderedPageBreak/>
              <w:t>settlement-context breadth</w:t>
            </w:r>
          </w:p>
        </w:tc>
      </w:tr>
      <w:tr w:rsidR="00BA0745" w14:paraId="2B7B53FA" w14:textId="77777777">
        <w:tc>
          <w:tcPr>
            <w:tcW w:w="1350" w:type="dxa"/>
            <w:vAlign w:val="center"/>
          </w:tcPr>
          <w:p w14:paraId="293B2151" w14:textId="77777777" w:rsidR="00BA0745" w:rsidRDefault="00000000">
            <w:pPr>
              <w:pBdr>
                <w:bottom w:val="none" w:sz="0" w:space="30" w:color="000000"/>
              </w:pBdr>
              <w:spacing w:before="120" w:after="120"/>
              <w:jc w:val="center"/>
              <w:rPr>
                <w:sz w:val="22"/>
                <w:szCs w:val="22"/>
              </w:rPr>
            </w:pPr>
            <w:r>
              <w:rPr>
                <w:sz w:val="22"/>
                <w:szCs w:val="22"/>
              </w:rPr>
              <w:lastRenderedPageBreak/>
              <w:t>Population-density context</w:t>
            </w:r>
          </w:p>
        </w:tc>
        <w:tc>
          <w:tcPr>
            <w:tcW w:w="1051" w:type="dxa"/>
            <w:vAlign w:val="center"/>
          </w:tcPr>
          <w:p w14:paraId="5C79DAF2" w14:textId="77777777" w:rsidR="00BA0745" w:rsidRDefault="00000000">
            <w:pPr>
              <w:pBdr>
                <w:bottom w:val="none" w:sz="0" w:space="30" w:color="000000"/>
              </w:pBdr>
              <w:spacing w:before="120" w:after="120"/>
              <w:jc w:val="center"/>
              <w:rPr>
                <w:sz w:val="22"/>
                <w:szCs w:val="22"/>
              </w:rPr>
            </w:pPr>
            <w:r>
              <w:rPr>
                <w:sz w:val="22"/>
                <w:szCs w:val="22"/>
              </w:rPr>
              <w:t>Validated Tamil Nadu PIN reference locations</w:t>
            </w:r>
          </w:p>
        </w:tc>
        <w:tc>
          <w:tcPr>
            <w:tcW w:w="3006" w:type="dxa"/>
            <w:vAlign w:val="center"/>
          </w:tcPr>
          <w:p w14:paraId="49D14A6F" w14:textId="77777777" w:rsidR="00BA0745" w:rsidRDefault="00000000">
            <w:pPr>
              <w:pBdr>
                <w:bottom w:val="none" w:sz="0" w:space="30" w:color="000000"/>
              </w:pBdr>
              <w:spacing w:before="120" w:after="120"/>
              <w:jc w:val="center"/>
              <w:rPr>
                <w:sz w:val="22"/>
                <w:szCs w:val="22"/>
              </w:rPr>
            </w:pPr>
            <w:r>
              <w:rPr>
                <w:sz w:val="22"/>
                <w:szCs w:val="22"/>
              </w:rPr>
              <w:t>Local population density calculated from GHS-POP within the surrounding 3 × 3 raster neighbourhood</w:t>
            </w:r>
          </w:p>
        </w:tc>
        <w:tc>
          <w:tcPr>
            <w:tcW w:w="2113" w:type="dxa"/>
            <w:vAlign w:val="center"/>
          </w:tcPr>
          <w:p w14:paraId="7D2159F7" w14:textId="77777777" w:rsidR="00BA0745" w:rsidRDefault="00000000">
            <w:pPr>
              <w:pBdr>
                <w:bottom w:val="none" w:sz="0" w:space="30" w:color="000000"/>
              </w:pBdr>
              <w:spacing w:before="120" w:after="120"/>
              <w:jc w:val="center"/>
              <w:rPr>
                <w:sz w:val="22"/>
                <w:szCs w:val="22"/>
              </w:rPr>
            </w:pPr>
            <w:r>
              <w:rPr>
                <w:sz w:val="22"/>
                <w:szCs w:val="22"/>
              </w:rPr>
              <w:t>European Commission Joint Research Centre GHS-POP R2023A, 2025 epoch</w:t>
            </w:r>
          </w:p>
        </w:tc>
        <w:tc>
          <w:tcPr>
            <w:tcW w:w="1840" w:type="dxa"/>
            <w:vAlign w:val="center"/>
          </w:tcPr>
          <w:p w14:paraId="03854A2D" w14:textId="77777777" w:rsidR="00BA0745" w:rsidRDefault="00000000">
            <w:pPr>
              <w:pBdr>
                <w:bottom w:val="none" w:sz="0" w:space="30" w:color="000000"/>
              </w:pBdr>
              <w:spacing w:before="120" w:after="120"/>
              <w:jc w:val="center"/>
              <w:rPr>
                <w:sz w:val="22"/>
                <w:szCs w:val="22"/>
              </w:rPr>
            </w:pPr>
            <w:r>
              <w:rPr>
                <w:sz w:val="22"/>
                <w:szCs w:val="22"/>
              </w:rPr>
              <w:t>Characterize the density gradient associated with sampled locations</w:t>
            </w:r>
          </w:p>
        </w:tc>
      </w:tr>
      <w:tr w:rsidR="00BA0745" w14:paraId="45C22829" w14:textId="77777777">
        <w:tc>
          <w:tcPr>
            <w:tcW w:w="1350" w:type="dxa"/>
            <w:tcBorders>
              <w:bottom w:val="single" w:sz="4" w:space="0" w:color="000000"/>
            </w:tcBorders>
            <w:vAlign w:val="center"/>
          </w:tcPr>
          <w:p w14:paraId="35515711" w14:textId="77777777" w:rsidR="00BA0745" w:rsidRDefault="00000000">
            <w:pPr>
              <w:pBdr>
                <w:bottom w:val="none" w:sz="0" w:space="30" w:color="000000"/>
              </w:pBdr>
              <w:spacing w:before="120" w:after="120"/>
              <w:jc w:val="center"/>
              <w:rPr>
                <w:sz w:val="22"/>
                <w:szCs w:val="22"/>
              </w:rPr>
            </w:pPr>
            <w:r>
              <w:rPr>
                <w:sz w:val="22"/>
                <w:szCs w:val="22"/>
              </w:rPr>
              <w:t>Domestic water provision</w:t>
            </w:r>
          </w:p>
        </w:tc>
        <w:tc>
          <w:tcPr>
            <w:tcW w:w="1051" w:type="dxa"/>
            <w:tcBorders>
              <w:bottom w:val="single" w:sz="4" w:space="0" w:color="000000"/>
            </w:tcBorders>
            <w:vAlign w:val="center"/>
          </w:tcPr>
          <w:p w14:paraId="0C85F854" w14:textId="77777777" w:rsidR="00BA0745" w:rsidRDefault="00000000">
            <w:pPr>
              <w:pBdr>
                <w:bottom w:val="none" w:sz="0" w:space="30" w:color="000000"/>
              </w:pBdr>
              <w:spacing w:before="120" w:after="120"/>
              <w:jc w:val="center"/>
              <w:rPr>
                <w:sz w:val="22"/>
                <w:szCs w:val="22"/>
              </w:rPr>
            </w:pPr>
            <w:r>
              <w:rPr>
                <w:sz w:val="22"/>
                <w:szCs w:val="22"/>
              </w:rPr>
              <w:t>Primary domestic water source, Q1.1</w:t>
            </w:r>
          </w:p>
        </w:tc>
        <w:tc>
          <w:tcPr>
            <w:tcW w:w="3006" w:type="dxa"/>
            <w:tcBorders>
              <w:bottom w:val="single" w:sz="4" w:space="0" w:color="000000"/>
            </w:tcBorders>
            <w:vAlign w:val="center"/>
          </w:tcPr>
          <w:p w14:paraId="0A945721" w14:textId="77777777" w:rsidR="00BA0745" w:rsidRDefault="00000000">
            <w:pPr>
              <w:pBdr>
                <w:bottom w:val="none" w:sz="0" w:space="30" w:color="000000"/>
              </w:pBdr>
              <w:spacing w:before="120" w:after="120"/>
              <w:jc w:val="center"/>
              <w:rPr>
                <w:sz w:val="22"/>
                <w:szCs w:val="22"/>
              </w:rPr>
            </w:pPr>
            <w:r>
              <w:rPr>
                <w:sz w:val="22"/>
                <w:szCs w:val="22"/>
              </w:rPr>
              <w:t>Six observed provision categories retained: municipality/corporation, groundwater, lake/pond, tanker/truck, commercial/canned water, and other</w:t>
            </w:r>
          </w:p>
        </w:tc>
        <w:tc>
          <w:tcPr>
            <w:tcW w:w="2113" w:type="dxa"/>
            <w:tcBorders>
              <w:bottom w:val="single" w:sz="4" w:space="0" w:color="000000"/>
            </w:tcBorders>
            <w:vAlign w:val="center"/>
          </w:tcPr>
          <w:p w14:paraId="77DF51B2" w14:textId="77777777" w:rsidR="00BA0745" w:rsidRDefault="00000000">
            <w:pPr>
              <w:pBdr>
                <w:bottom w:val="none" w:sz="0" w:space="30" w:color="000000"/>
              </w:pBdr>
              <w:spacing w:before="120" w:after="120"/>
              <w:jc w:val="center"/>
              <w:rPr>
                <w:sz w:val="22"/>
                <w:szCs w:val="22"/>
              </w:rPr>
            </w:pPr>
            <w:r>
              <w:rPr>
                <w:sz w:val="22"/>
                <w:szCs w:val="22"/>
              </w:rPr>
              <w:t>NFHS-5 Tamil Nadu drinking-water-source distribution used only as contextual evidence</w:t>
            </w:r>
          </w:p>
        </w:tc>
        <w:tc>
          <w:tcPr>
            <w:tcW w:w="1840" w:type="dxa"/>
            <w:tcBorders>
              <w:bottom w:val="single" w:sz="4" w:space="0" w:color="000000"/>
            </w:tcBorders>
            <w:vAlign w:val="center"/>
          </w:tcPr>
          <w:p w14:paraId="4D4E0928" w14:textId="77777777" w:rsidR="00BA0745" w:rsidRDefault="00000000">
            <w:pPr>
              <w:pBdr>
                <w:bottom w:val="none" w:sz="0" w:space="30" w:color="000000"/>
              </w:pBdr>
              <w:spacing w:before="120" w:after="120"/>
              <w:jc w:val="center"/>
              <w:rPr>
                <w:sz w:val="22"/>
                <w:szCs w:val="22"/>
              </w:rPr>
            </w:pPr>
            <w:r>
              <w:rPr>
                <w:sz w:val="22"/>
                <w:szCs w:val="22"/>
              </w:rPr>
              <w:t>Characterize diversity of provision arrangements; no direct goodness-of-fit comparison because classifications are not equivalent</w:t>
            </w:r>
          </w:p>
        </w:tc>
      </w:tr>
    </w:tbl>
    <w:p w14:paraId="448B8490" w14:textId="77777777" w:rsidR="00BA0745" w:rsidRDefault="00000000">
      <w:pPr>
        <w:pBdr>
          <w:bottom w:val="none" w:sz="0" w:space="30" w:color="000000"/>
        </w:pBdr>
        <w:spacing w:before="120" w:after="120"/>
        <w:jc w:val="both"/>
        <w:rPr>
          <w:sz w:val="22"/>
          <w:szCs w:val="22"/>
        </w:rPr>
      </w:pPr>
      <w:r>
        <w:rPr>
          <w:b/>
          <w:bCs/>
          <w:sz w:val="22"/>
          <w:szCs w:val="22"/>
        </w:rPr>
        <w:t>Note.</w:t>
      </w:r>
      <w:r>
        <w:rPr>
          <w:sz w:val="22"/>
          <w:szCs w:val="22"/>
        </w:rPr>
        <w:t xml:space="preserve"> PIN coordinates represent postal reference locations rather than exact household coordinates. NFHS-5 classifies the principal household drinking-water source, whereas Q1.1 records the primary domestic water-provision arrangement; the two measures were therefore not treated as directly equivalent.</w:t>
      </w:r>
    </w:p>
    <w:p w14:paraId="37694FB8" w14:textId="77777777" w:rsidR="00BA0745" w:rsidRDefault="00000000">
      <w:pPr>
        <w:pBdr>
          <w:bottom w:val="none" w:sz="0" w:space="30" w:color="000000"/>
        </w:pBdr>
        <w:spacing w:before="120" w:after="120"/>
        <w:jc w:val="both"/>
        <w:rPr>
          <w:b/>
          <w:bCs/>
          <w:sz w:val="22"/>
          <w:szCs w:val="22"/>
        </w:rPr>
      </w:pPr>
      <w:r>
        <w:rPr>
          <w:b/>
          <w:bCs/>
          <w:sz w:val="22"/>
          <w:szCs w:val="22"/>
        </w:rPr>
        <w:t>S4.2. Household composition relative to external benchmarks</w:t>
      </w:r>
    </w:p>
    <w:p w14:paraId="5E2423A7" w14:textId="6FB5C101" w:rsidR="00BA0745" w:rsidRDefault="00000000">
      <w:pPr>
        <w:pBdr>
          <w:bottom w:val="none" w:sz="0" w:space="30" w:color="000000"/>
        </w:pBdr>
        <w:spacing w:before="120" w:after="120"/>
        <w:jc w:val="both"/>
        <w:rPr>
          <w:sz w:val="22"/>
          <w:szCs w:val="22"/>
        </w:rPr>
      </w:pPr>
      <w:r>
        <w:rPr>
          <w:sz w:val="22"/>
          <w:szCs w:val="22"/>
        </w:rPr>
        <w:t xml:space="preserve">Household size was compared with the Census of India 2011 HH-01 distribution for Tamil Nadu (Office of the Registrar General &amp; Census Commissioner, India, 2011). Study and Census responses were harmonized to categories of 1, 2, 3, 4, 5, 6, and 7+ household members. Category-specific differences were reported directly, and overall distributional similarity was summarized using total variation distance, </w:t>
      </w:r>
      <m:oMath>
        <m:r>
          <w:rPr>
            <w:rFonts w:ascii="Cambria Math" w:eastAsia="Cambria Math" w:hAnsi="Cambria Math" w:cs="Cambria Math"/>
            <w:sz w:val="22"/>
            <w:szCs w:val="22"/>
          </w:rPr>
          <m:t>TVD = 1/2 Σ</m:t>
        </m:r>
        <m:r>
          <w:rPr>
            <w:rFonts w:ascii="Quattrocento Sans" w:eastAsia="Quattrocento Sans" w:hAnsi="Quattrocento Sans" w:cs="Quattrocento Sans"/>
            <w:sz w:val="22"/>
            <w:szCs w:val="22"/>
          </w:rPr>
          <m:t>ₖ</m:t>
        </m:r>
        <m:r>
          <w:rPr>
            <w:rFonts w:ascii="Cambria Math" w:eastAsia="Cambria Math" w:hAnsi="Cambria Math" w:cs="Cambria Math"/>
            <w:sz w:val="22"/>
            <w:szCs w:val="22"/>
          </w:rPr>
          <m:t xml:space="preserve"> |p</m:t>
        </m:r>
        <m:r>
          <w:rPr>
            <w:rFonts w:ascii="Quattrocento Sans" w:eastAsia="Quattrocento Sans" w:hAnsi="Quattrocento Sans" w:cs="Quattrocento Sans"/>
            <w:sz w:val="22"/>
            <w:szCs w:val="22"/>
          </w:rPr>
          <m:t>ₖ</m:t>
        </m:r>
        <m:r>
          <w:rPr>
            <w:rFonts w:ascii="Cambria Math" w:eastAsia="Cambria Math" w:hAnsi="Cambria Math" w:cs="Cambria Math"/>
            <w:sz w:val="22"/>
            <w:szCs w:val="22"/>
          </w:rPr>
          <m:t xml:space="preserve"> - q</m:t>
        </m:r>
        <m:r>
          <w:rPr>
            <w:rFonts w:ascii="Quattrocento Sans" w:eastAsia="Quattrocento Sans" w:hAnsi="Quattrocento Sans" w:cs="Quattrocento Sans"/>
            <w:sz w:val="22"/>
            <w:szCs w:val="22"/>
          </w:rPr>
          <m:t>ₖ</m:t>
        </m:r>
        <m:r>
          <w:rPr>
            <w:rFonts w:ascii="Cambria Math" w:eastAsia="Cambria Math" w:hAnsi="Cambria Math" w:cs="Cambria Math"/>
            <w:sz w:val="22"/>
            <w:szCs w:val="22"/>
          </w:rPr>
          <m:t>|</m:t>
        </m:r>
      </m:oMath>
      <w:r>
        <w:rPr>
          <w:sz w:val="22"/>
          <w:szCs w:val="22"/>
        </w:rPr>
        <w:t xml:space="preserve">, where </w:t>
      </w:r>
      <w:r>
        <w:rPr>
          <w:i/>
          <w:iCs/>
          <w:sz w:val="22"/>
          <w:szCs w:val="22"/>
        </w:rPr>
        <w:t>pₖ</w:t>
      </w:r>
      <w:r>
        <w:rPr>
          <w:sz w:val="22"/>
          <w:szCs w:val="22"/>
        </w:rPr>
        <w:t xml:space="preserve"> and </w:t>
      </w:r>
      <w:r>
        <w:rPr>
          <w:i/>
          <w:iCs/>
          <w:sz w:val="22"/>
          <w:szCs w:val="22"/>
        </w:rPr>
        <w:t>qₖ</w:t>
      </w:r>
      <w:r>
        <w:rPr>
          <w:sz w:val="22"/>
          <w:szCs w:val="22"/>
        </w:rPr>
        <w:t xml:space="preserve"> denote the study and reference proportions in household-size category </w:t>
      </w:r>
      <w:r>
        <w:rPr>
          <w:i/>
          <w:iCs/>
          <w:sz w:val="22"/>
          <w:szCs w:val="22"/>
        </w:rPr>
        <w:t>k</w:t>
      </w:r>
      <w:r w:rsidR="00500622" w:rsidRPr="00500622">
        <w:rPr>
          <w:sz w:val="22"/>
          <w:szCs w:val="22"/>
        </w:rPr>
        <w:t>.</w:t>
      </w:r>
      <w:r w:rsidR="00500622" w:rsidRPr="00500622">
        <w:rPr>
          <w:sz w:val="22"/>
          <w:szCs w:val="22"/>
        </w:rPr>
        <w:t xml:space="preserve"> Distributional overlap was expressed as </w:t>
      </w:r>
      <m:oMath>
        <m:r>
          <w:rPr>
            <w:rFonts w:ascii="Cambria Math" w:hAnsi="Cambria Math"/>
            <w:sz w:val="22"/>
            <w:szCs w:val="22"/>
          </w:rPr>
          <m:t xml:space="preserve">1 - TVD </m:t>
        </m:r>
      </m:oMath>
      <w:r w:rsidR="00500622" w:rsidRPr="00500622">
        <w:rPr>
          <w:sz w:val="22"/>
          <w:szCs w:val="22"/>
        </w:rPr>
        <w:t>(Gibbs &amp; Su, 2002). These quantities summarize categorical similarity and were not used as statistical tests of population equivalence.</w:t>
      </w:r>
    </w:p>
    <w:p w14:paraId="2B78A765" w14:textId="77777777" w:rsidR="00BA0745" w:rsidRDefault="00000000">
      <w:pPr>
        <w:pBdr>
          <w:bottom w:val="none" w:sz="0" w:space="30" w:color="000000"/>
        </w:pBdr>
        <w:spacing w:before="120" w:after="120"/>
        <w:jc w:val="both"/>
        <w:rPr>
          <w:sz w:val="22"/>
          <w:szCs w:val="22"/>
        </w:rPr>
      </w:pPr>
      <w:r>
        <w:rPr>
          <w:sz w:val="22"/>
          <w:szCs w:val="22"/>
        </w:rPr>
        <w:t>The observed household-size distribution showed substantial overlap with the Census benchmark but was shifted toward larger households. Overall distributional overlap was 78.46%. One- and two-person households were less common than in the Census distribution, whereas four- and five-person households were more common, with the largest difference occurring among four-person households. NFHS-5 was used as a more recent temporal reference for average household size rather than as a substitute for the full Census distribution (IIPS &amp; ICF, 2021).</w:t>
      </w:r>
    </w:p>
    <w:p w14:paraId="4EBA8C7B" w14:textId="77777777" w:rsidR="00BA0745" w:rsidRDefault="00000000">
      <w:pPr>
        <w:pBdr>
          <w:bottom w:val="none" w:sz="0" w:space="30" w:color="000000"/>
        </w:pBdr>
        <w:spacing w:before="120" w:after="120"/>
        <w:jc w:val="both"/>
        <w:rPr>
          <w:sz w:val="22"/>
          <w:szCs w:val="22"/>
        </w:rPr>
      </w:pPr>
      <w:r>
        <w:rPr>
          <w:sz w:val="22"/>
          <w:szCs w:val="22"/>
        </w:rPr>
        <w:t xml:space="preserve">Housing tenure showed closer agreement with the statewide external benchmark. Owned-free-and-clear and mortgage/loan ownership were combined as Owned, with remaining households classified as Rented or Other. Owner-occupied households comprised 67.19% of the study coverage sample compared with 66.4% in NFHS-5 Tamil Nadu (IIPS &amp; ICF, 2021). The NSS 76th Round urban Tamil Nadu tenure </w:t>
      </w:r>
      <w:r>
        <w:rPr>
          <w:sz w:val="22"/>
          <w:szCs w:val="22"/>
        </w:rPr>
        <w:lastRenderedPageBreak/>
        <w:t>distribution was included as a secondary structural comparator rather than as a statewide benchmark because it pertains specifically to urban households (National Statistical Office, 2019).</w:t>
      </w:r>
    </w:p>
    <w:p w14:paraId="65AC2CC3" w14:textId="77777777" w:rsidR="00BA0745" w:rsidRDefault="00000000">
      <w:pPr>
        <w:pBdr>
          <w:bottom w:val="none" w:sz="0" w:space="30" w:color="000000"/>
        </w:pBdr>
        <w:spacing w:before="120" w:after="120"/>
        <w:jc w:val="both"/>
        <w:rPr>
          <w:sz w:val="22"/>
          <w:szCs w:val="22"/>
        </w:rPr>
      </w:pPr>
      <w:r>
        <w:rPr>
          <w:sz w:val="22"/>
          <w:szCs w:val="22"/>
        </w:rPr>
        <w:t>Car ownership showed a clearer compositional difference. The literal response None was coded as zero cars, and households were classified as having either no car or at least one car. One or more cars were reported by 24.16% of study households compared with 6.5% of Tamil Nadu households in NFHS-5 (IIPS &amp; ICF, 2021). The benchmark analysis therefore identifies both dimensions of close correspondence, such as home ownership, and dimensions in which the study sample differs substantially from the statewide population distribution.</w:t>
      </w:r>
    </w:p>
    <w:p w14:paraId="193E2C21" w14:textId="77777777" w:rsidR="00BA0745" w:rsidRDefault="00000000">
      <w:pPr>
        <w:pBdr>
          <w:bottom w:val="none" w:sz="0" w:space="30" w:color="000000"/>
        </w:pBdr>
        <w:spacing w:before="120" w:after="120"/>
        <w:jc w:val="both"/>
        <w:rPr>
          <w:sz w:val="22"/>
          <w:szCs w:val="22"/>
        </w:rPr>
      </w:pPr>
      <w:r>
        <w:rPr>
          <w:b/>
          <w:bCs/>
          <w:sz w:val="22"/>
          <w:szCs w:val="22"/>
        </w:rPr>
        <w:t xml:space="preserve">Supplementary Figure S6. </w:t>
      </w:r>
      <w:r>
        <w:rPr>
          <w:sz w:val="22"/>
          <w:szCs w:val="22"/>
        </w:rPr>
        <w:t>Household composition and water-provision coverage relative to selected Tamil Nadu benchmarks.</w:t>
      </w:r>
    </w:p>
    <w:p w14:paraId="012FA810" w14:textId="77777777" w:rsidR="00BA0745" w:rsidRDefault="00000000">
      <w:pPr>
        <w:pBdr>
          <w:bottom w:val="none" w:sz="0" w:space="30" w:color="000000"/>
        </w:pBdr>
        <w:spacing w:before="120" w:after="120"/>
        <w:jc w:val="center"/>
        <w:rPr>
          <w:b/>
          <w:bCs/>
          <w:sz w:val="22"/>
          <w:szCs w:val="22"/>
        </w:rPr>
      </w:pPr>
      <w:r>
        <w:rPr>
          <w:b/>
          <w:bCs/>
          <w:noProof/>
          <w:sz w:val="22"/>
          <w:szCs w:val="22"/>
        </w:rPr>
        <w:drawing>
          <wp:inline distT="0" distB="0" distL="0" distR="0" wp14:anchorId="73C888E4" wp14:editId="6F38889D">
            <wp:extent cx="4699000" cy="3238500"/>
            <wp:effectExtent l="0" t="0" r="0" b="0"/>
            <wp:docPr id="173559666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4699000" cy="3238500"/>
                    </a:xfrm>
                    <a:prstGeom prst="rect">
                      <a:avLst/>
                    </a:prstGeom>
                    <a:ln/>
                  </pic:spPr>
                </pic:pic>
              </a:graphicData>
            </a:graphic>
          </wp:inline>
        </w:drawing>
      </w:r>
    </w:p>
    <w:p w14:paraId="1C4F1886" w14:textId="77777777" w:rsidR="00BA0745" w:rsidRDefault="00000000">
      <w:pPr>
        <w:pBdr>
          <w:bottom w:val="none" w:sz="0" w:space="30" w:color="000000"/>
        </w:pBdr>
        <w:spacing w:before="120" w:after="120"/>
        <w:jc w:val="both"/>
        <w:rPr>
          <w:sz w:val="22"/>
          <w:szCs w:val="22"/>
        </w:rPr>
      </w:pPr>
      <w:r>
        <w:rPr>
          <w:b/>
          <w:bCs/>
          <w:sz w:val="22"/>
          <w:szCs w:val="22"/>
        </w:rPr>
        <w:t>a</w:t>
      </w:r>
      <w:r>
        <w:rPr>
          <w:sz w:val="22"/>
          <w:szCs w:val="22"/>
        </w:rPr>
        <w:t xml:space="preserve">, Household-size distribution in the study sample relative to the Census of India 2011 Tamil Nadu HH-01 benchmark. </w:t>
      </w:r>
      <w:r>
        <w:rPr>
          <w:b/>
          <w:bCs/>
          <w:sz w:val="22"/>
          <w:szCs w:val="22"/>
        </w:rPr>
        <w:t>b</w:t>
      </w:r>
      <w:r>
        <w:rPr>
          <w:sz w:val="22"/>
          <w:szCs w:val="22"/>
        </w:rPr>
        <w:t xml:space="preserve">, Housing-tenure composition relative to the NSS 76th Round urban Tamil Nadu distribution, with the NFHS-5 statewide house-ownership estimate included as a recent ownership reference. </w:t>
      </w:r>
      <w:r>
        <w:rPr>
          <w:b/>
          <w:bCs/>
          <w:sz w:val="22"/>
          <w:szCs w:val="22"/>
        </w:rPr>
        <w:t>c</w:t>
      </w:r>
      <w:r>
        <w:rPr>
          <w:sz w:val="22"/>
          <w:szCs w:val="22"/>
        </w:rPr>
        <w:t xml:space="preserve">, Household car ownership relative to NFHS-5 Tamil Nadu. </w:t>
      </w:r>
      <w:r>
        <w:rPr>
          <w:b/>
          <w:bCs/>
          <w:sz w:val="22"/>
          <w:szCs w:val="22"/>
        </w:rPr>
        <w:t>d</w:t>
      </w:r>
      <w:r>
        <w:rPr>
          <w:sz w:val="22"/>
          <w:szCs w:val="22"/>
        </w:rPr>
        <w:t xml:space="preserve">, Distribution of primary domestic water-provision arrangements reported in Q1.1. </w:t>
      </w:r>
      <w:r>
        <w:rPr>
          <w:b/>
          <w:bCs/>
          <w:sz w:val="22"/>
          <w:szCs w:val="22"/>
        </w:rPr>
        <w:t>Note.</w:t>
      </w:r>
      <w:r>
        <w:rPr>
          <w:sz w:val="22"/>
          <w:szCs w:val="22"/>
        </w:rPr>
        <w:t xml:space="preserve"> External comparisons characterize observable overlap and divergence and are not tests of population representativeness. Water-provision categories are shown without a formal comparison with NFHS-5 because the two surveys measure different water-source constructs.</w:t>
      </w:r>
    </w:p>
    <w:p w14:paraId="216C94B0" w14:textId="77777777" w:rsidR="00BA0745" w:rsidRDefault="00000000">
      <w:pPr>
        <w:pBdr>
          <w:bottom w:val="none" w:sz="0" w:space="30" w:color="000000"/>
        </w:pBdr>
        <w:spacing w:before="120" w:after="120"/>
        <w:jc w:val="both"/>
        <w:rPr>
          <w:b/>
          <w:bCs/>
          <w:sz w:val="22"/>
          <w:szCs w:val="22"/>
        </w:rPr>
      </w:pPr>
      <w:r>
        <w:rPr>
          <w:b/>
          <w:bCs/>
          <w:sz w:val="22"/>
          <w:szCs w:val="22"/>
        </w:rPr>
        <w:t>S4.3. Geographic reach and recruitment concentration</w:t>
      </w:r>
    </w:p>
    <w:p w14:paraId="5D90F845" w14:textId="77777777" w:rsidR="00BA0745" w:rsidRDefault="00000000">
      <w:pPr>
        <w:pBdr>
          <w:bottom w:val="none" w:sz="0" w:space="30" w:color="000000"/>
        </w:pBdr>
        <w:spacing w:before="120" w:after="120"/>
        <w:jc w:val="both"/>
        <w:rPr>
          <w:sz w:val="22"/>
          <w:szCs w:val="22"/>
        </w:rPr>
      </w:pPr>
      <w:r>
        <w:rPr>
          <w:sz w:val="22"/>
          <w:szCs w:val="22"/>
        </w:rPr>
        <w:t>Household PIN codes were matched to the All India Pincode Directory (Department of Posts, Government of India, 2026). Postal district labels were subsequently harmonized to the current 38-district structure of Tamil Nadu using the Government of Tamil Nadu district framework (Government of Tamil Nadu, 2026). Unresolved district labels were retained as unmatched rather than reassigned on the basis of an assumed correspondence.</w:t>
      </w:r>
    </w:p>
    <w:p w14:paraId="1D914679" w14:textId="77777777" w:rsidR="00BA0745" w:rsidRDefault="00000000">
      <w:pPr>
        <w:pBdr>
          <w:bottom w:val="none" w:sz="0" w:space="30" w:color="000000"/>
        </w:pBdr>
        <w:spacing w:before="120" w:after="120"/>
        <w:jc w:val="both"/>
        <w:rPr>
          <w:sz w:val="22"/>
          <w:szCs w:val="22"/>
        </w:rPr>
      </w:pPr>
      <w:r>
        <w:rPr>
          <w:sz w:val="22"/>
          <w:szCs w:val="22"/>
        </w:rPr>
        <w:t xml:space="preserve">Of the 6,093 records included in the coverage analysis, 6,066 contained a valid six-digit PIN code, and 5,838 records were matched to Tamil Nadu. These records represented 632 unique Tamil Nadu PIN locations across 37 of the state's 38 current districts. The spatial footprint was broad, but recruitment was intentionally concentrated in the principal study geography, where field sampling was anchored in Salem, </w:t>
      </w:r>
      <w:r>
        <w:rPr>
          <w:sz w:val="22"/>
          <w:szCs w:val="22"/>
        </w:rPr>
        <w:lastRenderedPageBreak/>
        <w:t>Karur, and Namakkal. These three districts accounted for 29.09%, 22.82%, and 21.75% of matched Tamil Nadu records, respectively, corresponding to 73.66% of the matched sample, while additional recruitment extended coverage across the rest of the state.</w:t>
      </w:r>
    </w:p>
    <w:p w14:paraId="69495231" w14:textId="606E4087" w:rsidR="00BA0745" w:rsidRDefault="00000000">
      <w:pPr>
        <w:pBdr>
          <w:bottom w:val="none" w:sz="0" w:space="30" w:color="000000"/>
        </w:pBdr>
        <w:spacing w:before="120" w:after="120"/>
        <w:jc w:val="both"/>
        <w:rPr>
          <w:sz w:val="22"/>
          <w:szCs w:val="22"/>
        </w:rPr>
      </w:pPr>
      <w:r>
        <w:rPr>
          <w:sz w:val="22"/>
          <w:szCs w:val="22"/>
        </w:rPr>
        <w:t xml:space="preserve">To distinguish geographic reach from the evenness of recruitment across districts, we summarized concentration using the effective number of districts, </w:t>
      </w:r>
      <m:oMath>
        <m:r>
          <w:rPr>
            <w:rFonts w:ascii="Cambria Math" w:eastAsia="Cambria Math" w:hAnsi="Cambria Math" w:cs="Cambria Math"/>
            <w:sz w:val="22"/>
            <w:szCs w:val="22"/>
          </w:rPr>
          <m:t>Nₑ = 1 /</m:t>
        </m:r>
        <m:nary>
          <m:naryPr>
            <m:chr m:val="∑"/>
            <m:limLoc m:val="subSup"/>
            <m:supHide m:val="1"/>
            <m:ctrlPr>
              <w:rPr>
                <w:rFonts w:ascii="Cambria Math" w:eastAsia="Cambria Math" w:hAnsi="Cambria Math" w:cs="Cambria Math"/>
                <w:i/>
                <w:sz w:val="22"/>
                <w:szCs w:val="22"/>
              </w:rPr>
            </m:ctrlPr>
          </m:naryPr>
          <m:sub>
            <m:r>
              <w:rPr>
                <w:rFonts w:ascii="Cambria Math" w:eastAsia="Cambria Math" w:hAnsi="Cambria Math" w:cs="Cambria Math"/>
                <w:sz w:val="22"/>
                <w:szCs w:val="22"/>
              </w:rPr>
              <m:t>d</m:t>
            </m:r>
          </m:sub>
          <m:sup/>
          <m:e>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p</m:t>
                </m:r>
              </m:e>
              <m:sub>
                <m:r>
                  <w:rPr>
                    <w:rFonts w:ascii="Cambria Math" w:eastAsia="Cambria Math" w:hAnsi="Cambria Math" w:cs="Cambria Math"/>
                    <w:sz w:val="22"/>
                    <w:szCs w:val="22"/>
                  </w:rPr>
                  <m:t>d</m:t>
                </m:r>
              </m:sub>
            </m:sSub>
            <m:r>
              <w:rPr>
                <w:rFonts w:ascii="Cambria Math" w:eastAsia="Cambria Math" w:hAnsi="Cambria Math" w:cs="Cambria Math"/>
                <w:sz w:val="22"/>
                <w:szCs w:val="22"/>
              </w:rPr>
              <m:t>²</m:t>
            </m:r>
          </m:e>
        </m:nary>
      </m:oMath>
      <w:r>
        <w:rPr>
          <w:b/>
          <w:bCs/>
          <w:sz w:val="22"/>
          <w:szCs w:val="22"/>
        </w:rPr>
        <w:t>,</w:t>
      </w:r>
      <w:r>
        <w:rPr>
          <w:sz w:val="22"/>
          <w:szCs w:val="22"/>
        </w:rPr>
        <w:t xml:space="preserve"> where </w:t>
      </w:r>
      <m:oMath>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p</m:t>
            </m:r>
          </m:e>
          <m:sub>
            <m:r>
              <w:rPr>
                <w:rFonts w:ascii="Cambria Math" w:eastAsia="Cambria Math" w:hAnsi="Cambria Math" w:cs="Cambria Math"/>
                <w:sz w:val="22"/>
                <w:szCs w:val="22"/>
              </w:rPr>
              <m:t>d</m:t>
            </m:r>
          </m:sub>
        </m:sSub>
      </m:oMath>
      <w:r>
        <w:rPr>
          <w:sz w:val="22"/>
          <w:szCs w:val="22"/>
        </w:rPr>
        <w:t xml:space="preserve"> denotes the proportion of matched observations in district </w:t>
      </w:r>
      <w:r>
        <w:rPr>
          <w:i/>
          <w:iCs/>
          <w:sz w:val="22"/>
          <w:szCs w:val="22"/>
        </w:rPr>
        <w:t>d</w:t>
      </w:r>
      <w:r>
        <w:rPr>
          <w:sz w:val="22"/>
          <w:szCs w:val="22"/>
        </w:rPr>
        <w:t>. This Hill-number representation converts the observed concentration into the equivalent number of equally represented districts (Hill, 1973). The effective number of districts was 5.28, despite observations being present in 37 districts. The maximum great-circle separation between matched PIN reference locations was 643.3 km. Together, these measures indicate broad geographic extension combined with concentrated recruitment in the principal fieldwork districts, rather than population-proportional statewide sampling.</w:t>
      </w:r>
    </w:p>
    <w:p w14:paraId="3CE31185" w14:textId="77777777" w:rsidR="00BA0745" w:rsidRDefault="00000000">
      <w:pPr>
        <w:pBdr>
          <w:bottom w:val="none" w:sz="0" w:space="30" w:color="000000"/>
        </w:pBdr>
        <w:spacing w:before="120" w:after="120"/>
        <w:jc w:val="both"/>
        <w:rPr>
          <w:sz w:val="22"/>
          <w:szCs w:val="22"/>
        </w:rPr>
      </w:pPr>
      <w:r>
        <w:rPr>
          <w:b/>
          <w:bCs/>
          <w:sz w:val="22"/>
          <w:szCs w:val="22"/>
        </w:rPr>
        <w:t>Supplementary Table S17. Geographic matching, recruitment concentration, and spatial sensitivity diagnostics.</w:t>
      </w:r>
    </w:p>
    <w:tbl>
      <w:tblPr>
        <w:tblStyle w:val="aff0"/>
        <w:tblW w:w="9360" w:type="dxa"/>
        <w:tblLayout w:type="fixed"/>
        <w:tblLook w:val="0400" w:firstRow="0" w:lastRow="0" w:firstColumn="0" w:lastColumn="0" w:noHBand="0" w:noVBand="1"/>
      </w:tblPr>
      <w:tblGrid>
        <w:gridCol w:w="3112"/>
        <w:gridCol w:w="2139"/>
        <w:gridCol w:w="4109"/>
      </w:tblGrid>
      <w:tr w:rsidR="00BA0745" w14:paraId="5EDB4347" w14:textId="77777777">
        <w:tc>
          <w:tcPr>
            <w:tcW w:w="3112" w:type="dxa"/>
            <w:tcBorders>
              <w:top w:val="single" w:sz="4" w:space="0" w:color="000000"/>
              <w:bottom w:val="single" w:sz="4" w:space="0" w:color="000000"/>
            </w:tcBorders>
            <w:vAlign w:val="bottom"/>
          </w:tcPr>
          <w:p w14:paraId="6E23EE7C" w14:textId="77777777" w:rsidR="00BA0745" w:rsidRDefault="00000000">
            <w:pPr>
              <w:spacing w:after="160" w:line="278" w:lineRule="auto"/>
              <w:jc w:val="center"/>
              <w:rPr>
                <w:sz w:val="22"/>
                <w:szCs w:val="22"/>
              </w:rPr>
            </w:pPr>
            <w:r>
              <w:rPr>
                <w:sz w:val="22"/>
                <w:szCs w:val="22"/>
              </w:rPr>
              <w:t>Diagnostic</w:t>
            </w:r>
          </w:p>
        </w:tc>
        <w:tc>
          <w:tcPr>
            <w:tcW w:w="2139" w:type="dxa"/>
            <w:tcBorders>
              <w:top w:val="single" w:sz="4" w:space="0" w:color="000000"/>
              <w:bottom w:val="single" w:sz="4" w:space="0" w:color="000000"/>
            </w:tcBorders>
            <w:vAlign w:val="bottom"/>
          </w:tcPr>
          <w:p w14:paraId="7380FCB6" w14:textId="77777777" w:rsidR="00BA0745" w:rsidRDefault="00000000">
            <w:pPr>
              <w:spacing w:after="160" w:line="278" w:lineRule="auto"/>
              <w:jc w:val="center"/>
              <w:rPr>
                <w:sz w:val="22"/>
                <w:szCs w:val="22"/>
              </w:rPr>
            </w:pPr>
            <w:r>
              <w:rPr>
                <w:sz w:val="22"/>
                <w:szCs w:val="22"/>
              </w:rPr>
              <w:t>Result</w:t>
            </w:r>
          </w:p>
        </w:tc>
        <w:tc>
          <w:tcPr>
            <w:tcW w:w="4109" w:type="dxa"/>
            <w:tcBorders>
              <w:top w:val="single" w:sz="4" w:space="0" w:color="000000"/>
              <w:bottom w:val="single" w:sz="4" w:space="0" w:color="000000"/>
            </w:tcBorders>
            <w:vAlign w:val="bottom"/>
          </w:tcPr>
          <w:p w14:paraId="366BC116" w14:textId="77777777" w:rsidR="00BA0745" w:rsidRDefault="00000000">
            <w:pPr>
              <w:spacing w:after="160" w:line="278" w:lineRule="auto"/>
              <w:jc w:val="center"/>
              <w:rPr>
                <w:sz w:val="22"/>
                <w:szCs w:val="22"/>
              </w:rPr>
            </w:pPr>
            <w:r>
              <w:rPr>
                <w:sz w:val="22"/>
                <w:szCs w:val="22"/>
              </w:rPr>
              <w:t>Interpretation</w:t>
            </w:r>
          </w:p>
        </w:tc>
      </w:tr>
      <w:tr w:rsidR="00BA0745" w14:paraId="2E1E9DCF" w14:textId="77777777">
        <w:tc>
          <w:tcPr>
            <w:tcW w:w="3112" w:type="dxa"/>
            <w:vAlign w:val="center"/>
          </w:tcPr>
          <w:p w14:paraId="1CB0F647" w14:textId="77777777" w:rsidR="00BA0745" w:rsidRDefault="00000000">
            <w:pPr>
              <w:spacing w:after="160" w:line="278" w:lineRule="auto"/>
              <w:jc w:val="center"/>
              <w:rPr>
                <w:sz w:val="22"/>
                <w:szCs w:val="22"/>
              </w:rPr>
            </w:pPr>
            <w:r>
              <w:rPr>
                <w:sz w:val="22"/>
                <w:szCs w:val="22"/>
              </w:rPr>
              <w:t>Coverage-analysis records</w:t>
            </w:r>
          </w:p>
        </w:tc>
        <w:tc>
          <w:tcPr>
            <w:tcW w:w="2139" w:type="dxa"/>
            <w:vAlign w:val="center"/>
          </w:tcPr>
          <w:p w14:paraId="4BE4C275" w14:textId="77777777" w:rsidR="00BA0745" w:rsidRDefault="00000000">
            <w:pPr>
              <w:spacing w:after="160" w:line="278" w:lineRule="auto"/>
              <w:jc w:val="center"/>
              <w:rPr>
                <w:sz w:val="22"/>
                <w:szCs w:val="22"/>
              </w:rPr>
            </w:pPr>
            <w:r>
              <w:rPr>
                <w:sz w:val="22"/>
                <w:szCs w:val="22"/>
              </w:rPr>
              <w:t>6,093</w:t>
            </w:r>
          </w:p>
        </w:tc>
        <w:tc>
          <w:tcPr>
            <w:tcW w:w="4109" w:type="dxa"/>
            <w:vAlign w:val="center"/>
          </w:tcPr>
          <w:p w14:paraId="2204D2FB" w14:textId="77777777" w:rsidR="00BA0745" w:rsidRDefault="00000000">
            <w:pPr>
              <w:spacing w:after="160" w:line="278" w:lineRule="auto"/>
              <w:jc w:val="center"/>
              <w:rPr>
                <w:sz w:val="22"/>
                <w:szCs w:val="22"/>
              </w:rPr>
            </w:pPr>
            <w:r>
              <w:rPr>
                <w:sz w:val="22"/>
                <w:szCs w:val="22"/>
              </w:rPr>
              <w:t>Records included in the demographic and spatial coverage analysis</w:t>
            </w:r>
          </w:p>
        </w:tc>
      </w:tr>
      <w:tr w:rsidR="00BA0745" w14:paraId="2F8DE72B" w14:textId="77777777">
        <w:tc>
          <w:tcPr>
            <w:tcW w:w="3112" w:type="dxa"/>
            <w:vAlign w:val="center"/>
          </w:tcPr>
          <w:p w14:paraId="6798D1A2" w14:textId="77777777" w:rsidR="00BA0745" w:rsidRDefault="00000000">
            <w:pPr>
              <w:spacing w:after="160" w:line="278" w:lineRule="auto"/>
              <w:jc w:val="center"/>
              <w:rPr>
                <w:sz w:val="22"/>
                <w:szCs w:val="22"/>
              </w:rPr>
            </w:pPr>
            <w:r>
              <w:rPr>
                <w:sz w:val="22"/>
                <w:szCs w:val="22"/>
              </w:rPr>
              <w:t>Valid six-digit PIN records</w:t>
            </w:r>
          </w:p>
        </w:tc>
        <w:tc>
          <w:tcPr>
            <w:tcW w:w="2139" w:type="dxa"/>
            <w:vAlign w:val="center"/>
          </w:tcPr>
          <w:p w14:paraId="6CAF1FF8" w14:textId="77777777" w:rsidR="00BA0745" w:rsidRDefault="00000000">
            <w:pPr>
              <w:spacing w:after="160" w:line="278" w:lineRule="auto"/>
              <w:jc w:val="center"/>
              <w:rPr>
                <w:sz w:val="22"/>
                <w:szCs w:val="22"/>
              </w:rPr>
            </w:pPr>
            <w:r>
              <w:rPr>
                <w:sz w:val="22"/>
                <w:szCs w:val="22"/>
              </w:rPr>
              <w:t>6,066 (99.6%)</w:t>
            </w:r>
          </w:p>
        </w:tc>
        <w:tc>
          <w:tcPr>
            <w:tcW w:w="4109" w:type="dxa"/>
            <w:vAlign w:val="center"/>
          </w:tcPr>
          <w:p w14:paraId="156A716C" w14:textId="77777777" w:rsidR="00BA0745" w:rsidRDefault="00000000">
            <w:pPr>
              <w:spacing w:after="160" w:line="278" w:lineRule="auto"/>
              <w:jc w:val="center"/>
              <w:rPr>
                <w:sz w:val="22"/>
                <w:szCs w:val="22"/>
              </w:rPr>
            </w:pPr>
            <w:r>
              <w:rPr>
                <w:sz w:val="22"/>
                <w:szCs w:val="22"/>
              </w:rPr>
              <w:t>Nearly complete usable PIN-code information</w:t>
            </w:r>
          </w:p>
        </w:tc>
      </w:tr>
      <w:tr w:rsidR="00BA0745" w14:paraId="7CCA3416" w14:textId="77777777">
        <w:tc>
          <w:tcPr>
            <w:tcW w:w="3112" w:type="dxa"/>
            <w:vAlign w:val="center"/>
          </w:tcPr>
          <w:p w14:paraId="71EA3988" w14:textId="77777777" w:rsidR="00BA0745" w:rsidRDefault="00000000">
            <w:pPr>
              <w:spacing w:after="160" w:line="278" w:lineRule="auto"/>
              <w:jc w:val="center"/>
              <w:rPr>
                <w:sz w:val="22"/>
                <w:szCs w:val="22"/>
              </w:rPr>
            </w:pPr>
            <w:r>
              <w:rPr>
                <w:sz w:val="22"/>
                <w:szCs w:val="22"/>
              </w:rPr>
              <w:t>Invalid/non-standard PIN records</w:t>
            </w:r>
          </w:p>
        </w:tc>
        <w:tc>
          <w:tcPr>
            <w:tcW w:w="2139" w:type="dxa"/>
            <w:vAlign w:val="center"/>
          </w:tcPr>
          <w:p w14:paraId="41ADF93D" w14:textId="77777777" w:rsidR="00BA0745" w:rsidRDefault="00000000">
            <w:pPr>
              <w:spacing w:after="160" w:line="278" w:lineRule="auto"/>
              <w:jc w:val="center"/>
              <w:rPr>
                <w:sz w:val="22"/>
                <w:szCs w:val="22"/>
              </w:rPr>
            </w:pPr>
            <w:r>
              <w:rPr>
                <w:sz w:val="22"/>
                <w:szCs w:val="22"/>
              </w:rPr>
              <w:t>27 (0.4%)</w:t>
            </w:r>
          </w:p>
        </w:tc>
        <w:tc>
          <w:tcPr>
            <w:tcW w:w="4109" w:type="dxa"/>
            <w:vAlign w:val="center"/>
          </w:tcPr>
          <w:p w14:paraId="4A3F631D" w14:textId="77777777" w:rsidR="00BA0745" w:rsidRDefault="00000000">
            <w:pPr>
              <w:spacing w:after="160" w:line="278" w:lineRule="auto"/>
              <w:jc w:val="center"/>
              <w:rPr>
                <w:sz w:val="22"/>
                <w:szCs w:val="22"/>
              </w:rPr>
            </w:pPr>
            <w:r>
              <w:rPr>
                <w:sz w:val="22"/>
                <w:szCs w:val="22"/>
              </w:rPr>
              <w:t>Small fraction excluded from PIN-based spatial characterization</w:t>
            </w:r>
          </w:p>
        </w:tc>
      </w:tr>
      <w:tr w:rsidR="00BA0745" w14:paraId="56274D99" w14:textId="77777777">
        <w:tc>
          <w:tcPr>
            <w:tcW w:w="3112" w:type="dxa"/>
            <w:vAlign w:val="center"/>
          </w:tcPr>
          <w:p w14:paraId="743D270D" w14:textId="77777777" w:rsidR="00BA0745" w:rsidRDefault="00000000">
            <w:pPr>
              <w:spacing w:after="160" w:line="278" w:lineRule="auto"/>
              <w:jc w:val="center"/>
              <w:rPr>
                <w:sz w:val="22"/>
                <w:szCs w:val="22"/>
              </w:rPr>
            </w:pPr>
            <w:r>
              <w:rPr>
                <w:sz w:val="22"/>
                <w:szCs w:val="22"/>
              </w:rPr>
              <w:t>Unique valid-format PIN codes</w:t>
            </w:r>
          </w:p>
        </w:tc>
        <w:tc>
          <w:tcPr>
            <w:tcW w:w="2139" w:type="dxa"/>
            <w:vAlign w:val="center"/>
          </w:tcPr>
          <w:p w14:paraId="69100FB0" w14:textId="77777777" w:rsidR="00BA0745" w:rsidRDefault="00000000">
            <w:pPr>
              <w:spacing w:after="160" w:line="278" w:lineRule="auto"/>
              <w:jc w:val="center"/>
              <w:rPr>
                <w:sz w:val="22"/>
                <w:szCs w:val="22"/>
              </w:rPr>
            </w:pPr>
            <w:r>
              <w:rPr>
                <w:sz w:val="22"/>
                <w:szCs w:val="22"/>
              </w:rPr>
              <w:t>784</w:t>
            </w:r>
          </w:p>
        </w:tc>
        <w:tc>
          <w:tcPr>
            <w:tcW w:w="4109" w:type="dxa"/>
            <w:vAlign w:val="center"/>
          </w:tcPr>
          <w:p w14:paraId="2836B76B" w14:textId="77777777" w:rsidR="00BA0745" w:rsidRDefault="00000000">
            <w:pPr>
              <w:spacing w:after="160" w:line="278" w:lineRule="auto"/>
              <w:jc w:val="center"/>
              <w:rPr>
                <w:sz w:val="22"/>
                <w:szCs w:val="22"/>
              </w:rPr>
            </w:pPr>
            <w:r>
              <w:rPr>
                <w:sz w:val="22"/>
                <w:szCs w:val="22"/>
              </w:rPr>
              <w:t>Postal-location breadth before restriction to Tamil Nadu</w:t>
            </w:r>
          </w:p>
        </w:tc>
      </w:tr>
      <w:tr w:rsidR="00BA0745" w14:paraId="5DD729F3" w14:textId="77777777">
        <w:tc>
          <w:tcPr>
            <w:tcW w:w="3112" w:type="dxa"/>
            <w:vAlign w:val="center"/>
          </w:tcPr>
          <w:p w14:paraId="3CD8DC98" w14:textId="77777777" w:rsidR="00BA0745" w:rsidRDefault="00000000">
            <w:pPr>
              <w:spacing w:after="160" w:line="278" w:lineRule="auto"/>
              <w:jc w:val="center"/>
              <w:rPr>
                <w:sz w:val="22"/>
                <w:szCs w:val="22"/>
              </w:rPr>
            </w:pPr>
            <w:r>
              <w:rPr>
                <w:sz w:val="22"/>
                <w:szCs w:val="22"/>
              </w:rPr>
              <w:t>Records matched to Tamil Nadu</w:t>
            </w:r>
          </w:p>
        </w:tc>
        <w:tc>
          <w:tcPr>
            <w:tcW w:w="2139" w:type="dxa"/>
            <w:vAlign w:val="center"/>
          </w:tcPr>
          <w:p w14:paraId="66939047" w14:textId="77777777" w:rsidR="00BA0745" w:rsidRDefault="00000000">
            <w:pPr>
              <w:spacing w:after="160" w:line="278" w:lineRule="auto"/>
              <w:jc w:val="center"/>
              <w:rPr>
                <w:sz w:val="22"/>
                <w:szCs w:val="22"/>
              </w:rPr>
            </w:pPr>
            <w:r>
              <w:rPr>
                <w:sz w:val="22"/>
                <w:szCs w:val="22"/>
              </w:rPr>
              <w:t>5,838</w:t>
            </w:r>
          </w:p>
        </w:tc>
        <w:tc>
          <w:tcPr>
            <w:tcW w:w="4109" w:type="dxa"/>
            <w:vAlign w:val="center"/>
          </w:tcPr>
          <w:p w14:paraId="4612E48F" w14:textId="77777777" w:rsidR="00BA0745" w:rsidRDefault="00000000">
            <w:pPr>
              <w:spacing w:after="160" w:line="278" w:lineRule="auto"/>
              <w:jc w:val="center"/>
              <w:rPr>
                <w:sz w:val="22"/>
                <w:szCs w:val="22"/>
              </w:rPr>
            </w:pPr>
            <w:r>
              <w:rPr>
                <w:sz w:val="22"/>
                <w:szCs w:val="22"/>
              </w:rPr>
              <w:t>Records contributing to the Tamil Nadu geographic analysis</w:t>
            </w:r>
          </w:p>
        </w:tc>
      </w:tr>
      <w:tr w:rsidR="00BA0745" w14:paraId="7C1F456C" w14:textId="77777777">
        <w:tc>
          <w:tcPr>
            <w:tcW w:w="3112" w:type="dxa"/>
            <w:vAlign w:val="center"/>
          </w:tcPr>
          <w:p w14:paraId="22712D9D" w14:textId="77777777" w:rsidR="00BA0745" w:rsidRDefault="00000000">
            <w:pPr>
              <w:spacing w:after="160" w:line="278" w:lineRule="auto"/>
              <w:jc w:val="center"/>
              <w:rPr>
                <w:sz w:val="22"/>
                <w:szCs w:val="22"/>
              </w:rPr>
            </w:pPr>
            <w:r>
              <w:rPr>
                <w:sz w:val="22"/>
                <w:szCs w:val="22"/>
              </w:rPr>
              <w:t>Unique matched Tamil Nadu PIN codes</w:t>
            </w:r>
          </w:p>
        </w:tc>
        <w:tc>
          <w:tcPr>
            <w:tcW w:w="2139" w:type="dxa"/>
            <w:vAlign w:val="center"/>
          </w:tcPr>
          <w:p w14:paraId="6AEFADCF" w14:textId="77777777" w:rsidR="00BA0745" w:rsidRDefault="00000000">
            <w:pPr>
              <w:spacing w:after="160" w:line="278" w:lineRule="auto"/>
              <w:jc w:val="center"/>
              <w:rPr>
                <w:sz w:val="22"/>
                <w:szCs w:val="22"/>
              </w:rPr>
            </w:pPr>
            <w:r>
              <w:rPr>
                <w:sz w:val="22"/>
                <w:szCs w:val="22"/>
              </w:rPr>
              <w:t>632</w:t>
            </w:r>
          </w:p>
        </w:tc>
        <w:tc>
          <w:tcPr>
            <w:tcW w:w="4109" w:type="dxa"/>
            <w:vAlign w:val="center"/>
          </w:tcPr>
          <w:p w14:paraId="07EBCCDF" w14:textId="77777777" w:rsidR="00BA0745" w:rsidRDefault="00000000">
            <w:pPr>
              <w:spacing w:after="160" w:line="278" w:lineRule="auto"/>
              <w:jc w:val="center"/>
              <w:rPr>
                <w:sz w:val="22"/>
                <w:szCs w:val="22"/>
              </w:rPr>
            </w:pPr>
            <w:r>
              <w:rPr>
                <w:sz w:val="22"/>
                <w:szCs w:val="22"/>
              </w:rPr>
              <w:t>Distinct matched postal locations</w:t>
            </w:r>
          </w:p>
        </w:tc>
      </w:tr>
      <w:tr w:rsidR="00BA0745" w14:paraId="14362DA0" w14:textId="77777777">
        <w:tc>
          <w:tcPr>
            <w:tcW w:w="3112" w:type="dxa"/>
            <w:vAlign w:val="center"/>
          </w:tcPr>
          <w:p w14:paraId="56B74C33" w14:textId="77777777" w:rsidR="00BA0745" w:rsidRDefault="00000000">
            <w:pPr>
              <w:spacing w:after="160" w:line="278" w:lineRule="auto"/>
              <w:jc w:val="center"/>
              <w:rPr>
                <w:sz w:val="22"/>
                <w:szCs w:val="22"/>
              </w:rPr>
            </w:pPr>
            <w:r>
              <w:rPr>
                <w:sz w:val="22"/>
                <w:szCs w:val="22"/>
              </w:rPr>
              <w:t>Current Tamil Nadu districts represented</w:t>
            </w:r>
          </w:p>
        </w:tc>
        <w:tc>
          <w:tcPr>
            <w:tcW w:w="2139" w:type="dxa"/>
            <w:vAlign w:val="center"/>
          </w:tcPr>
          <w:p w14:paraId="50F3260E" w14:textId="77777777" w:rsidR="00BA0745" w:rsidRDefault="00000000">
            <w:pPr>
              <w:spacing w:after="160" w:line="278" w:lineRule="auto"/>
              <w:jc w:val="center"/>
              <w:rPr>
                <w:sz w:val="22"/>
                <w:szCs w:val="22"/>
              </w:rPr>
            </w:pPr>
            <w:r>
              <w:rPr>
                <w:sz w:val="22"/>
                <w:szCs w:val="22"/>
              </w:rPr>
              <w:t>37/38 (97.4%)</w:t>
            </w:r>
          </w:p>
        </w:tc>
        <w:tc>
          <w:tcPr>
            <w:tcW w:w="4109" w:type="dxa"/>
            <w:vAlign w:val="center"/>
          </w:tcPr>
          <w:p w14:paraId="1B07C5A6" w14:textId="77777777" w:rsidR="00BA0745" w:rsidRDefault="00000000">
            <w:pPr>
              <w:spacing w:after="160" w:line="278" w:lineRule="auto"/>
              <w:jc w:val="center"/>
              <w:rPr>
                <w:sz w:val="22"/>
                <w:szCs w:val="22"/>
              </w:rPr>
            </w:pPr>
            <w:r>
              <w:rPr>
                <w:sz w:val="22"/>
                <w:szCs w:val="22"/>
              </w:rPr>
              <w:t>Broad geographic footprint across the current district structure</w:t>
            </w:r>
          </w:p>
        </w:tc>
      </w:tr>
      <w:tr w:rsidR="00BA0745" w14:paraId="347AF364" w14:textId="77777777">
        <w:tc>
          <w:tcPr>
            <w:tcW w:w="3112" w:type="dxa"/>
            <w:vAlign w:val="center"/>
          </w:tcPr>
          <w:p w14:paraId="7D810F10" w14:textId="77777777" w:rsidR="00BA0745" w:rsidRDefault="00000000">
            <w:pPr>
              <w:spacing w:after="160" w:line="278" w:lineRule="auto"/>
              <w:jc w:val="center"/>
              <w:rPr>
                <w:sz w:val="22"/>
                <w:szCs w:val="22"/>
              </w:rPr>
            </w:pPr>
            <w:r>
              <w:rPr>
                <w:sz w:val="22"/>
                <w:szCs w:val="22"/>
              </w:rPr>
              <w:t>Current district not represented</w:t>
            </w:r>
          </w:p>
        </w:tc>
        <w:tc>
          <w:tcPr>
            <w:tcW w:w="2139" w:type="dxa"/>
            <w:vAlign w:val="center"/>
          </w:tcPr>
          <w:p w14:paraId="5B2BE501" w14:textId="77777777" w:rsidR="00BA0745" w:rsidRDefault="00000000">
            <w:pPr>
              <w:spacing w:after="160" w:line="278" w:lineRule="auto"/>
              <w:jc w:val="center"/>
              <w:rPr>
                <w:sz w:val="22"/>
                <w:szCs w:val="22"/>
              </w:rPr>
            </w:pPr>
            <w:r>
              <w:rPr>
                <w:sz w:val="22"/>
                <w:szCs w:val="22"/>
              </w:rPr>
              <w:t>Chengalpattu</w:t>
            </w:r>
          </w:p>
        </w:tc>
        <w:tc>
          <w:tcPr>
            <w:tcW w:w="4109" w:type="dxa"/>
            <w:vAlign w:val="center"/>
          </w:tcPr>
          <w:p w14:paraId="3DFD2B82" w14:textId="77777777" w:rsidR="00BA0745" w:rsidRDefault="00000000">
            <w:pPr>
              <w:spacing w:after="160" w:line="278" w:lineRule="auto"/>
              <w:jc w:val="center"/>
              <w:rPr>
                <w:sz w:val="22"/>
                <w:szCs w:val="22"/>
              </w:rPr>
            </w:pPr>
            <w:r>
              <w:rPr>
                <w:sz w:val="22"/>
                <w:szCs w:val="22"/>
              </w:rPr>
              <w:t>Only current district without a matched PIN location</w:t>
            </w:r>
          </w:p>
        </w:tc>
      </w:tr>
      <w:tr w:rsidR="00BA0745" w14:paraId="57E0D541" w14:textId="77777777">
        <w:tc>
          <w:tcPr>
            <w:tcW w:w="3112" w:type="dxa"/>
            <w:vAlign w:val="center"/>
          </w:tcPr>
          <w:p w14:paraId="6BD82302" w14:textId="77777777" w:rsidR="00BA0745" w:rsidRDefault="00000000">
            <w:pPr>
              <w:spacing w:after="160" w:line="278" w:lineRule="auto"/>
              <w:jc w:val="center"/>
              <w:rPr>
                <w:sz w:val="22"/>
                <w:szCs w:val="22"/>
              </w:rPr>
            </w:pPr>
            <w:r>
              <w:rPr>
                <w:sz w:val="22"/>
                <w:szCs w:val="22"/>
              </w:rPr>
              <w:t>Largest district share</w:t>
            </w:r>
          </w:p>
        </w:tc>
        <w:tc>
          <w:tcPr>
            <w:tcW w:w="2139" w:type="dxa"/>
            <w:vAlign w:val="center"/>
          </w:tcPr>
          <w:p w14:paraId="5DC40234" w14:textId="77777777" w:rsidR="00BA0745" w:rsidRDefault="00000000">
            <w:pPr>
              <w:spacing w:after="160" w:line="278" w:lineRule="auto"/>
              <w:jc w:val="center"/>
              <w:rPr>
                <w:sz w:val="22"/>
                <w:szCs w:val="22"/>
              </w:rPr>
            </w:pPr>
            <w:r>
              <w:rPr>
                <w:sz w:val="22"/>
                <w:szCs w:val="22"/>
              </w:rPr>
              <w:t>Salem, 29.09%</w:t>
            </w:r>
          </w:p>
        </w:tc>
        <w:tc>
          <w:tcPr>
            <w:tcW w:w="4109" w:type="dxa"/>
            <w:vAlign w:val="center"/>
          </w:tcPr>
          <w:p w14:paraId="4395761B" w14:textId="77777777" w:rsidR="00BA0745" w:rsidRDefault="00000000">
            <w:pPr>
              <w:spacing w:after="160" w:line="278" w:lineRule="auto"/>
              <w:jc w:val="center"/>
              <w:rPr>
                <w:sz w:val="22"/>
                <w:szCs w:val="22"/>
              </w:rPr>
            </w:pPr>
            <w:r>
              <w:rPr>
                <w:sz w:val="22"/>
                <w:szCs w:val="22"/>
              </w:rPr>
              <w:t>Recruitment concentrated in a principal fieldwork district</w:t>
            </w:r>
          </w:p>
        </w:tc>
      </w:tr>
      <w:tr w:rsidR="00BA0745" w14:paraId="3AF186F0" w14:textId="77777777">
        <w:tc>
          <w:tcPr>
            <w:tcW w:w="3112" w:type="dxa"/>
            <w:vAlign w:val="center"/>
          </w:tcPr>
          <w:p w14:paraId="67620A95" w14:textId="77777777" w:rsidR="00BA0745" w:rsidRDefault="00000000">
            <w:pPr>
              <w:spacing w:after="160" w:line="278" w:lineRule="auto"/>
              <w:jc w:val="center"/>
              <w:rPr>
                <w:sz w:val="22"/>
                <w:szCs w:val="22"/>
              </w:rPr>
            </w:pPr>
            <w:r>
              <w:rPr>
                <w:sz w:val="22"/>
                <w:szCs w:val="22"/>
              </w:rPr>
              <w:t>Three largest districts</w:t>
            </w:r>
          </w:p>
        </w:tc>
        <w:tc>
          <w:tcPr>
            <w:tcW w:w="2139" w:type="dxa"/>
            <w:vAlign w:val="center"/>
          </w:tcPr>
          <w:p w14:paraId="373CEC84" w14:textId="77777777" w:rsidR="00BA0745" w:rsidRDefault="00000000">
            <w:pPr>
              <w:spacing w:after="160" w:line="278" w:lineRule="auto"/>
              <w:jc w:val="center"/>
              <w:rPr>
                <w:sz w:val="22"/>
                <w:szCs w:val="22"/>
              </w:rPr>
            </w:pPr>
            <w:r>
              <w:rPr>
                <w:sz w:val="22"/>
                <w:szCs w:val="22"/>
              </w:rPr>
              <w:t>Salem, Karur and Namakkal, 73.66%</w:t>
            </w:r>
          </w:p>
        </w:tc>
        <w:tc>
          <w:tcPr>
            <w:tcW w:w="4109" w:type="dxa"/>
            <w:vAlign w:val="center"/>
          </w:tcPr>
          <w:p w14:paraId="374A5D7E" w14:textId="77777777" w:rsidR="00BA0745" w:rsidRDefault="00000000">
            <w:pPr>
              <w:spacing w:after="160" w:line="278" w:lineRule="auto"/>
              <w:jc w:val="center"/>
              <w:rPr>
                <w:sz w:val="22"/>
                <w:szCs w:val="22"/>
              </w:rPr>
            </w:pPr>
            <w:r>
              <w:rPr>
                <w:sz w:val="22"/>
                <w:szCs w:val="22"/>
              </w:rPr>
              <w:t xml:space="preserve">Most matched households </w:t>
            </w:r>
            <w:proofErr w:type="gramStart"/>
            <w:r>
              <w:rPr>
                <w:sz w:val="22"/>
                <w:szCs w:val="22"/>
              </w:rPr>
              <w:t>were located in</w:t>
            </w:r>
            <w:proofErr w:type="gramEnd"/>
            <w:r>
              <w:rPr>
                <w:sz w:val="22"/>
                <w:szCs w:val="22"/>
              </w:rPr>
              <w:t xml:space="preserve"> the principal study geography</w:t>
            </w:r>
          </w:p>
        </w:tc>
      </w:tr>
      <w:tr w:rsidR="00BA0745" w14:paraId="5376D250" w14:textId="77777777">
        <w:tc>
          <w:tcPr>
            <w:tcW w:w="3112" w:type="dxa"/>
            <w:vAlign w:val="center"/>
          </w:tcPr>
          <w:p w14:paraId="5ED268B2" w14:textId="77777777" w:rsidR="00BA0745" w:rsidRDefault="00000000">
            <w:pPr>
              <w:spacing w:after="160" w:line="278" w:lineRule="auto"/>
              <w:jc w:val="center"/>
              <w:rPr>
                <w:sz w:val="22"/>
                <w:szCs w:val="22"/>
              </w:rPr>
            </w:pPr>
            <w:r>
              <w:rPr>
                <w:sz w:val="22"/>
                <w:szCs w:val="22"/>
              </w:rPr>
              <w:lastRenderedPageBreak/>
              <w:t>Five largest districts</w:t>
            </w:r>
          </w:p>
        </w:tc>
        <w:tc>
          <w:tcPr>
            <w:tcW w:w="2139" w:type="dxa"/>
            <w:vAlign w:val="center"/>
          </w:tcPr>
          <w:p w14:paraId="490767C1" w14:textId="77777777" w:rsidR="00BA0745" w:rsidRDefault="00000000">
            <w:pPr>
              <w:spacing w:after="160" w:line="278" w:lineRule="auto"/>
              <w:jc w:val="center"/>
              <w:rPr>
                <w:sz w:val="22"/>
                <w:szCs w:val="22"/>
              </w:rPr>
            </w:pPr>
            <w:r>
              <w:rPr>
                <w:sz w:val="22"/>
                <w:szCs w:val="22"/>
              </w:rPr>
              <w:t>81.06%</w:t>
            </w:r>
          </w:p>
        </w:tc>
        <w:tc>
          <w:tcPr>
            <w:tcW w:w="4109" w:type="dxa"/>
            <w:vAlign w:val="center"/>
          </w:tcPr>
          <w:p w14:paraId="3C2430F4" w14:textId="77777777" w:rsidR="00BA0745" w:rsidRDefault="00000000">
            <w:pPr>
              <w:spacing w:after="160" w:line="278" w:lineRule="auto"/>
              <w:jc w:val="center"/>
              <w:rPr>
                <w:sz w:val="22"/>
                <w:szCs w:val="22"/>
              </w:rPr>
            </w:pPr>
            <w:r>
              <w:rPr>
                <w:sz w:val="22"/>
                <w:szCs w:val="22"/>
              </w:rPr>
              <w:t>Remaining records formed a geographically dispersed long tail</w:t>
            </w:r>
          </w:p>
        </w:tc>
      </w:tr>
      <w:tr w:rsidR="00BA0745" w14:paraId="58A876E5" w14:textId="77777777">
        <w:tc>
          <w:tcPr>
            <w:tcW w:w="3112" w:type="dxa"/>
            <w:vAlign w:val="center"/>
          </w:tcPr>
          <w:p w14:paraId="106F2075" w14:textId="77777777" w:rsidR="00BA0745" w:rsidRDefault="00000000">
            <w:pPr>
              <w:spacing w:after="160" w:line="278" w:lineRule="auto"/>
              <w:jc w:val="center"/>
              <w:rPr>
                <w:sz w:val="22"/>
                <w:szCs w:val="22"/>
              </w:rPr>
            </w:pPr>
            <w:r>
              <w:rPr>
                <w:sz w:val="22"/>
                <w:szCs w:val="22"/>
              </w:rPr>
              <w:t>Effective number of districts</w:t>
            </w:r>
          </w:p>
        </w:tc>
        <w:tc>
          <w:tcPr>
            <w:tcW w:w="2139" w:type="dxa"/>
            <w:vAlign w:val="center"/>
          </w:tcPr>
          <w:p w14:paraId="123CD05E" w14:textId="77777777" w:rsidR="00BA0745" w:rsidRDefault="00000000">
            <w:pPr>
              <w:spacing w:after="160" w:line="278" w:lineRule="auto"/>
              <w:jc w:val="center"/>
              <w:rPr>
                <w:sz w:val="22"/>
                <w:szCs w:val="22"/>
              </w:rPr>
            </w:pPr>
            <w:r>
              <w:rPr>
                <w:sz w:val="22"/>
                <w:szCs w:val="22"/>
              </w:rPr>
              <w:t>5.28</w:t>
            </w:r>
          </w:p>
        </w:tc>
        <w:tc>
          <w:tcPr>
            <w:tcW w:w="4109" w:type="dxa"/>
            <w:vAlign w:val="center"/>
          </w:tcPr>
          <w:p w14:paraId="421271E7" w14:textId="77777777" w:rsidR="00BA0745" w:rsidRDefault="00000000">
            <w:pPr>
              <w:spacing w:after="160" w:line="278" w:lineRule="auto"/>
              <w:jc w:val="center"/>
              <w:rPr>
                <w:sz w:val="22"/>
                <w:szCs w:val="22"/>
              </w:rPr>
            </w:pPr>
            <w:r>
              <w:rPr>
                <w:sz w:val="22"/>
                <w:szCs w:val="22"/>
              </w:rPr>
              <w:t>Indicates substantial concentration despite broad nominal district coverage</w:t>
            </w:r>
          </w:p>
        </w:tc>
      </w:tr>
      <w:tr w:rsidR="00BA0745" w14:paraId="2E571BD2" w14:textId="77777777">
        <w:tc>
          <w:tcPr>
            <w:tcW w:w="3112" w:type="dxa"/>
            <w:vAlign w:val="center"/>
          </w:tcPr>
          <w:p w14:paraId="51E61013" w14:textId="77777777" w:rsidR="00BA0745" w:rsidRDefault="00000000">
            <w:pPr>
              <w:spacing w:after="160" w:line="278" w:lineRule="auto"/>
              <w:jc w:val="center"/>
              <w:rPr>
                <w:sz w:val="22"/>
                <w:szCs w:val="22"/>
              </w:rPr>
            </w:pPr>
            <w:r>
              <w:rPr>
                <w:sz w:val="22"/>
                <w:szCs w:val="22"/>
              </w:rPr>
              <w:t>Maximum PIN-centroid separation</w:t>
            </w:r>
          </w:p>
        </w:tc>
        <w:tc>
          <w:tcPr>
            <w:tcW w:w="2139" w:type="dxa"/>
            <w:vAlign w:val="center"/>
          </w:tcPr>
          <w:p w14:paraId="02037D6D" w14:textId="77777777" w:rsidR="00BA0745" w:rsidRDefault="00000000">
            <w:pPr>
              <w:spacing w:after="160" w:line="278" w:lineRule="auto"/>
              <w:jc w:val="center"/>
              <w:rPr>
                <w:sz w:val="22"/>
                <w:szCs w:val="22"/>
              </w:rPr>
            </w:pPr>
            <w:r>
              <w:rPr>
                <w:sz w:val="22"/>
                <w:szCs w:val="22"/>
              </w:rPr>
              <w:t>643.3 km</w:t>
            </w:r>
          </w:p>
        </w:tc>
        <w:tc>
          <w:tcPr>
            <w:tcW w:w="4109" w:type="dxa"/>
            <w:vAlign w:val="center"/>
          </w:tcPr>
          <w:p w14:paraId="5AEF6DE0" w14:textId="77777777" w:rsidR="00BA0745" w:rsidRDefault="00000000">
            <w:pPr>
              <w:spacing w:after="160" w:line="278" w:lineRule="auto"/>
              <w:jc w:val="center"/>
              <w:rPr>
                <w:sz w:val="22"/>
                <w:szCs w:val="22"/>
              </w:rPr>
            </w:pPr>
            <w:r>
              <w:rPr>
                <w:sz w:val="22"/>
                <w:szCs w:val="22"/>
              </w:rPr>
              <w:t>Large spatial extent across matched Tamil Nadu locations</w:t>
            </w:r>
          </w:p>
        </w:tc>
      </w:tr>
      <w:tr w:rsidR="00BA0745" w14:paraId="5EDE1015" w14:textId="77777777">
        <w:tc>
          <w:tcPr>
            <w:tcW w:w="3112" w:type="dxa"/>
            <w:vAlign w:val="center"/>
          </w:tcPr>
          <w:p w14:paraId="5ED311EB" w14:textId="77777777" w:rsidR="00BA0745" w:rsidRDefault="00000000">
            <w:pPr>
              <w:spacing w:after="160" w:line="278" w:lineRule="auto"/>
              <w:jc w:val="center"/>
              <w:rPr>
                <w:sz w:val="22"/>
                <w:szCs w:val="22"/>
              </w:rPr>
            </w:pPr>
            <w:r>
              <w:rPr>
                <w:sz w:val="22"/>
                <w:szCs w:val="22"/>
              </w:rPr>
              <w:t>Tamil Nadu PIN locations matched to GHSL</w:t>
            </w:r>
          </w:p>
        </w:tc>
        <w:tc>
          <w:tcPr>
            <w:tcW w:w="2139" w:type="dxa"/>
            <w:vAlign w:val="center"/>
          </w:tcPr>
          <w:p w14:paraId="62633AE9" w14:textId="77777777" w:rsidR="00BA0745" w:rsidRDefault="00000000">
            <w:pPr>
              <w:spacing w:after="160" w:line="278" w:lineRule="auto"/>
              <w:jc w:val="center"/>
              <w:rPr>
                <w:sz w:val="22"/>
                <w:szCs w:val="22"/>
              </w:rPr>
            </w:pPr>
            <w:r>
              <w:rPr>
                <w:sz w:val="22"/>
                <w:szCs w:val="22"/>
              </w:rPr>
              <w:t>632/632 (100%)</w:t>
            </w:r>
          </w:p>
        </w:tc>
        <w:tc>
          <w:tcPr>
            <w:tcW w:w="4109" w:type="dxa"/>
            <w:vAlign w:val="center"/>
          </w:tcPr>
          <w:p w14:paraId="13D7F4FB" w14:textId="77777777" w:rsidR="00BA0745" w:rsidRDefault="00000000">
            <w:pPr>
              <w:spacing w:after="160" w:line="278" w:lineRule="auto"/>
              <w:jc w:val="center"/>
              <w:rPr>
                <w:sz w:val="22"/>
                <w:szCs w:val="22"/>
              </w:rPr>
            </w:pPr>
            <w:r>
              <w:rPr>
                <w:sz w:val="22"/>
                <w:szCs w:val="22"/>
              </w:rPr>
              <w:t>Complete settlement-context characterization for matched PIN locations</w:t>
            </w:r>
          </w:p>
        </w:tc>
      </w:tr>
      <w:tr w:rsidR="00BA0745" w14:paraId="1C8CF4BA" w14:textId="77777777">
        <w:tc>
          <w:tcPr>
            <w:tcW w:w="3112" w:type="dxa"/>
            <w:vAlign w:val="center"/>
          </w:tcPr>
          <w:p w14:paraId="081BD9BD" w14:textId="77777777" w:rsidR="00BA0745" w:rsidRDefault="00000000">
            <w:pPr>
              <w:spacing w:after="160" w:line="278" w:lineRule="auto"/>
              <w:jc w:val="center"/>
              <w:rPr>
                <w:sz w:val="22"/>
                <w:szCs w:val="22"/>
              </w:rPr>
            </w:pPr>
            <w:r>
              <w:rPr>
                <w:sz w:val="22"/>
                <w:szCs w:val="22"/>
              </w:rPr>
              <w:t>Detailed non-water GHS-SMOD classes represented</w:t>
            </w:r>
          </w:p>
        </w:tc>
        <w:tc>
          <w:tcPr>
            <w:tcW w:w="2139" w:type="dxa"/>
            <w:vAlign w:val="center"/>
          </w:tcPr>
          <w:p w14:paraId="2F7CCE8D" w14:textId="77777777" w:rsidR="00BA0745" w:rsidRDefault="00000000">
            <w:pPr>
              <w:spacing w:after="160" w:line="278" w:lineRule="auto"/>
              <w:jc w:val="center"/>
              <w:rPr>
                <w:sz w:val="22"/>
                <w:szCs w:val="22"/>
              </w:rPr>
            </w:pPr>
            <w:r>
              <w:rPr>
                <w:sz w:val="22"/>
                <w:szCs w:val="22"/>
              </w:rPr>
              <w:t>7/7</w:t>
            </w:r>
          </w:p>
        </w:tc>
        <w:tc>
          <w:tcPr>
            <w:tcW w:w="4109" w:type="dxa"/>
            <w:vAlign w:val="center"/>
          </w:tcPr>
          <w:p w14:paraId="620CB51D" w14:textId="77777777" w:rsidR="00BA0745" w:rsidRDefault="00000000">
            <w:pPr>
              <w:spacing w:after="160" w:line="278" w:lineRule="auto"/>
              <w:jc w:val="center"/>
              <w:rPr>
                <w:sz w:val="22"/>
                <w:szCs w:val="22"/>
              </w:rPr>
            </w:pPr>
            <w:r>
              <w:rPr>
                <w:sz w:val="22"/>
                <w:szCs w:val="22"/>
              </w:rPr>
              <w:t>Full detailed non-water settlement spectrum represented</w:t>
            </w:r>
          </w:p>
        </w:tc>
      </w:tr>
      <w:tr w:rsidR="00BA0745" w14:paraId="38A1C4B7" w14:textId="77777777">
        <w:tc>
          <w:tcPr>
            <w:tcW w:w="3112" w:type="dxa"/>
            <w:vAlign w:val="center"/>
          </w:tcPr>
          <w:p w14:paraId="66953938" w14:textId="77777777" w:rsidR="00BA0745" w:rsidRDefault="00000000">
            <w:pPr>
              <w:spacing w:after="160" w:line="278" w:lineRule="auto"/>
              <w:jc w:val="center"/>
              <w:rPr>
                <w:sz w:val="22"/>
                <w:szCs w:val="22"/>
              </w:rPr>
            </w:pPr>
            <w:r>
              <w:rPr>
                <w:sz w:val="22"/>
                <w:szCs w:val="22"/>
              </w:rPr>
              <w:t>DEGURBA Level-1 classes represented</w:t>
            </w:r>
          </w:p>
        </w:tc>
        <w:tc>
          <w:tcPr>
            <w:tcW w:w="2139" w:type="dxa"/>
            <w:vAlign w:val="center"/>
          </w:tcPr>
          <w:p w14:paraId="05C0F549" w14:textId="77777777" w:rsidR="00BA0745" w:rsidRDefault="00000000">
            <w:pPr>
              <w:spacing w:after="160" w:line="278" w:lineRule="auto"/>
              <w:jc w:val="center"/>
              <w:rPr>
                <w:sz w:val="22"/>
                <w:szCs w:val="22"/>
              </w:rPr>
            </w:pPr>
            <w:r>
              <w:rPr>
                <w:sz w:val="22"/>
                <w:szCs w:val="22"/>
              </w:rPr>
              <w:t>3/3</w:t>
            </w:r>
          </w:p>
        </w:tc>
        <w:tc>
          <w:tcPr>
            <w:tcW w:w="4109" w:type="dxa"/>
            <w:vAlign w:val="center"/>
          </w:tcPr>
          <w:p w14:paraId="568EA020" w14:textId="77777777" w:rsidR="00BA0745" w:rsidRDefault="00000000">
            <w:pPr>
              <w:spacing w:after="160" w:line="278" w:lineRule="auto"/>
              <w:jc w:val="center"/>
              <w:rPr>
                <w:sz w:val="22"/>
                <w:szCs w:val="22"/>
              </w:rPr>
            </w:pPr>
            <w:r>
              <w:rPr>
                <w:sz w:val="22"/>
                <w:szCs w:val="22"/>
              </w:rPr>
              <w:t>Rural areas, towns/semi-dense areas, and cities all represented</w:t>
            </w:r>
          </w:p>
        </w:tc>
      </w:tr>
      <w:tr w:rsidR="00BA0745" w14:paraId="42F0FC29" w14:textId="77777777">
        <w:tc>
          <w:tcPr>
            <w:tcW w:w="3112" w:type="dxa"/>
            <w:vAlign w:val="center"/>
          </w:tcPr>
          <w:p w14:paraId="31047932" w14:textId="77777777" w:rsidR="00BA0745" w:rsidRDefault="00000000">
            <w:pPr>
              <w:spacing w:after="160" w:line="278" w:lineRule="auto"/>
              <w:jc w:val="center"/>
              <w:rPr>
                <w:sz w:val="22"/>
                <w:szCs w:val="22"/>
              </w:rPr>
            </w:pPr>
            <w:r>
              <w:rPr>
                <w:sz w:val="22"/>
                <w:szCs w:val="22"/>
              </w:rPr>
              <w:t>Four reporting-level settlement contexts represented</w:t>
            </w:r>
          </w:p>
        </w:tc>
        <w:tc>
          <w:tcPr>
            <w:tcW w:w="2139" w:type="dxa"/>
            <w:vAlign w:val="center"/>
          </w:tcPr>
          <w:p w14:paraId="13AA4F67" w14:textId="77777777" w:rsidR="00BA0745" w:rsidRDefault="00000000">
            <w:pPr>
              <w:spacing w:after="160" w:line="278" w:lineRule="auto"/>
              <w:jc w:val="center"/>
              <w:rPr>
                <w:sz w:val="22"/>
                <w:szCs w:val="22"/>
              </w:rPr>
            </w:pPr>
            <w:r>
              <w:rPr>
                <w:sz w:val="22"/>
                <w:szCs w:val="22"/>
              </w:rPr>
              <w:t>4/4</w:t>
            </w:r>
          </w:p>
        </w:tc>
        <w:tc>
          <w:tcPr>
            <w:tcW w:w="4109" w:type="dxa"/>
            <w:vAlign w:val="center"/>
          </w:tcPr>
          <w:p w14:paraId="07B4ECE7" w14:textId="77777777" w:rsidR="00BA0745" w:rsidRDefault="00000000">
            <w:pPr>
              <w:spacing w:after="160" w:line="278" w:lineRule="auto"/>
              <w:jc w:val="center"/>
              <w:rPr>
                <w:sz w:val="22"/>
                <w:szCs w:val="22"/>
              </w:rPr>
            </w:pPr>
            <w:r>
              <w:rPr>
                <w:sz w:val="22"/>
                <w:szCs w:val="22"/>
              </w:rPr>
              <w:t>Rural, suburban/peri-urban, urban-cluster, and urban-centre environments represented</w:t>
            </w:r>
          </w:p>
        </w:tc>
      </w:tr>
      <w:tr w:rsidR="00BA0745" w14:paraId="2622624A" w14:textId="77777777">
        <w:tc>
          <w:tcPr>
            <w:tcW w:w="3112" w:type="dxa"/>
            <w:vAlign w:val="center"/>
          </w:tcPr>
          <w:p w14:paraId="32068B1C" w14:textId="77777777" w:rsidR="00BA0745" w:rsidRDefault="00000000">
            <w:pPr>
              <w:spacing w:after="160" w:line="278" w:lineRule="auto"/>
              <w:jc w:val="center"/>
              <w:rPr>
                <w:sz w:val="22"/>
                <w:szCs w:val="22"/>
              </w:rPr>
            </w:pPr>
            <w:r>
              <w:rPr>
                <w:sz w:val="22"/>
                <w:szCs w:val="22"/>
              </w:rPr>
              <w:t>Exact-cell versus 3 × 3 GHS-SMOD agreement</w:t>
            </w:r>
          </w:p>
        </w:tc>
        <w:tc>
          <w:tcPr>
            <w:tcW w:w="2139" w:type="dxa"/>
            <w:vAlign w:val="center"/>
          </w:tcPr>
          <w:p w14:paraId="40137F53" w14:textId="77777777" w:rsidR="00BA0745" w:rsidRDefault="00000000">
            <w:pPr>
              <w:spacing w:after="160" w:line="278" w:lineRule="auto"/>
              <w:jc w:val="center"/>
              <w:rPr>
                <w:sz w:val="22"/>
                <w:szCs w:val="22"/>
              </w:rPr>
            </w:pPr>
            <w:r>
              <w:rPr>
                <w:sz w:val="22"/>
                <w:szCs w:val="22"/>
              </w:rPr>
              <w:t>71.95%</w:t>
            </w:r>
          </w:p>
        </w:tc>
        <w:tc>
          <w:tcPr>
            <w:tcW w:w="4109" w:type="dxa"/>
            <w:vAlign w:val="center"/>
          </w:tcPr>
          <w:p w14:paraId="470857F0" w14:textId="77777777" w:rsidR="00BA0745" w:rsidRDefault="00000000">
            <w:pPr>
              <w:spacing w:after="160" w:line="278" w:lineRule="auto"/>
              <w:jc w:val="center"/>
              <w:rPr>
                <w:sz w:val="22"/>
                <w:szCs w:val="22"/>
              </w:rPr>
            </w:pPr>
            <w:r>
              <w:rPr>
                <w:sz w:val="22"/>
                <w:szCs w:val="22"/>
              </w:rPr>
              <w:t>Local classification sensitivity around postal reference locations</w:t>
            </w:r>
          </w:p>
        </w:tc>
      </w:tr>
      <w:tr w:rsidR="00BA0745" w14:paraId="6A97F371" w14:textId="77777777">
        <w:tc>
          <w:tcPr>
            <w:tcW w:w="3112" w:type="dxa"/>
            <w:tcBorders>
              <w:bottom w:val="single" w:sz="4" w:space="0" w:color="000000"/>
            </w:tcBorders>
            <w:vAlign w:val="center"/>
          </w:tcPr>
          <w:p w14:paraId="10216B08" w14:textId="77777777" w:rsidR="00BA0745" w:rsidRDefault="00000000">
            <w:pPr>
              <w:spacing w:after="160" w:line="278" w:lineRule="auto"/>
              <w:jc w:val="center"/>
              <w:rPr>
                <w:sz w:val="22"/>
                <w:szCs w:val="22"/>
              </w:rPr>
            </w:pPr>
            <w:r>
              <w:rPr>
                <w:sz w:val="22"/>
                <w:szCs w:val="22"/>
              </w:rPr>
              <w:t>PIN reference coordinates intersecting a GHS-SMOD water cell</w:t>
            </w:r>
          </w:p>
        </w:tc>
        <w:tc>
          <w:tcPr>
            <w:tcW w:w="2139" w:type="dxa"/>
            <w:tcBorders>
              <w:bottom w:val="single" w:sz="4" w:space="0" w:color="000000"/>
            </w:tcBorders>
            <w:vAlign w:val="center"/>
          </w:tcPr>
          <w:p w14:paraId="6D13C395" w14:textId="77777777" w:rsidR="00BA0745" w:rsidRDefault="00000000">
            <w:pPr>
              <w:spacing w:after="160" w:line="278" w:lineRule="auto"/>
              <w:jc w:val="center"/>
              <w:rPr>
                <w:sz w:val="22"/>
                <w:szCs w:val="22"/>
              </w:rPr>
            </w:pPr>
            <w:r>
              <w:rPr>
                <w:sz w:val="22"/>
                <w:szCs w:val="22"/>
              </w:rPr>
              <w:t>1</w:t>
            </w:r>
          </w:p>
        </w:tc>
        <w:tc>
          <w:tcPr>
            <w:tcW w:w="4109" w:type="dxa"/>
            <w:tcBorders>
              <w:bottom w:val="single" w:sz="4" w:space="0" w:color="000000"/>
            </w:tcBorders>
            <w:vAlign w:val="center"/>
          </w:tcPr>
          <w:p w14:paraId="2A431561" w14:textId="77777777" w:rsidR="00BA0745" w:rsidRDefault="00000000">
            <w:pPr>
              <w:spacing w:after="160" w:line="278" w:lineRule="auto"/>
              <w:jc w:val="center"/>
              <w:rPr>
                <w:sz w:val="22"/>
                <w:szCs w:val="22"/>
              </w:rPr>
            </w:pPr>
            <w:r>
              <w:rPr>
                <w:sz w:val="22"/>
                <w:szCs w:val="22"/>
              </w:rPr>
              <w:t>Negligible water-cell geolocation issue</w:t>
            </w:r>
          </w:p>
        </w:tc>
      </w:tr>
    </w:tbl>
    <w:p w14:paraId="626321A5" w14:textId="77777777" w:rsidR="00BA0745" w:rsidRDefault="00000000">
      <w:pPr>
        <w:pBdr>
          <w:bottom w:val="none" w:sz="0" w:space="6" w:color="000000"/>
        </w:pBdr>
        <w:spacing w:before="120" w:after="120"/>
        <w:jc w:val="both"/>
        <w:rPr>
          <w:b/>
          <w:bCs/>
          <w:sz w:val="22"/>
          <w:szCs w:val="22"/>
        </w:rPr>
      </w:pPr>
      <w:r>
        <w:rPr>
          <w:b/>
          <w:bCs/>
          <w:sz w:val="22"/>
          <w:szCs w:val="22"/>
        </w:rPr>
        <w:t>S4.4. Settlement-context and population-density coverage</w:t>
      </w:r>
    </w:p>
    <w:p w14:paraId="100EB0DA" w14:textId="3E200F90" w:rsidR="00BA0745" w:rsidRDefault="00000000">
      <w:pPr>
        <w:pBdr>
          <w:bottom w:val="none" w:sz="0" w:space="6" w:color="000000"/>
        </w:pBdr>
        <w:spacing w:before="120" w:after="120"/>
        <w:jc w:val="both"/>
        <w:rPr>
          <w:sz w:val="22"/>
          <w:szCs w:val="22"/>
        </w:rPr>
      </w:pPr>
      <w:r>
        <w:rPr>
          <w:sz w:val="22"/>
          <w:szCs w:val="22"/>
        </w:rPr>
        <w:t xml:space="preserve">Settlement context was characterized independently using the 2025 epoch of the Global Human Settlement Layer GHS-SMOD R2023A (Schiavina, et al., 2023). GHS-SMOD implements the Degree of </w:t>
      </w:r>
      <w:r w:rsidR="00500622">
        <w:rPr>
          <w:sz w:val="22"/>
          <w:szCs w:val="22"/>
        </w:rPr>
        <w:t>Urbanization</w:t>
      </w:r>
      <w:r>
        <w:rPr>
          <w:sz w:val="22"/>
          <w:szCs w:val="22"/>
        </w:rPr>
        <w:t xml:space="preserve"> framework using harmonized population and built-up-area information and provides a globally comparable classification of settlement environments (European Commission &amp; Statistical Office of the European Union, 2021; Pesaresi et al., 2024).</w:t>
      </w:r>
    </w:p>
    <w:p w14:paraId="1EA362FB" w14:textId="77777777" w:rsidR="00BA0745" w:rsidRDefault="00000000">
      <w:pPr>
        <w:pBdr>
          <w:bottom w:val="none" w:sz="0" w:space="6" w:color="000000"/>
        </w:pBdr>
        <w:spacing w:before="120" w:after="120"/>
        <w:jc w:val="both"/>
        <w:rPr>
          <w:sz w:val="22"/>
          <w:szCs w:val="22"/>
        </w:rPr>
      </w:pPr>
      <w:r>
        <w:rPr>
          <w:sz w:val="22"/>
          <w:szCs w:val="22"/>
        </w:rPr>
        <w:t>All 632 matched Tamil Nadu PIN reference locations were assigned a GHS-SMOD class. The locations represented all seven detailed non-water settlement classes observed in the classification, all three Degree of Urbanization Level-1 classes, and all four aggregated reporting contexts used in this study: rural, suburban/peri-urban, urban cluster, and urban center. The settlement analysis therefore indicates that the study extends across the rural-to-urban gradient rather than being confined to a single settlement environment.</w:t>
      </w:r>
    </w:p>
    <w:p w14:paraId="7D18EB1B" w14:textId="77777777" w:rsidR="00BA0745" w:rsidRDefault="00000000">
      <w:pPr>
        <w:pBdr>
          <w:bottom w:val="none" w:sz="0" w:space="6" w:color="000000"/>
        </w:pBdr>
        <w:spacing w:before="120" w:after="120"/>
        <w:jc w:val="both"/>
        <w:rPr>
          <w:sz w:val="22"/>
          <w:szCs w:val="22"/>
        </w:rPr>
      </w:pPr>
      <w:r>
        <w:rPr>
          <w:sz w:val="22"/>
          <w:szCs w:val="22"/>
        </w:rPr>
        <w:t>PIN coordinates correspond to postal reference locations rather than household GPS coordinates. To assess the sensitivity of settlement assignment to local spatial placement, the GHS-SMOD class at the coordinate-containing raster cell was compared with the modal class within the surrounding 3 × 3 raster neighborhood. Exact-cell and neighborhood-modal classifications agreed for 71.95% of matched locations. This measure is interpreted as a local spatial sensitivity diagnostic, rather than as a classification-accuracy statistic, because small shifts around a postal reference point can cross settlement-class boundaries without implying incorrect household geolocation.</w:t>
      </w:r>
    </w:p>
    <w:p w14:paraId="4000664A" w14:textId="77777777" w:rsidR="00BA0745" w:rsidRDefault="00000000">
      <w:pPr>
        <w:pBdr>
          <w:bottom w:val="none" w:sz="0" w:space="6" w:color="000000"/>
        </w:pBdr>
        <w:spacing w:before="120" w:after="120"/>
        <w:jc w:val="both"/>
        <w:rPr>
          <w:sz w:val="22"/>
          <w:szCs w:val="22"/>
        </w:rPr>
      </w:pPr>
      <w:r>
        <w:rPr>
          <w:sz w:val="22"/>
          <w:szCs w:val="22"/>
        </w:rPr>
        <w:lastRenderedPageBreak/>
        <w:t>Population-density context was characterized using the 2025 GHS-POP R2023A population grid (Schiavina et al., 2023b). Local population counts were summarized within the corresponding 3 × 3 raster neighborhood and divided by the geodesically calculated cell area to derive population density (people km⁻²). The resulting distribution was summarized across unique PIN locations rather than weighted by the number of survey households associated with each PIN. This provides an independent characterization of the density environments represented by the survey, without interpreting the resulting distribution as an estimate of Tamil Nadu's population distribution.</w:t>
      </w:r>
    </w:p>
    <w:p w14:paraId="6A610BE8" w14:textId="77777777" w:rsidR="00BA0745" w:rsidRDefault="00000000">
      <w:pPr>
        <w:pBdr>
          <w:bottom w:val="none" w:sz="0" w:space="6" w:color="000000"/>
        </w:pBdr>
        <w:spacing w:before="120" w:after="120"/>
        <w:jc w:val="both"/>
        <w:rPr>
          <w:b/>
          <w:bCs/>
          <w:sz w:val="22"/>
          <w:szCs w:val="22"/>
        </w:rPr>
      </w:pPr>
      <w:r>
        <w:rPr>
          <w:b/>
          <w:bCs/>
          <w:sz w:val="22"/>
          <w:szCs w:val="22"/>
        </w:rPr>
        <w:t>Supplementary Figure S7. Geographic and settlement-context breadth of the study sample.</w:t>
      </w:r>
    </w:p>
    <w:p w14:paraId="2812BA1F" w14:textId="77777777" w:rsidR="00BA0745" w:rsidRDefault="00000000">
      <w:pPr>
        <w:pBdr>
          <w:bottom w:val="none" w:sz="0" w:space="6" w:color="000000"/>
        </w:pBdr>
        <w:spacing w:before="120" w:after="120"/>
        <w:jc w:val="center"/>
        <w:rPr>
          <w:b/>
          <w:bCs/>
          <w:sz w:val="22"/>
          <w:szCs w:val="22"/>
        </w:rPr>
      </w:pPr>
      <w:r>
        <w:rPr>
          <w:b/>
          <w:bCs/>
          <w:noProof/>
          <w:sz w:val="22"/>
          <w:szCs w:val="22"/>
        </w:rPr>
        <w:drawing>
          <wp:inline distT="0" distB="0" distL="0" distR="0" wp14:anchorId="66DDDD8D" wp14:editId="6889676D">
            <wp:extent cx="4686300" cy="3352800"/>
            <wp:effectExtent l="0" t="0" r="0" b="0"/>
            <wp:docPr id="173559666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4686300" cy="3352800"/>
                    </a:xfrm>
                    <a:prstGeom prst="rect">
                      <a:avLst/>
                    </a:prstGeom>
                    <a:ln/>
                  </pic:spPr>
                </pic:pic>
              </a:graphicData>
            </a:graphic>
          </wp:inline>
        </w:drawing>
      </w:r>
    </w:p>
    <w:p w14:paraId="717AEDE2" w14:textId="77777777" w:rsidR="00BA0745" w:rsidRDefault="00000000">
      <w:pPr>
        <w:pBdr>
          <w:bottom w:val="none" w:sz="0" w:space="6" w:color="000000"/>
        </w:pBdr>
        <w:spacing w:before="120" w:after="120"/>
        <w:jc w:val="both"/>
        <w:rPr>
          <w:sz w:val="22"/>
          <w:szCs w:val="22"/>
        </w:rPr>
      </w:pPr>
      <w:proofErr w:type="gramStart"/>
      <w:r>
        <w:rPr>
          <w:b/>
          <w:bCs/>
          <w:sz w:val="22"/>
          <w:szCs w:val="22"/>
        </w:rPr>
        <w:t>a</w:t>
      </w:r>
      <w:r>
        <w:rPr>
          <w:sz w:val="22"/>
          <w:szCs w:val="22"/>
        </w:rPr>
        <w:t>,</w:t>
      </w:r>
      <w:proofErr w:type="gramEnd"/>
      <w:r>
        <w:rPr>
          <w:sz w:val="22"/>
          <w:szCs w:val="22"/>
        </w:rPr>
        <w:t xml:space="preserve"> Matched Tamil Nadu PIN reference locations over the Tamil Nadu administrative outline, classified by 2025 GHS-SMOD settlement context. The coverage analysis included 632 unique matched Tamil Nadu PIN locations across 37 of the state's 38 current districts, with greater recruitment intensity in Salem, Karur, and Namakkal. </w:t>
      </w:r>
      <w:r>
        <w:rPr>
          <w:b/>
          <w:bCs/>
          <w:sz w:val="22"/>
          <w:szCs w:val="22"/>
        </w:rPr>
        <w:t>b</w:t>
      </w:r>
      <w:r>
        <w:rPr>
          <w:sz w:val="22"/>
          <w:szCs w:val="22"/>
        </w:rPr>
        <w:t xml:space="preserve">, Settlement-context distribution summarized by household records and by unique PIN locations. Reporting categories aggregate the detailed GHS-SMOD classification into rural, suburban/peri-urban, urban cluster, and urban centre. </w:t>
      </w:r>
      <w:r>
        <w:rPr>
          <w:b/>
          <w:bCs/>
          <w:sz w:val="22"/>
          <w:szCs w:val="22"/>
        </w:rPr>
        <w:t>c</w:t>
      </w:r>
      <w:r>
        <w:rPr>
          <w:sz w:val="22"/>
          <w:szCs w:val="22"/>
        </w:rPr>
        <w:t>, Empirical cumulative distribution of local GHS-POP population density across matched PIN locations using the surrounding 3 × 3 raster neighbourhood; vertical reference lines indicate the 10th percentile, median, and 90th percentile. PIN coordinates represent postal reference locations rather than exact household locations.</w:t>
      </w:r>
    </w:p>
    <w:p w14:paraId="1404E0E7" w14:textId="77777777" w:rsidR="00BA0745" w:rsidRDefault="00000000">
      <w:pPr>
        <w:pBdr>
          <w:bottom w:val="none" w:sz="0" w:space="6" w:color="000000"/>
        </w:pBdr>
        <w:spacing w:before="120" w:after="120"/>
        <w:jc w:val="both"/>
        <w:rPr>
          <w:b/>
          <w:bCs/>
          <w:sz w:val="22"/>
          <w:szCs w:val="22"/>
        </w:rPr>
      </w:pPr>
      <w:r>
        <w:rPr>
          <w:b/>
          <w:bCs/>
          <w:sz w:val="22"/>
          <w:szCs w:val="22"/>
        </w:rPr>
        <w:t>S4.5. Diversity of domestic water-provision arrangements</w:t>
      </w:r>
    </w:p>
    <w:p w14:paraId="1A34C3AE" w14:textId="77777777" w:rsidR="00BA0745" w:rsidRDefault="00000000">
      <w:pPr>
        <w:pBdr>
          <w:bottom w:val="none" w:sz="0" w:space="6" w:color="000000"/>
        </w:pBdr>
        <w:spacing w:before="120" w:after="120"/>
        <w:jc w:val="both"/>
        <w:rPr>
          <w:sz w:val="22"/>
          <w:szCs w:val="22"/>
        </w:rPr>
      </w:pPr>
      <w:r>
        <w:rPr>
          <w:sz w:val="22"/>
          <w:szCs w:val="22"/>
        </w:rPr>
        <w:t>Primary domestic water provision was characterized using Q1.1, retaining the six provision arrangements observed in the study rather than collapsing provider, source, and delivery distinctions. Groundwater was the most common primary arrangement (50.52%), followed by municipality/corporation supply (38.86%), lake/pond water (5.84%), other sources (1.89%), tanker/truck delivery (1.69%), and commercial/canned water (1.20%). The dataset therefore includes households relying on formal network supply, self-supply, surface water, delivered water, commercial provision, and other arrangements.</w:t>
      </w:r>
    </w:p>
    <w:p w14:paraId="7543A1CE" w14:textId="77777777" w:rsidR="00BA0745" w:rsidRDefault="00000000">
      <w:pPr>
        <w:pBdr>
          <w:bottom w:val="none" w:sz="0" w:space="6" w:color="000000"/>
        </w:pBdr>
        <w:spacing w:before="120" w:after="120"/>
        <w:jc w:val="both"/>
        <w:rPr>
          <w:sz w:val="22"/>
          <w:szCs w:val="22"/>
        </w:rPr>
      </w:pPr>
      <w:r>
        <w:rPr>
          <w:sz w:val="22"/>
          <w:szCs w:val="22"/>
        </w:rPr>
        <w:t xml:space="preserve">NFHS-5 Tamil Nadu was used only to provide external context for the diversity of household water sources in the state (IIPS &amp; ICF, 2021). No formal study-versus-NFHS distributional comparison was undertaken because the two instruments measure different constructs. Q1.1 records the household's primary domestic </w:t>
      </w:r>
      <w:r>
        <w:rPr>
          <w:sz w:val="22"/>
          <w:szCs w:val="22"/>
        </w:rPr>
        <w:lastRenderedPageBreak/>
        <w:t>provision arrangement, incorporating provider, physical source, and delivery mechanism, whereas NFHS-5 classifies the principal drinking-water source. Treating these distributions as directly comparable would therefore impose equivalence across categories not designed to measure the same aspect of household water provision, so this approach was not retained.</w:t>
      </w:r>
    </w:p>
    <w:p w14:paraId="3EA3537F" w14:textId="77777777" w:rsidR="00BA0745" w:rsidRDefault="00000000">
      <w:pPr>
        <w:pBdr>
          <w:bottom w:val="none" w:sz="0" w:space="6" w:color="000000"/>
        </w:pBdr>
        <w:spacing w:before="120" w:after="120"/>
        <w:jc w:val="both"/>
        <w:rPr>
          <w:b/>
          <w:bCs/>
          <w:sz w:val="22"/>
          <w:szCs w:val="22"/>
        </w:rPr>
      </w:pPr>
      <w:r>
        <w:rPr>
          <w:b/>
          <w:bCs/>
          <w:sz w:val="22"/>
          <w:szCs w:val="22"/>
        </w:rPr>
        <w:t>S4.6. Implications for analytical scope</w:t>
      </w:r>
    </w:p>
    <w:p w14:paraId="1AC70C20" w14:textId="77777777" w:rsidR="00BA0745" w:rsidRDefault="00000000">
      <w:pPr>
        <w:pBdr>
          <w:bottom w:val="none" w:sz="0" w:space="6" w:color="000000"/>
        </w:pBdr>
        <w:spacing w:before="120" w:after="120"/>
        <w:jc w:val="both"/>
        <w:rPr>
          <w:sz w:val="22"/>
          <w:szCs w:val="22"/>
        </w:rPr>
      </w:pPr>
      <w:r>
        <w:rPr>
          <w:sz w:val="22"/>
          <w:szCs w:val="22"/>
        </w:rPr>
        <w:t>The combined benchmark and spatial diagnostics show that the study covers heterogeneous household and service environments while also exhibiting expected minor departures from the Tamil Nadu population distribution. Home ownership closely aligned with the recent statewide NFHS-5 benchmark, whereas household-size composition and, in particular, car ownership differed more substantially. Geographic coverage extended across 37 of 38 current districts and across the full rural-to-urban settlement spectrum represented by GHS-SMOD, though recruitment remained strongly concentrated in Salem, Karur, and Namakkal.</w:t>
      </w:r>
    </w:p>
    <w:p w14:paraId="6128EB0F" w14:textId="77777777" w:rsidR="00BA0745" w:rsidRDefault="00000000">
      <w:pPr>
        <w:pBdr>
          <w:bottom w:val="none" w:sz="0" w:space="6" w:color="000000"/>
        </w:pBdr>
        <w:spacing w:before="120" w:after="120"/>
        <w:jc w:val="both"/>
        <w:rPr>
          <w:sz w:val="22"/>
          <w:szCs w:val="22"/>
        </w:rPr>
      </w:pPr>
      <w:r>
        <w:rPr>
          <w:sz w:val="22"/>
          <w:szCs w:val="22"/>
        </w:rPr>
        <w:t>These additional coverage diagnostics support the maximum-variation sampling strategy we adopted by showing that the recruited households span substantial observed variation in household composition, geography, settlement context, and water-provision arrangements, while transparently documenting where the sample differs from statewide population distributions. Together, these diagnostics demonstrate broad observed coverage across the household, geographic, settlement, and water-provision conditions relevant to the study, without implying probability-based representativeness of Tamil Nadu. This distinction is consistent with the study's analytical objective. The WSQS analyses evaluate multidimensional service-quality measurement, heterogeneity in household service experience, and predictive relationships across contrasting service environments; they do not estimate population-weighted prevalence for Tamil Nadu.</w:t>
      </w:r>
    </w:p>
    <w:p w14:paraId="79CE8A91" w14:textId="77777777" w:rsidR="00BA0745" w:rsidRDefault="00000000">
      <w:pPr>
        <w:pBdr>
          <w:bottom w:val="none" w:sz="0" w:space="6" w:color="000000"/>
        </w:pBdr>
        <w:spacing w:before="120" w:after="120"/>
        <w:jc w:val="both"/>
        <w:rPr>
          <w:sz w:val="22"/>
          <w:szCs w:val="22"/>
        </w:rPr>
      </w:pPr>
      <w:r>
        <w:rPr>
          <w:sz w:val="22"/>
          <w:szCs w:val="22"/>
        </w:rPr>
        <w:t>No external benchmark or spatial dataset was used to reweight observations, modify WSQS values, or influence model fitting. The coverage analysis instead provides an independent empirical characterization of the domain over which the study's measurement and modeling results were evaluated and makes explicit the principal dimensions along which the non-probability sample differs from statewide reference populations.</w:t>
      </w:r>
    </w:p>
    <w:p w14:paraId="03A6E101" w14:textId="77777777" w:rsidR="00BA0745" w:rsidRDefault="00BA0745">
      <w:pPr>
        <w:widowControl w:val="0"/>
        <w:pBdr>
          <w:bottom w:val="none" w:sz="0" w:space="6" w:color="000000"/>
        </w:pBdr>
        <w:spacing w:before="120" w:after="120"/>
        <w:jc w:val="both"/>
        <w:rPr>
          <w:b/>
          <w:bCs/>
          <w:sz w:val="22"/>
          <w:szCs w:val="22"/>
        </w:rPr>
      </w:pPr>
    </w:p>
    <w:p w14:paraId="34128E4C" w14:textId="77777777" w:rsidR="00BA0745" w:rsidRDefault="00000000">
      <w:pPr>
        <w:widowControl w:val="0"/>
        <w:pBdr>
          <w:bottom w:val="none" w:sz="0" w:space="6" w:color="000000"/>
        </w:pBdr>
        <w:spacing w:before="120" w:after="120"/>
        <w:jc w:val="both"/>
        <w:rPr>
          <w:b/>
          <w:bCs/>
          <w:sz w:val="22"/>
          <w:szCs w:val="22"/>
        </w:rPr>
      </w:pPr>
      <w:r>
        <w:rPr>
          <w:b/>
          <w:bCs/>
          <w:sz w:val="22"/>
          <w:szCs w:val="22"/>
        </w:rPr>
        <w:t>References used in Supplementary</w:t>
      </w:r>
    </w:p>
    <w:p w14:paraId="46E9D685" w14:textId="77777777" w:rsidR="00BA0745" w:rsidRDefault="00000000">
      <w:pPr>
        <w:widowControl w:val="0"/>
        <w:numPr>
          <w:ilvl w:val="0"/>
          <w:numId w:val="2"/>
        </w:numPr>
        <w:pBdr>
          <w:top w:val="nil"/>
          <w:left w:val="nil"/>
          <w:bottom w:val="none" w:sz="0" w:space="30" w:color="000000"/>
          <w:right w:val="nil"/>
          <w:between w:val="nil"/>
        </w:pBdr>
        <w:spacing w:before="120" w:after="120"/>
        <w:jc w:val="both"/>
        <w:rPr>
          <w:color w:val="000000"/>
          <w:sz w:val="22"/>
          <w:szCs w:val="22"/>
        </w:rPr>
      </w:pPr>
      <w:r>
        <w:rPr>
          <w:color w:val="000000"/>
          <w:sz w:val="22"/>
          <w:szCs w:val="22"/>
        </w:rPr>
        <w:t xml:space="preserve">Office of the Registrar General &amp; Census Commissioner, India. HH-01: Normal households by household size (total), Tamil Nadu – 2011. </w:t>
      </w:r>
      <w:r>
        <w:rPr>
          <w:i/>
          <w:iCs/>
          <w:color w:val="000000"/>
          <w:sz w:val="22"/>
          <w:szCs w:val="22"/>
        </w:rPr>
        <w:t>Census of India 2011 Tables</w:t>
      </w:r>
      <w:r>
        <w:rPr>
          <w:color w:val="000000"/>
          <w:sz w:val="22"/>
          <w:szCs w:val="22"/>
        </w:rPr>
        <w:t xml:space="preserve">, PC11_HH01-33 (2011). </w:t>
      </w:r>
    </w:p>
    <w:p w14:paraId="13D78F26" w14:textId="77777777" w:rsidR="00BA0745" w:rsidRDefault="00000000">
      <w:pPr>
        <w:widowControl w:val="0"/>
        <w:numPr>
          <w:ilvl w:val="0"/>
          <w:numId w:val="2"/>
        </w:numPr>
        <w:pBdr>
          <w:top w:val="nil"/>
          <w:left w:val="nil"/>
          <w:bottom w:val="none" w:sz="0" w:space="30" w:color="000000"/>
          <w:right w:val="nil"/>
          <w:between w:val="nil"/>
        </w:pBdr>
        <w:spacing w:before="120" w:after="120"/>
        <w:jc w:val="both"/>
        <w:rPr>
          <w:color w:val="000000"/>
          <w:sz w:val="22"/>
          <w:szCs w:val="22"/>
        </w:rPr>
      </w:pPr>
      <w:r>
        <w:rPr>
          <w:color w:val="000000"/>
          <w:sz w:val="22"/>
          <w:szCs w:val="22"/>
        </w:rPr>
        <w:t xml:space="preserve">International Institute for Population Sciences (IIPS) &amp; ICF. </w:t>
      </w:r>
      <w:r>
        <w:rPr>
          <w:i/>
          <w:iCs/>
          <w:color w:val="000000"/>
          <w:sz w:val="22"/>
          <w:szCs w:val="22"/>
        </w:rPr>
        <w:t>National Family Health Survey (NFHS-5), 2019–21: Tamil Nadu.</w:t>
      </w:r>
      <w:r>
        <w:rPr>
          <w:color w:val="000000"/>
          <w:sz w:val="22"/>
          <w:szCs w:val="22"/>
        </w:rPr>
        <w:t xml:space="preserve"> International Institute for Population Sciences, Mumbai (2021). </w:t>
      </w:r>
    </w:p>
    <w:p w14:paraId="4F9B6EAF" w14:textId="77777777" w:rsidR="00BA0745" w:rsidRDefault="00000000">
      <w:pPr>
        <w:widowControl w:val="0"/>
        <w:numPr>
          <w:ilvl w:val="0"/>
          <w:numId w:val="2"/>
        </w:numPr>
        <w:pBdr>
          <w:top w:val="nil"/>
          <w:left w:val="nil"/>
          <w:bottom w:val="none" w:sz="0" w:space="30" w:color="000000"/>
          <w:right w:val="nil"/>
          <w:between w:val="nil"/>
        </w:pBdr>
        <w:spacing w:before="120" w:after="120"/>
        <w:jc w:val="both"/>
        <w:rPr>
          <w:color w:val="000000"/>
          <w:sz w:val="22"/>
          <w:szCs w:val="22"/>
        </w:rPr>
      </w:pPr>
      <w:r>
        <w:rPr>
          <w:color w:val="000000"/>
          <w:sz w:val="22"/>
          <w:szCs w:val="22"/>
        </w:rPr>
        <w:t xml:space="preserve">National Statistical Office. </w:t>
      </w:r>
      <w:r>
        <w:rPr>
          <w:i/>
          <w:iCs/>
          <w:color w:val="000000"/>
          <w:sz w:val="22"/>
          <w:szCs w:val="22"/>
        </w:rPr>
        <w:t>Drinking Water, Sanitation, Hygiene and Housing Condition in India: NSS 76th Round, July–December 2018.</w:t>
      </w:r>
      <w:r>
        <w:rPr>
          <w:color w:val="000000"/>
          <w:sz w:val="22"/>
          <w:szCs w:val="22"/>
        </w:rPr>
        <w:t xml:space="preserve"> NSS Report No. 584. Ministry of Statistics and Programme Implementation, Government of India, New Delhi (2019). </w:t>
      </w:r>
    </w:p>
    <w:p w14:paraId="18F20D2A" w14:textId="77777777" w:rsidR="00BA0745" w:rsidRDefault="00000000">
      <w:pPr>
        <w:widowControl w:val="0"/>
        <w:numPr>
          <w:ilvl w:val="0"/>
          <w:numId w:val="2"/>
        </w:numPr>
        <w:pBdr>
          <w:top w:val="nil"/>
          <w:left w:val="nil"/>
          <w:bottom w:val="none" w:sz="0" w:space="30" w:color="000000"/>
          <w:right w:val="nil"/>
          <w:between w:val="nil"/>
        </w:pBdr>
        <w:spacing w:before="120" w:after="120"/>
        <w:jc w:val="both"/>
        <w:rPr>
          <w:color w:val="000000"/>
          <w:sz w:val="22"/>
          <w:szCs w:val="22"/>
        </w:rPr>
      </w:pPr>
      <w:r>
        <w:rPr>
          <w:color w:val="000000"/>
          <w:sz w:val="22"/>
          <w:szCs w:val="22"/>
        </w:rPr>
        <w:t xml:space="preserve">Department of Posts, Government of India. </w:t>
      </w:r>
      <w:r>
        <w:rPr>
          <w:i/>
          <w:iCs/>
          <w:color w:val="000000"/>
          <w:sz w:val="22"/>
          <w:szCs w:val="22"/>
        </w:rPr>
        <w:t>All India Pincode Directory till last month.</w:t>
      </w:r>
      <w:r>
        <w:rPr>
          <w:color w:val="000000"/>
          <w:sz w:val="22"/>
          <w:szCs w:val="22"/>
        </w:rPr>
        <w:t xml:space="preserve"> Open Government Data Platform India (2026). </w:t>
      </w:r>
    </w:p>
    <w:p w14:paraId="18EFB2B7" w14:textId="77777777" w:rsidR="00BA0745" w:rsidRDefault="00000000">
      <w:pPr>
        <w:widowControl w:val="0"/>
        <w:numPr>
          <w:ilvl w:val="0"/>
          <w:numId w:val="2"/>
        </w:numPr>
        <w:pBdr>
          <w:top w:val="nil"/>
          <w:left w:val="nil"/>
          <w:bottom w:val="none" w:sz="0" w:space="30" w:color="000000"/>
          <w:right w:val="nil"/>
          <w:between w:val="nil"/>
        </w:pBdr>
        <w:spacing w:before="120" w:after="120"/>
        <w:jc w:val="both"/>
        <w:rPr>
          <w:color w:val="000000"/>
          <w:sz w:val="22"/>
          <w:szCs w:val="22"/>
        </w:rPr>
      </w:pPr>
      <w:r>
        <w:rPr>
          <w:color w:val="000000"/>
          <w:sz w:val="22"/>
          <w:szCs w:val="22"/>
        </w:rPr>
        <w:t xml:space="preserve">Government of Tamil Nadu. </w:t>
      </w:r>
      <w:r>
        <w:rPr>
          <w:i/>
          <w:iCs/>
          <w:color w:val="000000"/>
          <w:sz w:val="22"/>
          <w:szCs w:val="22"/>
        </w:rPr>
        <w:t>TN Districts.</w:t>
      </w:r>
      <w:r>
        <w:rPr>
          <w:color w:val="000000"/>
          <w:sz w:val="22"/>
          <w:szCs w:val="22"/>
        </w:rPr>
        <w:t xml:space="preserve"> Government of Tamil Nadu (2026). </w:t>
      </w:r>
    </w:p>
    <w:p w14:paraId="3EA7E1A2" w14:textId="77777777" w:rsidR="00BA0745" w:rsidRDefault="00000000">
      <w:pPr>
        <w:widowControl w:val="0"/>
        <w:numPr>
          <w:ilvl w:val="0"/>
          <w:numId w:val="2"/>
        </w:numPr>
        <w:pBdr>
          <w:top w:val="nil"/>
          <w:left w:val="nil"/>
          <w:bottom w:val="none" w:sz="0" w:space="30" w:color="000000"/>
          <w:right w:val="nil"/>
          <w:between w:val="nil"/>
        </w:pBdr>
        <w:spacing w:before="120" w:after="120"/>
        <w:jc w:val="both"/>
        <w:rPr>
          <w:color w:val="000000"/>
          <w:sz w:val="22"/>
          <w:szCs w:val="22"/>
        </w:rPr>
      </w:pPr>
      <w:r>
        <w:rPr>
          <w:color w:val="000000"/>
          <w:sz w:val="22"/>
          <w:szCs w:val="22"/>
        </w:rPr>
        <w:t xml:space="preserve">Gibbs, A. L. &amp; Su, F. E. On choosing and bounding probability metrics. </w:t>
      </w:r>
      <w:r>
        <w:rPr>
          <w:i/>
          <w:iCs/>
          <w:color w:val="000000"/>
          <w:sz w:val="22"/>
          <w:szCs w:val="22"/>
        </w:rPr>
        <w:t>Int. Stat. Rev.</w:t>
      </w:r>
      <w:r>
        <w:rPr>
          <w:color w:val="000000"/>
          <w:sz w:val="22"/>
          <w:szCs w:val="22"/>
        </w:rPr>
        <w:t xml:space="preserve"> 70, 419–435 (2002). </w:t>
      </w:r>
    </w:p>
    <w:p w14:paraId="4987E4CF" w14:textId="77777777" w:rsidR="00BA0745" w:rsidRDefault="00000000">
      <w:pPr>
        <w:widowControl w:val="0"/>
        <w:numPr>
          <w:ilvl w:val="0"/>
          <w:numId w:val="2"/>
        </w:numPr>
        <w:pBdr>
          <w:top w:val="nil"/>
          <w:left w:val="nil"/>
          <w:bottom w:val="none" w:sz="0" w:space="30" w:color="000000"/>
          <w:right w:val="nil"/>
          <w:between w:val="nil"/>
        </w:pBdr>
        <w:spacing w:before="120" w:after="120"/>
        <w:jc w:val="both"/>
        <w:rPr>
          <w:color w:val="000000"/>
          <w:sz w:val="22"/>
          <w:szCs w:val="22"/>
        </w:rPr>
      </w:pPr>
      <w:r>
        <w:rPr>
          <w:color w:val="000000"/>
          <w:sz w:val="22"/>
          <w:szCs w:val="22"/>
        </w:rPr>
        <w:t xml:space="preserve">Hill, M. O. Diversity and evenness: a unifying notation and its consequences. </w:t>
      </w:r>
      <w:r>
        <w:rPr>
          <w:i/>
          <w:iCs/>
          <w:color w:val="000000"/>
          <w:sz w:val="22"/>
          <w:szCs w:val="22"/>
        </w:rPr>
        <w:t>Ecology</w:t>
      </w:r>
      <w:r>
        <w:rPr>
          <w:color w:val="000000"/>
          <w:sz w:val="22"/>
          <w:szCs w:val="22"/>
        </w:rPr>
        <w:t xml:space="preserve"> 54, 427–432 (1973). </w:t>
      </w:r>
    </w:p>
    <w:p w14:paraId="7D61B4AF" w14:textId="77777777" w:rsidR="00BA0745" w:rsidRDefault="00000000">
      <w:pPr>
        <w:widowControl w:val="0"/>
        <w:numPr>
          <w:ilvl w:val="0"/>
          <w:numId w:val="2"/>
        </w:numPr>
        <w:pBdr>
          <w:top w:val="nil"/>
          <w:left w:val="nil"/>
          <w:bottom w:val="none" w:sz="0" w:space="30" w:color="000000"/>
          <w:right w:val="nil"/>
          <w:between w:val="nil"/>
        </w:pBdr>
        <w:spacing w:before="120" w:after="120"/>
        <w:jc w:val="both"/>
        <w:rPr>
          <w:color w:val="000000"/>
          <w:sz w:val="22"/>
          <w:szCs w:val="22"/>
        </w:rPr>
      </w:pPr>
      <w:r>
        <w:rPr>
          <w:color w:val="000000"/>
          <w:sz w:val="22"/>
          <w:szCs w:val="22"/>
        </w:rPr>
        <w:t xml:space="preserve">Schiavina, M., Melchiorri, M. &amp; Pesaresi, M. </w:t>
      </w:r>
      <w:r>
        <w:rPr>
          <w:i/>
          <w:iCs/>
          <w:color w:val="000000"/>
          <w:sz w:val="22"/>
          <w:szCs w:val="22"/>
        </w:rPr>
        <w:t>GHS-SMOD R2023A – GHS settlement layers, application of the Degree of Urbanisation methodology (stage I) to GHS-POP R2023A and GHS-</w:t>
      </w:r>
      <w:r>
        <w:rPr>
          <w:i/>
          <w:iCs/>
          <w:color w:val="000000"/>
          <w:sz w:val="22"/>
          <w:szCs w:val="22"/>
        </w:rPr>
        <w:lastRenderedPageBreak/>
        <w:t>BUILT-S R2023A, multitemporal (1975–2030).</w:t>
      </w:r>
      <w:r>
        <w:rPr>
          <w:color w:val="000000"/>
          <w:sz w:val="22"/>
          <w:szCs w:val="22"/>
        </w:rPr>
        <w:t xml:space="preserve"> European Commission, Joint Research Centre (2023). </w:t>
      </w:r>
    </w:p>
    <w:p w14:paraId="285D9576" w14:textId="77777777" w:rsidR="00BA0745" w:rsidRDefault="00000000">
      <w:pPr>
        <w:widowControl w:val="0"/>
        <w:numPr>
          <w:ilvl w:val="0"/>
          <w:numId w:val="2"/>
        </w:numPr>
        <w:pBdr>
          <w:top w:val="nil"/>
          <w:left w:val="nil"/>
          <w:bottom w:val="none" w:sz="0" w:space="30" w:color="000000"/>
          <w:right w:val="nil"/>
          <w:between w:val="nil"/>
        </w:pBdr>
        <w:spacing w:before="120" w:after="120"/>
        <w:jc w:val="both"/>
        <w:rPr>
          <w:color w:val="000000"/>
          <w:sz w:val="22"/>
          <w:szCs w:val="22"/>
        </w:rPr>
      </w:pPr>
      <w:r>
        <w:rPr>
          <w:color w:val="000000"/>
          <w:sz w:val="22"/>
          <w:szCs w:val="22"/>
        </w:rPr>
        <w:t xml:space="preserve">Schiavina, M., Freire, S., Carioli, A. &amp; MacManus, K. </w:t>
      </w:r>
      <w:r>
        <w:rPr>
          <w:i/>
          <w:iCs/>
          <w:color w:val="000000"/>
          <w:sz w:val="22"/>
          <w:szCs w:val="22"/>
        </w:rPr>
        <w:t>GHS-POP R2023A – GHS population grid multitemporal (1975–2030).</w:t>
      </w:r>
      <w:r>
        <w:rPr>
          <w:color w:val="000000"/>
          <w:sz w:val="22"/>
          <w:szCs w:val="22"/>
        </w:rPr>
        <w:t xml:space="preserve"> European Commission, Joint Research Centre (2023). </w:t>
      </w:r>
    </w:p>
    <w:p w14:paraId="293B9B52" w14:textId="77777777" w:rsidR="00BA0745" w:rsidRDefault="00000000">
      <w:pPr>
        <w:widowControl w:val="0"/>
        <w:numPr>
          <w:ilvl w:val="0"/>
          <w:numId w:val="2"/>
        </w:numPr>
        <w:pBdr>
          <w:top w:val="nil"/>
          <w:left w:val="nil"/>
          <w:bottom w:val="none" w:sz="0" w:space="30" w:color="000000"/>
          <w:right w:val="nil"/>
          <w:between w:val="nil"/>
        </w:pBdr>
        <w:spacing w:before="120" w:after="120"/>
        <w:jc w:val="both"/>
        <w:rPr>
          <w:color w:val="000000"/>
          <w:sz w:val="22"/>
          <w:szCs w:val="22"/>
        </w:rPr>
      </w:pPr>
      <w:r>
        <w:rPr>
          <w:color w:val="000000"/>
          <w:sz w:val="22"/>
          <w:szCs w:val="22"/>
        </w:rPr>
        <w:t xml:space="preserve">European Commission &amp; Statistical Office of the European Union. </w:t>
      </w:r>
      <w:r>
        <w:rPr>
          <w:i/>
          <w:iCs/>
          <w:color w:val="000000"/>
          <w:sz w:val="22"/>
          <w:szCs w:val="22"/>
        </w:rPr>
        <w:t>Applying the Degree of Urbanisation: A Methodological Manual to Define Cities, Towns and Rural Areas for International Comparisons, 2021 Edition.</w:t>
      </w:r>
      <w:r>
        <w:rPr>
          <w:color w:val="000000"/>
          <w:sz w:val="22"/>
          <w:szCs w:val="22"/>
        </w:rPr>
        <w:t xml:space="preserve"> Publications Office of the European Union, Luxembourg (2021). </w:t>
      </w:r>
    </w:p>
    <w:p w14:paraId="6EC26F41" w14:textId="77777777" w:rsidR="00BA0745" w:rsidRDefault="00000000">
      <w:pPr>
        <w:widowControl w:val="0"/>
        <w:numPr>
          <w:ilvl w:val="0"/>
          <w:numId w:val="2"/>
        </w:numPr>
        <w:pBdr>
          <w:top w:val="nil"/>
          <w:left w:val="nil"/>
          <w:bottom w:val="none" w:sz="0" w:space="30" w:color="000000"/>
          <w:right w:val="nil"/>
          <w:between w:val="nil"/>
        </w:pBdr>
        <w:spacing w:before="120" w:after="120"/>
        <w:jc w:val="both"/>
        <w:rPr>
          <w:color w:val="000000"/>
          <w:sz w:val="22"/>
          <w:szCs w:val="22"/>
        </w:rPr>
      </w:pPr>
      <w:r>
        <w:rPr>
          <w:color w:val="000000"/>
          <w:sz w:val="22"/>
          <w:szCs w:val="22"/>
        </w:rPr>
        <w:t xml:space="preserve">Pesaresi, M. et al. Advances on the Global Human Settlement Layer by joint assessment of Earth Observation and population survey data. </w:t>
      </w:r>
      <w:r>
        <w:rPr>
          <w:i/>
          <w:iCs/>
          <w:color w:val="000000"/>
          <w:sz w:val="22"/>
          <w:szCs w:val="22"/>
        </w:rPr>
        <w:t>Int. J. Digit. Earth</w:t>
      </w:r>
      <w:r>
        <w:rPr>
          <w:color w:val="000000"/>
          <w:sz w:val="22"/>
          <w:szCs w:val="22"/>
        </w:rPr>
        <w:t xml:space="preserve"> 17, 2390454 (2024).</w:t>
      </w:r>
    </w:p>
    <w:sectPr w:rsidR="00BA074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B316D0C4-0DFC-064C-B7E6-A24EB7318670}"/>
    <w:embedBold r:id="rId2" w:fontKey="{11C1122B-F7E4-E640-819C-786F688CAF4A}"/>
    <w:embedItalic r:id="rId3" w:fontKey="{EE05421B-4E2A-0B43-A676-80B171785968}"/>
  </w:font>
  <w:font w:name="Play">
    <w:altName w:val="Calibri"/>
    <w:panose1 w:val="020B0604020202020204"/>
    <w:charset w:val="00"/>
    <w:family w:val="auto"/>
    <w:pitch w:val="default"/>
    <w:embedRegular r:id="rId4" w:fontKey="{13C0C83C-233F-BD4E-8560-360192855A51}"/>
  </w:font>
  <w:font w:name="Aptos Display">
    <w:panose1 w:val="020B0004020202020204"/>
    <w:charset w:val="00"/>
    <w:family w:val="swiss"/>
    <w:pitch w:val="variable"/>
    <w:sig w:usb0="20000287" w:usb1="00000003" w:usb2="00000000" w:usb3="00000000" w:csb0="0000019F" w:csb1="00000000"/>
    <w:embedRegular r:id="rId5" w:fontKey="{045FE2DD-8A7C-1242-AD29-41E58F32A9B3}"/>
  </w:font>
  <w:font w:name="Courier New">
    <w:panose1 w:val="02070309020205020404"/>
    <w:charset w:val="00"/>
    <w:family w:val="modern"/>
    <w:pitch w:val="fixed"/>
    <w:sig w:usb0="E0002EFF" w:usb1="C0007843" w:usb2="00000009" w:usb3="00000000" w:csb0="000001FF" w:csb1="00000000"/>
    <w:embedRegular r:id="rId6" w:fontKey="{0C72BFF6-642D-E443-99DD-64A5EDBDF4B4}"/>
  </w:font>
  <w:font w:name="Arial">
    <w:panose1 w:val="020B0604020202020204"/>
    <w:charset w:val="00"/>
    <w:family w:val="swiss"/>
    <w:pitch w:val="variable"/>
    <w:sig w:usb0="E0002EFF" w:usb1="C000785B" w:usb2="00000009" w:usb3="00000000" w:csb0="000001FF" w:csb1="00000000"/>
    <w:embedRegular r:id="rId7" w:fontKey="{C6F36D04-7865-454E-9015-0CD8595A137E}"/>
  </w:font>
  <w:font w:name="Cardo">
    <w:altName w:val="Calibri"/>
    <w:charset w:val="00"/>
    <w:family w:val="auto"/>
    <w:pitch w:val="default"/>
    <w:embedRegular r:id="rId8" w:fontKey="{3AE5B76F-C50F-BC42-BCF0-06EC3F4BD79A}"/>
  </w:font>
  <w:font w:name="Gungsuh">
    <w:panose1 w:val="02030600000101010101"/>
    <w:charset w:val="81"/>
    <w:family w:val="roman"/>
    <w:pitch w:val="variable"/>
    <w:sig w:usb0="B00002AF" w:usb1="69D77CFB" w:usb2="00000030" w:usb3="00000000" w:csb0="0008009F" w:csb1="00000000"/>
    <w:embedRegular r:id="rId9" w:subsetted="1" w:fontKey="{63977942-9623-9F44-BDBA-400BE7747ACC}"/>
  </w:font>
  <w:font w:name="Cambria Math">
    <w:panose1 w:val="02040503050406030204"/>
    <w:charset w:val="00"/>
    <w:family w:val="roman"/>
    <w:pitch w:val="variable"/>
    <w:sig w:usb0="E00002FF" w:usb1="420024FF" w:usb2="00000000" w:usb3="00000000" w:csb0="0000019F" w:csb1="00000000"/>
    <w:embedRegular r:id="rId10" w:fontKey="{1D57BF2D-5806-5F46-A98C-07BCFA392952}"/>
    <w:embedItalic r:id="rId11" w:fontKey="{4317AA05-C944-8546-B859-602F2880586C}"/>
  </w:font>
  <w:font w:name="Quattrocento Sans">
    <w:panose1 w:val="020B0502050000020003"/>
    <w:charset w:val="00"/>
    <w:family w:val="swiss"/>
    <w:pitch w:val="variable"/>
    <w:sig w:usb0="800000BF" w:usb1="4000005B" w:usb2="00000000" w:usb3="00000000" w:csb0="00000001" w:csb1="00000000"/>
  </w:font>
  <w:font w:name="Aptos">
    <w:panose1 w:val="020B0004020202020204"/>
    <w:charset w:val="00"/>
    <w:family w:val="swiss"/>
    <w:pitch w:val="variable"/>
    <w:sig w:usb0="20000287" w:usb1="00000003" w:usb2="00000000" w:usb3="00000000" w:csb0="0000019F" w:csb1="00000000"/>
    <w:embedRegular r:id="rId12" w:fontKey="{A4E143B3-560E-6C45-A269-9F7DDECA150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2D93861"/>
    <w:multiLevelType w:val="multilevel"/>
    <w:tmpl w:val="3C46C2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E0779BE"/>
    <w:multiLevelType w:val="multilevel"/>
    <w:tmpl w:val="9EAA75F6"/>
    <w:lvl w:ilvl="0">
      <w:start w:val="1"/>
      <w:numFmt w:val="decimal"/>
      <w:lvlText w:val="%1."/>
      <w:lvlJc w:val="left"/>
      <w:pPr>
        <w:ind w:left="630" w:hanging="360"/>
      </w:pPr>
    </w:lvl>
    <w:lvl w:ilvl="1">
      <w:start w:val="1"/>
      <w:numFmt w:val="decimal"/>
      <w:lvlText w:val="%2."/>
      <w:lvlJc w:val="left"/>
      <w:pPr>
        <w:ind w:left="1350" w:hanging="360"/>
      </w:pPr>
    </w:lvl>
    <w:lvl w:ilvl="2">
      <w:start w:val="1"/>
      <w:numFmt w:val="decimal"/>
      <w:lvlText w:val="%3."/>
      <w:lvlJc w:val="left"/>
      <w:pPr>
        <w:ind w:left="2070" w:hanging="360"/>
      </w:pPr>
    </w:lvl>
    <w:lvl w:ilvl="3">
      <w:start w:val="1"/>
      <w:numFmt w:val="decimal"/>
      <w:lvlText w:val="%4."/>
      <w:lvlJc w:val="left"/>
      <w:pPr>
        <w:ind w:left="2790" w:hanging="360"/>
      </w:pPr>
    </w:lvl>
    <w:lvl w:ilvl="4">
      <w:start w:val="1"/>
      <w:numFmt w:val="decimal"/>
      <w:lvlText w:val="%5."/>
      <w:lvlJc w:val="left"/>
      <w:pPr>
        <w:ind w:left="3510" w:hanging="360"/>
      </w:pPr>
    </w:lvl>
    <w:lvl w:ilvl="5">
      <w:start w:val="1"/>
      <w:numFmt w:val="decimal"/>
      <w:lvlText w:val="%6."/>
      <w:lvlJc w:val="left"/>
      <w:pPr>
        <w:ind w:left="4230" w:hanging="360"/>
      </w:pPr>
    </w:lvl>
    <w:lvl w:ilvl="6">
      <w:start w:val="1"/>
      <w:numFmt w:val="decimal"/>
      <w:lvlText w:val="%7."/>
      <w:lvlJc w:val="left"/>
      <w:pPr>
        <w:ind w:left="4950" w:hanging="360"/>
      </w:pPr>
    </w:lvl>
    <w:lvl w:ilvl="7">
      <w:start w:val="1"/>
      <w:numFmt w:val="decimal"/>
      <w:lvlText w:val="%8."/>
      <w:lvlJc w:val="left"/>
      <w:pPr>
        <w:ind w:left="5670" w:hanging="360"/>
      </w:pPr>
    </w:lvl>
    <w:lvl w:ilvl="8">
      <w:start w:val="1"/>
      <w:numFmt w:val="decimal"/>
      <w:lvlText w:val="%9."/>
      <w:lvlJc w:val="left"/>
      <w:pPr>
        <w:ind w:left="6390" w:hanging="360"/>
      </w:pPr>
    </w:lvl>
  </w:abstractNum>
  <w:num w:numId="1" w16cid:durableId="802504218">
    <w:abstractNumId w:val="1"/>
  </w:num>
  <w:num w:numId="2" w16cid:durableId="127613688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745"/>
    <w:rsid w:val="00500622"/>
    <w:rsid w:val="006E47D4"/>
    <w:rsid w:val="006E5445"/>
    <w:rsid w:val="00BA0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6646FD"/>
  <w15:docId w15:val="{3409C429-8A8B-724D-9D98-6377F3036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BE0D0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0D0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0D0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BE0D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E0D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E0D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E0D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0D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0D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0D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0D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0D06"/>
    <w:rPr>
      <w:rFonts w:eastAsiaTheme="majorEastAsia" w:cstheme="majorBidi"/>
      <w:color w:val="272727" w:themeColor="text1" w:themeTint="D8"/>
    </w:rPr>
  </w:style>
  <w:style w:type="character" w:customStyle="1" w:styleId="TitleChar">
    <w:name w:val="Title Char"/>
    <w:basedOn w:val="DefaultParagraphFont"/>
    <w:link w:val="Title"/>
    <w:uiPriority w:val="10"/>
    <w:rsid w:val="00BE0D06"/>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BE0D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0D06"/>
    <w:pPr>
      <w:spacing w:before="160"/>
      <w:jc w:val="center"/>
    </w:pPr>
    <w:rPr>
      <w:i/>
      <w:iCs/>
      <w:color w:val="404040" w:themeColor="text1" w:themeTint="BF"/>
    </w:rPr>
  </w:style>
  <w:style w:type="character" w:customStyle="1" w:styleId="QuoteChar">
    <w:name w:val="Quote Char"/>
    <w:basedOn w:val="DefaultParagraphFont"/>
    <w:link w:val="Quote"/>
    <w:uiPriority w:val="29"/>
    <w:rsid w:val="00BE0D06"/>
    <w:rPr>
      <w:i/>
      <w:iCs/>
      <w:color w:val="404040" w:themeColor="text1" w:themeTint="BF"/>
    </w:rPr>
  </w:style>
  <w:style w:type="paragraph" w:styleId="ListParagraph">
    <w:name w:val="List Paragraph"/>
    <w:basedOn w:val="Normal"/>
    <w:uiPriority w:val="34"/>
    <w:qFormat/>
    <w:rsid w:val="00BE0D06"/>
    <w:pPr>
      <w:ind w:left="720"/>
      <w:contextualSpacing/>
    </w:pPr>
  </w:style>
  <w:style w:type="character" w:styleId="IntenseEmphasis">
    <w:name w:val="Intense Emphasis"/>
    <w:basedOn w:val="DefaultParagraphFont"/>
    <w:uiPriority w:val="21"/>
    <w:qFormat/>
    <w:rsid w:val="00BE0D06"/>
    <w:rPr>
      <w:i/>
      <w:iCs/>
      <w:color w:val="0F4761" w:themeColor="accent1" w:themeShade="BF"/>
    </w:rPr>
  </w:style>
  <w:style w:type="paragraph" w:styleId="IntenseQuote">
    <w:name w:val="Intense Quote"/>
    <w:basedOn w:val="Normal"/>
    <w:next w:val="Normal"/>
    <w:link w:val="IntenseQuoteChar"/>
    <w:uiPriority w:val="30"/>
    <w:qFormat/>
    <w:rsid w:val="00BE0D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0D06"/>
    <w:rPr>
      <w:i/>
      <w:iCs/>
      <w:color w:val="0F4761" w:themeColor="accent1" w:themeShade="BF"/>
    </w:rPr>
  </w:style>
  <w:style w:type="character" w:styleId="IntenseReference">
    <w:name w:val="Intense Reference"/>
    <w:basedOn w:val="DefaultParagraphFont"/>
    <w:uiPriority w:val="32"/>
    <w:qFormat/>
    <w:rsid w:val="00BE0D06"/>
    <w:rPr>
      <w:b/>
      <w:bCs/>
      <w:smallCaps/>
      <w:color w:val="0F4761" w:themeColor="accent1" w:themeShade="BF"/>
      <w:spacing w:val="5"/>
    </w:rPr>
  </w:style>
  <w:style w:type="paragraph" w:styleId="NormalWeb">
    <w:name w:val="Normal (Web)"/>
    <w:basedOn w:val="Normal"/>
    <w:uiPriority w:val="99"/>
    <w:unhideWhenUsed/>
    <w:rsid w:val="004A67D4"/>
    <w:pPr>
      <w:spacing w:before="100" w:beforeAutospacing="1" w:after="100" w:afterAutospacing="1"/>
    </w:pPr>
  </w:style>
  <w:style w:type="character" w:styleId="Strong">
    <w:name w:val="Strong"/>
    <w:basedOn w:val="DefaultParagraphFont"/>
    <w:uiPriority w:val="22"/>
    <w:qFormat/>
    <w:rsid w:val="004A67D4"/>
    <w:rPr>
      <w:b/>
      <w:bCs/>
    </w:rPr>
  </w:style>
  <w:style w:type="character" w:styleId="HTMLCode">
    <w:name w:val="HTML Code"/>
    <w:basedOn w:val="DefaultParagraphFont"/>
    <w:uiPriority w:val="99"/>
    <w:semiHidden/>
    <w:unhideWhenUsed/>
    <w:rsid w:val="00013319"/>
    <w:rPr>
      <w:rFonts w:ascii="Courier New" w:eastAsia="Times New Roman" w:hAnsi="Courier New" w:cs="Courier New"/>
      <w:sz w:val="20"/>
      <w:szCs w:val="20"/>
    </w:rPr>
  </w:style>
  <w:style w:type="paragraph" w:customStyle="1" w:styleId="msonormal0">
    <w:name w:val="msonormal"/>
    <w:basedOn w:val="Normal"/>
    <w:rsid w:val="00674277"/>
    <w:pPr>
      <w:spacing w:before="100" w:beforeAutospacing="1" w:after="100" w:afterAutospacing="1"/>
    </w:pPr>
  </w:style>
  <w:style w:type="character" w:customStyle="1" w:styleId="pdq2pgselectionanchor">
    <w:name w:val="pdq2pg_selectionanchor"/>
    <w:basedOn w:val="DefaultParagraphFont"/>
    <w:rsid w:val="00674277"/>
  </w:style>
  <w:style w:type="character" w:customStyle="1" w:styleId="katex-display">
    <w:name w:val="katex-display"/>
    <w:basedOn w:val="DefaultParagraphFont"/>
    <w:rsid w:val="00674277"/>
  </w:style>
  <w:style w:type="character" w:customStyle="1" w:styleId="katex">
    <w:name w:val="katex"/>
    <w:basedOn w:val="DefaultParagraphFont"/>
    <w:rsid w:val="00674277"/>
  </w:style>
  <w:style w:type="character" w:customStyle="1" w:styleId="katex-mathml">
    <w:name w:val="katex-mathml"/>
    <w:basedOn w:val="DefaultParagraphFont"/>
    <w:rsid w:val="00674277"/>
  </w:style>
  <w:style w:type="character" w:customStyle="1" w:styleId="katex-html">
    <w:name w:val="katex-html"/>
    <w:basedOn w:val="DefaultParagraphFont"/>
    <w:rsid w:val="00674277"/>
  </w:style>
  <w:style w:type="character" w:customStyle="1" w:styleId="base">
    <w:name w:val="base"/>
    <w:basedOn w:val="DefaultParagraphFont"/>
    <w:rsid w:val="00674277"/>
  </w:style>
  <w:style w:type="character" w:customStyle="1" w:styleId="strut">
    <w:name w:val="strut"/>
    <w:basedOn w:val="DefaultParagraphFont"/>
    <w:rsid w:val="00674277"/>
  </w:style>
  <w:style w:type="character" w:customStyle="1" w:styleId="mord">
    <w:name w:val="mord"/>
    <w:basedOn w:val="DefaultParagraphFont"/>
    <w:rsid w:val="00674277"/>
  </w:style>
  <w:style w:type="character" w:customStyle="1" w:styleId="mspace">
    <w:name w:val="mspace"/>
    <w:basedOn w:val="DefaultParagraphFont"/>
    <w:rsid w:val="00674277"/>
  </w:style>
  <w:style w:type="character" w:customStyle="1" w:styleId="mrel">
    <w:name w:val="mrel"/>
    <w:basedOn w:val="DefaultParagraphFont"/>
    <w:rsid w:val="00674277"/>
  </w:style>
  <w:style w:type="character" w:customStyle="1" w:styleId="msupsub">
    <w:name w:val="msupsub"/>
    <w:basedOn w:val="DefaultParagraphFont"/>
    <w:rsid w:val="00674277"/>
  </w:style>
  <w:style w:type="character" w:customStyle="1" w:styleId="vlist-t">
    <w:name w:val="vlist-t"/>
    <w:basedOn w:val="DefaultParagraphFont"/>
    <w:rsid w:val="00674277"/>
  </w:style>
  <w:style w:type="character" w:customStyle="1" w:styleId="vlist-r">
    <w:name w:val="vlist-r"/>
    <w:basedOn w:val="DefaultParagraphFont"/>
    <w:rsid w:val="00674277"/>
  </w:style>
  <w:style w:type="character" w:customStyle="1" w:styleId="vlist">
    <w:name w:val="vlist"/>
    <w:basedOn w:val="DefaultParagraphFont"/>
    <w:rsid w:val="00674277"/>
  </w:style>
  <w:style w:type="character" w:customStyle="1" w:styleId="pstrut">
    <w:name w:val="pstrut"/>
    <w:basedOn w:val="DefaultParagraphFont"/>
    <w:rsid w:val="00674277"/>
  </w:style>
  <w:style w:type="character" w:customStyle="1" w:styleId="sizing">
    <w:name w:val="sizing"/>
    <w:basedOn w:val="DefaultParagraphFont"/>
    <w:rsid w:val="00674277"/>
  </w:style>
  <w:style w:type="character" w:customStyle="1" w:styleId="vlist-s">
    <w:name w:val="vlist-s"/>
    <w:basedOn w:val="DefaultParagraphFont"/>
    <w:rsid w:val="00674277"/>
  </w:style>
  <w:style w:type="character" w:customStyle="1" w:styleId="mopen">
    <w:name w:val="mopen"/>
    <w:basedOn w:val="DefaultParagraphFont"/>
    <w:rsid w:val="00674277"/>
  </w:style>
  <w:style w:type="character" w:customStyle="1" w:styleId="mfrac">
    <w:name w:val="mfrac"/>
    <w:basedOn w:val="DefaultParagraphFont"/>
    <w:rsid w:val="00674277"/>
  </w:style>
  <w:style w:type="character" w:customStyle="1" w:styleId="frac-line">
    <w:name w:val="frac-line"/>
    <w:basedOn w:val="DefaultParagraphFont"/>
    <w:rsid w:val="00674277"/>
  </w:style>
  <w:style w:type="character" w:customStyle="1" w:styleId="mbin">
    <w:name w:val="mbin"/>
    <w:basedOn w:val="DefaultParagraphFont"/>
    <w:rsid w:val="00674277"/>
  </w:style>
  <w:style w:type="character" w:customStyle="1" w:styleId="mclose">
    <w:name w:val="mclose"/>
    <w:basedOn w:val="DefaultParagraphFont"/>
    <w:rsid w:val="00674277"/>
  </w:style>
  <w:style w:type="character" w:customStyle="1" w:styleId="mop">
    <w:name w:val="mop"/>
    <w:basedOn w:val="DefaultParagraphFont"/>
    <w:rsid w:val="00674277"/>
  </w:style>
  <w:style w:type="character" w:customStyle="1" w:styleId="accent-body">
    <w:name w:val="accent-body"/>
    <w:basedOn w:val="DefaultParagraphFont"/>
    <w:rsid w:val="00674277"/>
  </w:style>
  <w:style w:type="character" w:customStyle="1" w:styleId="mpunct">
    <w:name w:val="mpunct"/>
    <w:basedOn w:val="DefaultParagraphFont"/>
    <w:rsid w:val="00674277"/>
  </w:style>
  <w:style w:type="character" w:styleId="Emphasis">
    <w:name w:val="Emphasis"/>
    <w:basedOn w:val="DefaultParagraphFont"/>
    <w:uiPriority w:val="20"/>
    <w:qFormat/>
    <w:rsid w:val="00674277"/>
    <w:rPr>
      <w:i/>
      <w:iCs/>
    </w:rPr>
  </w:style>
  <w:style w:type="paragraph" w:styleId="z-TopofForm">
    <w:name w:val="HTML Top of Form"/>
    <w:basedOn w:val="Normal"/>
    <w:next w:val="Normal"/>
    <w:link w:val="z-TopofFormChar"/>
    <w:hidden/>
    <w:uiPriority w:val="99"/>
    <w:semiHidden/>
    <w:unhideWhenUsed/>
    <w:rsid w:val="00A9623D"/>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A9623D"/>
    <w:rPr>
      <w:rFonts w:ascii="Arial" w:eastAsia="Times New Roman" w:hAnsi="Arial" w:cs="Arial"/>
      <w:vanish/>
      <w:kern w:val="0"/>
      <w:sz w:val="16"/>
      <w:szCs w:val="16"/>
    </w:rPr>
  </w:style>
  <w:style w:type="character" w:customStyle="1" w:styleId="flex">
    <w:name w:val="flex"/>
    <w:basedOn w:val="DefaultParagraphFont"/>
    <w:rsid w:val="00A9623D"/>
  </w:style>
  <w:style w:type="paragraph" w:customStyle="1" w:styleId="placeholder">
    <w:name w:val="placeholder"/>
    <w:basedOn w:val="Normal"/>
    <w:rsid w:val="00A9623D"/>
    <w:pPr>
      <w:spacing w:before="100" w:beforeAutospacing="1" w:after="100" w:afterAutospacing="1"/>
    </w:pPr>
  </w:style>
  <w:style w:type="paragraph" w:styleId="z-BottomofForm">
    <w:name w:val="HTML Bottom of Form"/>
    <w:basedOn w:val="Normal"/>
    <w:next w:val="Normal"/>
    <w:link w:val="z-BottomofFormChar"/>
    <w:hidden/>
    <w:uiPriority w:val="99"/>
    <w:semiHidden/>
    <w:unhideWhenUsed/>
    <w:rsid w:val="00A9623D"/>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A9623D"/>
    <w:rPr>
      <w:rFonts w:ascii="Arial" w:eastAsia="Times New Roman" w:hAnsi="Arial" w:cs="Arial"/>
      <w:vanish/>
      <w:kern w:val="0"/>
      <w:sz w:val="16"/>
      <w:szCs w:val="16"/>
    </w:rPr>
  </w:style>
  <w:style w:type="table" w:styleId="TableGrid">
    <w:name w:val="Table Grid"/>
    <w:basedOn w:val="TableNormal"/>
    <w:uiPriority w:val="39"/>
    <w:rsid w:val="00DE3B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table" w:customStyle="1" w:styleId="a9">
    <w:basedOn w:val="TableNormal"/>
    <w:tblPr>
      <w:tblStyleRowBandSize w:val="1"/>
      <w:tblStyleColBandSize w:val="1"/>
      <w:tblCellMar>
        <w:top w:w="15" w:type="dxa"/>
        <w:left w:w="15" w:type="dxa"/>
        <w:bottom w:w="15" w:type="dxa"/>
        <w:right w:w="15" w:type="dxa"/>
      </w:tblCellMar>
    </w:tblPr>
  </w:style>
  <w:style w:type="table" w:customStyle="1" w:styleId="aa">
    <w:basedOn w:val="TableNormal"/>
    <w:tblPr>
      <w:tblStyleRowBandSize w:val="1"/>
      <w:tblStyleColBandSize w:val="1"/>
      <w:tblCellMar>
        <w:top w:w="15" w:type="dxa"/>
        <w:left w:w="15" w:type="dxa"/>
        <w:bottom w:w="15" w:type="dxa"/>
        <w:right w:w="15" w:type="dxa"/>
      </w:tblCellMar>
    </w:tblPr>
  </w:style>
  <w:style w:type="table" w:customStyle="1" w:styleId="ab">
    <w:basedOn w:val="TableNormal"/>
    <w:tblPr>
      <w:tblStyleRowBandSize w:val="1"/>
      <w:tblStyleColBandSize w:val="1"/>
      <w:tblCellMar>
        <w:top w:w="15" w:type="dxa"/>
        <w:left w:w="15" w:type="dxa"/>
        <w:bottom w:w="15" w:type="dxa"/>
        <w:right w:w="15" w:type="dxa"/>
      </w:tblCellMar>
    </w:tblPr>
  </w:style>
  <w:style w:type="table" w:customStyle="1" w:styleId="ac">
    <w:basedOn w:val="TableNormal"/>
    <w:tblPr>
      <w:tblStyleRowBandSize w:val="1"/>
      <w:tblStyleColBandSize w:val="1"/>
      <w:tblCellMar>
        <w:top w:w="15" w:type="dxa"/>
        <w:left w:w="15" w:type="dxa"/>
        <w:bottom w:w="15" w:type="dxa"/>
        <w:right w:w="15" w:type="dxa"/>
      </w:tblCellMar>
    </w:tblPr>
  </w:style>
  <w:style w:type="table" w:customStyle="1" w:styleId="ad">
    <w:basedOn w:val="TableNormal"/>
    <w:tblPr>
      <w:tblStyleRowBandSize w:val="1"/>
      <w:tblStyleColBandSize w:val="1"/>
      <w:tblCellMar>
        <w:top w:w="15" w:type="dxa"/>
        <w:left w:w="15" w:type="dxa"/>
        <w:bottom w:w="15" w:type="dxa"/>
        <w:right w:w="15" w:type="dxa"/>
      </w:tblCellMar>
    </w:tblPr>
  </w:style>
  <w:style w:type="table" w:customStyle="1" w:styleId="ae">
    <w:basedOn w:val="TableNormal"/>
    <w:tblPr>
      <w:tblStyleRowBandSize w:val="1"/>
      <w:tblStyleColBandSize w:val="1"/>
      <w:tblCellMar>
        <w:top w:w="15" w:type="dxa"/>
        <w:left w:w="15" w:type="dxa"/>
        <w:bottom w:w="15" w:type="dxa"/>
        <w:right w:w="15" w:type="dxa"/>
      </w:tblCellMar>
    </w:tblPr>
  </w:style>
  <w:style w:type="table" w:customStyle="1" w:styleId="af">
    <w:basedOn w:val="TableNormal"/>
    <w:tblPr>
      <w:tblStyleRowBandSize w:val="1"/>
      <w:tblStyleColBandSize w:val="1"/>
      <w:tblCellMar>
        <w:top w:w="15" w:type="dxa"/>
        <w:left w:w="15" w:type="dxa"/>
        <w:bottom w:w="15" w:type="dxa"/>
        <w:right w:w="15"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A4C1C"/>
    <w:rPr>
      <w:b/>
      <w:bCs/>
    </w:rPr>
  </w:style>
  <w:style w:type="character" w:customStyle="1" w:styleId="CommentSubjectChar">
    <w:name w:val="Comment Subject Char"/>
    <w:basedOn w:val="CommentTextChar"/>
    <w:link w:val="CommentSubject"/>
    <w:uiPriority w:val="99"/>
    <w:semiHidden/>
    <w:rsid w:val="00FA4C1C"/>
    <w:rPr>
      <w:b/>
      <w:bCs/>
      <w:sz w:val="20"/>
      <w:szCs w:val="20"/>
    </w:rPr>
  </w:style>
  <w:style w:type="paragraph" w:styleId="Subtitle">
    <w:name w:val="Subtitle"/>
    <w:basedOn w:val="Normal"/>
    <w:next w:val="Normal"/>
    <w:link w:val="SubtitleChar"/>
    <w:uiPriority w:val="11"/>
    <w:qFormat/>
    <w:rPr>
      <w:color w:val="595959"/>
      <w:sz w:val="28"/>
      <w:szCs w:val="28"/>
    </w:rPr>
  </w:style>
  <w:style w:type="table" w:customStyle="1" w:styleId="af0">
    <w:basedOn w:val="TableNormal"/>
    <w:tblPr>
      <w:tblStyleRowBandSize w:val="1"/>
      <w:tblStyleColBandSize w:val="1"/>
      <w:tblCellMar>
        <w:top w:w="15" w:type="dxa"/>
        <w:left w:w="15" w:type="dxa"/>
        <w:bottom w:w="15" w:type="dxa"/>
        <w:right w:w="15" w:type="dxa"/>
      </w:tblCellMar>
    </w:tblPr>
  </w:style>
  <w:style w:type="table" w:customStyle="1" w:styleId="af1">
    <w:basedOn w:val="TableNormal"/>
    <w:tblPr>
      <w:tblStyleRowBandSize w:val="1"/>
      <w:tblStyleColBandSize w:val="1"/>
      <w:tblCellMar>
        <w:top w:w="15" w:type="dxa"/>
        <w:left w:w="15" w:type="dxa"/>
        <w:bottom w:w="15" w:type="dxa"/>
        <w:right w:w="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top w:w="15" w:type="dxa"/>
        <w:left w:w="15" w:type="dxa"/>
        <w:bottom w:w="15" w:type="dxa"/>
        <w:right w:w="15" w:type="dxa"/>
      </w:tblCellMar>
    </w:tblPr>
  </w:style>
  <w:style w:type="table" w:customStyle="1" w:styleId="af4">
    <w:basedOn w:val="TableNormal"/>
    <w:tblPr>
      <w:tblStyleRowBandSize w:val="1"/>
      <w:tblStyleColBandSize w:val="1"/>
      <w:tblCellMar>
        <w:top w:w="15" w:type="dxa"/>
        <w:left w:w="15" w:type="dxa"/>
        <w:bottom w:w="15" w:type="dxa"/>
        <w:right w:w="15" w:type="dxa"/>
      </w:tblCellMar>
    </w:tblPr>
  </w:style>
  <w:style w:type="table" w:customStyle="1" w:styleId="af5">
    <w:basedOn w:val="TableNormal"/>
    <w:tblPr>
      <w:tblStyleRowBandSize w:val="1"/>
      <w:tblStyleColBandSize w:val="1"/>
      <w:tblCellMar>
        <w:top w:w="15" w:type="dxa"/>
        <w:left w:w="15" w:type="dxa"/>
        <w:bottom w:w="15" w:type="dxa"/>
        <w:right w:w="15" w:type="dxa"/>
      </w:tblCellMar>
    </w:tblPr>
  </w:style>
  <w:style w:type="table" w:customStyle="1" w:styleId="af6">
    <w:basedOn w:val="TableNormal"/>
    <w:tblPr>
      <w:tblStyleRowBandSize w:val="1"/>
      <w:tblStyleColBandSize w:val="1"/>
      <w:tblCellMar>
        <w:top w:w="15" w:type="dxa"/>
        <w:left w:w="15" w:type="dxa"/>
        <w:bottom w:w="15" w:type="dxa"/>
        <w:right w:w="15" w:type="dxa"/>
      </w:tblCellMar>
    </w:tblPr>
  </w:style>
  <w:style w:type="table" w:customStyle="1" w:styleId="af7">
    <w:basedOn w:val="TableNormal"/>
    <w:tblPr>
      <w:tblStyleRowBandSize w:val="1"/>
      <w:tblStyleColBandSize w:val="1"/>
      <w:tblCellMar>
        <w:top w:w="15" w:type="dxa"/>
        <w:left w:w="15" w:type="dxa"/>
        <w:bottom w:w="15" w:type="dxa"/>
        <w:right w:w="15" w:type="dxa"/>
      </w:tblCellMar>
    </w:tblPr>
  </w:style>
  <w:style w:type="table" w:customStyle="1" w:styleId="af8">
    <w:basedOn w:val="TableNormal"/>
    <w:tblPr>
      <w:tblStyleRowBandSize w:val="1"/>
      <w:tblStyleColBandSize w:val="1"/>
      <w:tblCellMar>
        <w:top w:w="15" w:type="dxa"/>
        <w:left w:w="15" w:type="dxa"/>
        <w:bottom w:w="15" w:type="dxa"/>
        <w:right w:w="15" w:type="dxa"/>
      </w:tblCellMar>
    </w:tblPr>
  </w:style>
  <w:style w:type="table" w:customStyle="1" w:styleId="af9">
    <w:basedOn w:val="TableNormal"/>
    <w:tblPr>
      <w:tblStyleRowBandSize w:val="1"/>
      <w:tblStyleColBandSize w:val="1"/>
      <w:tblCellMar>
        <w:top w:w="15" w:type="dxa"/>
        <w:left w:w="15" w:type="dxa"/>
        <w:bottom w:w="15" w:type="dxa"/>
        <w:right w:w="15" w:type="dxa"/>
      </w:tblCellMar>
    </w:tblPr>
  </w:style>
  <w:style w:type="table" w:customStyle="1" w:styleId="afa">
    <w:basedOn w:val="TableNormal"/>
    <w:tblPr>
      <w:tblStyleRowBandSize w:val="1"/>
      <w:tblStyleColBandSize w:val="1"/>
      <w:tblCellMar>
        <w:top w:w="15" w:type="dxa"/>
        <w:left w:w="15" w:type="dxa"/>
        <w:bottom w:w="15" w:type="dxa"/>
        <w:right w:w="15" w:type="dxa"/>
      </w:tblCellMar>
    </w:tblPr>
  </w:style>
  <w:style w:type="table" w:customStyle="1" w:styleId="afb">
    <w:basedOn w:val="TableNormal"/>
    <w:tblPr>
      <w:tblStyleRowBandSize w:val="1"/>
      <w:tblStyleColBandSize w:val="1"/>
      <w:tblCellMar>
        <w:top w:w="15" w:type="dxa"/>
        <w:left w:w="15" w:type="dxa"/>
        <w:bottom w:w="15" w:type="dxa"/>
        <w:right w:w="15" w:type="dxa"/>
      </w:tblCellMar>
    </w:tblPr>
  </w:style>
  <w:style w:type="table" w:customStyle="1" w:styleId="afc">
    <w:basedOn w:val="TableNormal"/>
    <w:tblPr>
      <w:tblStyleRowBandSize w:val="1"/>
      <w:tblStyleColBandSize w:val="1"/>
      <w:tblCellMar>
        <w:top w:w="15" w:type="dxa"/>
        <w:left w:w="15" w:type="dxa"/>
        <w:bottom w:w="15" w:type="dxa"/>
        <w:right w:w="15" w:type="dxa"/>
      </w:tblCellMar>
    </w:tblPr>
  </w:style>
  <w:style w:type="table" w:customStyle="1" w:styleId="afd">
    <w:basedOn w:val="TableNormal"/>
    <w:tblPr>
      <w:tblStyleRowBandSize w:val="1"/>
      <w:tblStyleColBandSize w:val="1"/>
      <w:tblCellMar>
        <w:top w:w="15" w:type="dxa"/>
        <w:left w:w="15" w:type="dxa"/>
        <w:bottom w:w="15" w:type="dxa"/>
        <w:right w:w="15" w:type="dxa"/>
      </w:tblCellMar>
    </w:tblPr>
  </w:style>
  <w:style w:type="table" w:customStyle="1" w:styleId="afe">
    <w:basedOn w:val="TableNormal"/>
    <w:tblPr>
      <w:tblStyleRowBandSize w:val="1"/>
      <w:tblStyleColBandSize w:val="1"/>
      <w:tblCellMar>
        <w:top w:w="15" w:type="dxa"/>
        <w:left w:w="15" w:type="dxa"/>
        <w:bottom w:w="15" w:type="dxa"/>
        <w:right w:w="15" w:type="dxa"/>
      </w:tblCellMar>
    </w:tblPr>
  </w:style>
  <w:style w:type="table" w:customStyle="1" w:styleId="aff">
    <w:basedOn w:val="TableNormal"/>
    <w:tblPr>
      <w:tblStyleRowBandSize w:val="1"/>
      <w:tblStyleColBandSize w:val="1"/>
      <w:tblCellMar>
        <w:top w:w="15" w:type="dxa"/>
        <w:left w:w="15" w:type="dxa"/>
        <w:bottom w:w="15" w:type="dxa"/>
        <w:right w:w="15" w:type="dxa"/>
      </w:tblCellMar>
    </w:tblPr>
  </w:style>
  <w:style w:type="table" w:customStyle="1" w:styleId="aff0">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v4cKFbZJ7vET9T2cIL1YQvF5KA==">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9817</Words>
  <Characters>55957</Characters>
  <Application>Microsoft Office Word</Application>
  <DocSecurity>0</DocSecurity>
  <Lines>466</Lines>
  <Paragraphs>131</Paragraphs>
  <ScaleCrop>false</ScaleCrop>
  <Company/>
  <LinksUpToDate>false</LinksUpToDate>
  <CharactersWithSpaces>65643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Aadhityaa Mohanavelu</dc:creator>
  <cp:lastModifiedBy>Aadhityaa Mohanavelu</cp:lastModifiedBy>
  <cp:revision>2</cp:revision>
  <dcterms:created xsi:type="dcterms:W3CDTF">2026-09-01T05:41:00Z</dcterms:created>
  <dcterms:modified xsi:type="dcterms:W3CDTF">2026-09-01T05:41:00Z</dcterms:modified>
</cp:coreProperties>
</file>