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222C8">
      <w:pP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</w:pP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317 patients underwent abdominal enhancement scanning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with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Philips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IQon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128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slice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CT, 115 patients underwent abdominal enhancement scanning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with UIH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128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slice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CT, 2 patients underwent abdominal enhancement scanning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with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Toshiba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128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slice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CT, 2 patients underwent abdominal enhancement scanning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with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Philips Brilliance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128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slice CT, and 1 patient underwent  abdominal enhancement scanning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with 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>minfond quantumeye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512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slice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>CT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.</w:t>
      </w:r>
    </w:p>
    <w:p w14:paraId="56009589">
      <w:pP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</w:pP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  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IQon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128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slice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>CT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 Scanning parameters: 120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-140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kV, 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145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mAs, the slice thickness of scan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and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slice distance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were , 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1mm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and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mm, respectively. After nonenhanced abdominal CT scan, contrast agent (ioversol) (3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0 mgI/mL) was administered intravenously through the forearm via a high-pressure syringe at a dose of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1.2-1.8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mL/kg with an injection f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l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ow rate of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3.5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 mL/s. Arterial-phase (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22-25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s)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,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 portal venous-phase (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55-58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s)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, venous-phase (90s), delay-phace (180s), and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scans were performed after contrast agent injection.</w:t>
      </w:r>
    </w:p>
    <w:p w14:paraId="22557C6F">
      <w:pPr>
        <w:ind w:firstLine="380" w:firstLineChars="200"/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UIH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128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slice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>CT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Scanning parameters: 120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-140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 kV,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150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mAs, the slice thickness of scan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and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 slice distance were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0.625mm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and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0.625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mm, respectively. After nonenhanced abdominal CT scan, contrast agent (ioversol) (3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0 mgI/mL) was administered intravenously through the forearm via a high-pressure syringe at a dose of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1.2-1.8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mL/kg with an injection f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l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ow rate of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3.5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mL/s. Arterial-phase (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22-25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s)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,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 portal venous-phase (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55-58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s)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, venous-phase (90s), delay-phace (180s), and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scans were performed after contrast agent injection.</w:t>
      </w:r>
    </w:p>
    <w:p w14:paraId="08A71086">
      <w:pPr>
        <w:ind w:firstLine="380" w:firstLineChars="200"/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</w:pP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Toshiba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128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slice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>CT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Scanning parameters: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120 kV,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275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mAs, the slice thickness of scan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and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slice distance were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1mm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and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mm, respectively. After nonenhanced abdominal CT scan, contrast agent (ioversol) (3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0 mgI/mL) was administered intravenously through the forearm via a high-pressure syringe at a dose of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1.2-1.8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mL/kg with an injection f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l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ow rate of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3.5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mL/s. Arterial-phase (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25-28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s)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,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 portal venous-phase (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50-60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s)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,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venous-phase (110s), delay-phace (180s), and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scans were performed after contrast agent injection.</w:t>
      </w:r>
    </w:p>
    <w:p w14:paraId="5F1AC8B4">
      <w:pPr>
        <w:ind w:firstLine="380" w:firstLineChars="200"/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</w:pP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Philips Brilliance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128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slice CT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Scanning parameters: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120 kV,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250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mAs, the slice thickness of scan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and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slice distance were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1mm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and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0.5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mm, respectively. After nonenhanced abdominal CT scan, contrast agent (ioversol) (3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0 mgI/mL) was administered intravenously through the forearm via a high-pressure syringe at a dose of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1.2-1.8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mL/kg with an injection f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l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ow rate of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3.5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mL/s. Arterial-phase (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25-30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s)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,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 portal venous-phase (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50-60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s)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,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venous-phase (110s), delay-phace (180s), and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scans were performed after contrast agent injection.</w:t>
      </w:r>
    </w:p>
    <w:p w14:paraId="43D0A924">
      <w:pPr>
        <w:ind w:firstLine="380" w:firstLineChars="200"/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M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infond quantumeye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512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 xml:space="preserve"> slice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BoldItalic" w:cs="Times New Roman"/>
          <w:b w:val="0"/>
          <w:bCs w:val="0"/>
          <w:color w:val="231F20"/>
          <w:sz w:val="19"/>
          <w:szCs w:val="19"/>
        </w:rPr>
        <w:t>CT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Scanning parameters: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120 kV,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275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mAs, the slice thickness of scan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 and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slice distance were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1mm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and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mm, respectively. After nonenhanced abdominal CT scan, contrast agent (ioversol) (3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0 mgI/mL) was administered intravenously through the forearm via a high-pressure syringe at a dose of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1.2-1.8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mL/kg with an injection f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l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ow rate of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3.5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mL/s. Arterial-phase (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22-25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s)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,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 portal venous-phase (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55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-60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s)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>,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sz w:val="19"/>
          <w:szCs w:val="19"/>
          <w:lang w:val="en-US" w:eastAsia="zh-CN"/>
        </w:rPr>
        <w:t xml:space="preserve">venous-phase (95s), delay-phace (180s), and </w:t>
      </w:r>
      <w:r>
        <w:rPr>
          <w:rFonts w:hint="default" w:ascii="Times New Roman" w:hAnsi="Times New Roman" w:eastAsia="JansonTextLT-Roman" w:cs="Times New Roman"/>
          <w:b w:val="0"/>
          <w:bCs w:val="0"/>
          <w:color w:val="231F20"/>
          <w:sz w:val="19"/>
          <w:szCs w:val="19"/>
        </w:rPr>
        <w:t>scans were performed after contrast agent injection.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JansonTextLT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JansonTextLT-Rom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0F7410"/>
    <w:rsid w:val="13363E1E"/>
    <w:rsid w:val="139B12D9"/>
    <w:rsid w:val="190E570E"/>
    <w:rsid w:val="2C6E3570"/>
    <w:rsid w:val="334D318A"/>
    <w:rsid w:val="3A0A15DA"/>
    <w:rsid w:val="40E12F14"/>
    <w:rsid w:val="447B129D"/>
    <w:rsid w:val="518072BB"/>
    <w:rsid w:val="54887C02"/>
    <w:rsid w:val="5D693151"/>
    <w:rsid w:val="5FAB440D"/>
    <w:rsid w:val="78A9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1574</Characters>
  <Lines>0</Lines>
  <Paragraphs>0</Paragraphs>
  <TotalTime>15</TotalTime>
  <ScaleCrop>false</ScaleCrop>
  <LinksUpToDate>false</LinksUpToDate>
  <CharactersWithSpaces>1860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2025-07-25T03:12:00Z</dcterms:created>
  <dc:creator>Lenovo</dc:creator>
  <cp:lastModifiedBy>青青子衿</cp:lastModifiedBy>
  <dcterms:modified xsi:type="dcterms:W3CDTF">2025-07-31T00:36:40Z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eyJoZGlkIjoiODNmZGE3MjcwNDA3YTdkYjM4NjJjZGZmMWVmZThhMTEiLCJ1c2VySWQiOiI2MjQwNDI0NDAifQ==</vt:lpwstr>
  </property>
  <property fmtid="{D5CDD505-2E9C-101B-9397-08002B2CF9AE}" pid="4" name="ICV">
    <vt:lpwstr>18C948C580694A0EAA4A78F03CA22A67_13</vt:lpwstr>
  </property>
</Properties>
</file>