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E60" w:rsidRPr="00E12E60" w:rsidRDefault="00E12E60" w:rsidP="00E12E60">
      <w:pPr>
        <w:spacing w:line="360" w:lineRule="auto"/>
        <w:jc w:val="both"/>
        <w:rPr>
          <w:b/>
          <w:sz w:val="20"/>
          <w:szCs w:val="20"/>
        </w:rPr>
      </w:pPr>
      <w:r w:rsidRPr="00E12E60">
        <w:rPr>
          <w:b/>
          <w:sz w:val="20"/>
          <w:szCs w:val="20"/>
        </w:rPr>
        <w:t>Title</w:t>
      </w:r>
    </w:p>
    <w:p w:rsidR="00E12E60" w:rsidRPr="00E12E60" w:rsidRDefault="00E12E60" w:rsidP="00E12E60">
      <w:pPr>
        <w:spacing w:line="360" w:lineRule="auto"/>
        <w:jc w:val="both"/>
        <w:rPr>
          <w:b/>
          <w:sz w:val="20"/>
          <w:szCs w:val="20"/>
        </w:rPr>
      </w:pPr>
    </w:p>
    <w:p w:rsidR="00E12E60" w:rsidRDefault="00E12E60" w:rsidP="00E12E60">
      <w:pPr>
        <w:spacing w:line="360" w:lineRule="auto"/>
        <w:jc w:val="both"/>
        <w:rPr>
          <w:b/>
          <w:bCs/>
          <w:sz w:val="28"/>
          <w:szCs w:val="28"/>
        </w:rPr>
      </w:pPr>
      <w:r w:rsidRPr="00CE41E2">
        <w:rPr>
          <w:b/>
          <w:bCs/>
          <w:sz w:val="28"/>
          <w:szCs w:val="28"/>
        </w:rPr>
        <w:t>Quantitative study of alpha-synuclein prion-like spreading in fully oriented reconstructed neural networks reveals non-synaptic dissemination of seeding aggregates</w:t>
      </w:r>
    </w:p>
    <w:p w:rsidR="00E12E60" w:rsidRPr="00442103" w:rsidRDefault="00E12E60" w:rsidP="00E12E60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bCs/>
          <w:sz w:val="28"/>
          <w:szCs w:val="28"/>
        </w:rPr>
        <w:t>SUPPLEMENTARY DATA</w:t>
      </w:r>
    </w:p>
    <w:p w:rsidR="00E12E60" w:rsidRPr="005E12FF" w:rsidRDefault="00E12E60" w:rsidP="00E12E60">
      <w:pPr>
        <w:spacing w:line="360" w:lineRule="auto"/>
        <w:jc w:val="both"/>
        <w:rPr>
          <w:sz w:val="20"/>
          <w:szCs w:val="20"/>
        </w:rPr>
      </w:pPr>
    </w:p>
    <w:p w:rsidR="00E12E60" w:rsidRPr="00E70246" w:rsidRDefault="00E12E60" w:rsidP="00E12E60">
      <w:pPr>
        <w:spacing w:line="360" w:lineRule="auto"/>
        <w:jc w:val="both"/>
        <w:rPr>
          <w:b/>
          <w:sz w:val="20"/>
          <w:szCs w:val="20"/>
        </w:rPr>
      </w:pPr>
      <w:r w:rsidRPr="00E70246">
        <w:rPr>
          <w:b/>
          <w:sz w:val="20"/>
          <w:szCs w:val="20"/>
        </w:rPr>
        <w:t>Authors + Institutional addresses</w:t>
      </w:r>
    </w:p>
    <w:p w:rsidR="00E12E60" w:rsidRPr="00E70246" w:rsidRDefault="00E12E60" w:rsidP="00E12E60">
      <w:pPr>
        <w:spacing w:line="360" w:lineRule="auto"/>
        <w:jc w:val="both"/>
        <w:rPr>
          <w:b/>
          <w:sz w:val="20"/>
          <w:szCs w:val="20"/>
        </w:rPr>
      </w:pPr>
    </w:p>
    <w:p w:rsidR="00E12E60" w:rsidRPr="00E70246" w:rsidRDefault="00E12E60" w:rsidP="00E12E60">
      <w:pPr>
        <w:spacing w:line="360" w:lineRule="auto"/>
        <w:jc w:val="both"/>
        <w:rPr>
          <w:sz w:val="20"/>
          <w:szCs w:val="20"/>
        </w:rPr>
      </w:pPr>
      <w:r w:rsidRPr="00E70246">
        <w:rPr>
          <w:sz w:val="20"/>
          <w:szCs w:val="20"/>
        </w:rPr>
        <w:t>Josquin COURTE, PhD</w:t>
      </w:r>
    </w:p>
    <w:p w:rsidR="00E12E60" w:rsidRDefault="00E12E60" w:rsidP="00E12E60">
      <w:pPr>
        <w:spacing w:line="360" w:lineRule="auto"/>
        <w:jc w:val="both"/>
        <w:rPr>
          <w:sz w:val="20"/>
          <w:szCs w:val="20"/>
          <w:lang w:val="fr-FR"/>
        </w:rPr>
      </w:pPr>
      <w:r w:rsidRPr="005E12FF">
        <w:rPr>
          <w:sz w:val="20"/>
          <w:szCs w:val="20"/>
          <w:lang w:val="fr-FR"/>
        </w:rPr>
        <w:t>Sorbonne Universités, Faculté des Sciences et Technologie, CNRS UMR 8246, INSERM U1130, Neurosciences Paris</w:t>
      </w:r>
      <w:r>
        <w:rPr>
          <w:sz w:val="20"/>
          <w:szCs w:val="20"/>
          <w:lang w:val="fr-FR"/>
        </w:rPr>
        <w:t xml:space="preserve"> </w:t>
      </w:r>
      <w:r w:rsidRPr="005E12FF">
        <w:rPr>
          <w:sz w:val="20"/>
          <w:szCs w:val="20"/>
          <w:lang w:val="fr-FR"/>
        </w:rPr>
        <w:t xml:space="preserve">Seine, Institut de Biologie Paris Seine, Paris, 75005, </w:t>
      </w:r>
      <w:r>
        <w:rPr>
          <w:sz w:val="20"/>
          <w:szCs w:val="20"/>
          <w:lang w:val="fr-FR"/>
        </w:rPr>
        <w:t>France</w:t>
      </w:r>
    </w:p>
    <w:p w:rsidR="00E12E60" w:rsidRDefault="00E12E60" w:rsidP="00E12E60">
      <w:pPr>
        <w:spacing w:line="360" w:lineRule="auto"/>
        <w:jc w:val="both"/>
        <w:rPr>
          <w:sz w:val="20"/>
          <w:szCs w:val="20"/>
          <w:lang w:val="fr-FR"/>
        </w:rPr>
      </w:pPr>
      <w:r w:rsidRPr="00AA2A7C">
        <w:rPr>
          <w:sz w:val="20"/>
          <w:szCs w:val="20"/>
          <w:lang w:val="fr-FR"/>
        </w:rPr>
        <w:t>Institut Curie</w:t>
      </w:r>
      <w:r>
        <w:rPr>
          <w:sz w:val="20"/>
          <w:szCs w:val="20"/>
          <w:lang w:val="fr-FR"/>
        </w:rPr>
        <w:t>, CNRS</w:t>
      </w:r>
      <w:r w:rsidRPr="00AA2A7C">
        <w:rPr>
          <w:sz w:val="20"/>
          <w:szCs w:val="20"/>
          <w:lang w:val="fr-FR"/>
        </w:rPr>
        <w:t xml:space="preserve"> UMR 168, Université PSL, Sorbonne Universités, Paris</w:t>
      </w:r>
      <w:r>
        <w:rPr>
          <w:sz w:val="20"/>
          <w:szCs w:val="20"/>
          <w:lang w:val="fr-FR"/>
        </w:rPr>
        <w:t xml:space="preserve"> 75005</w:t>
      </w:r>
      <w:r w:rsidRPr="00AA2A7C">
        <w:rPr>
          <w:sz w:val="20"/>
          <w:szCs w:val="20"/>
          <w:lang w:val="fr-FR"/>
        </w:rPr>
        <w:t>, France</w:t>
      </w:r>
      <w:r w:rsidRPr="00AA2A7C" w:rsidDel="00AA2A7C">
        <w:rPr>
          <w:sz w:val="20"/>
          <w:szCs w:val="20"/>
          <w:lang w:val="fr-FR"/>
        </w:rPr>
        <w:t xml:space="preserve"> </w:t>
      </w:r>
    </w:p>
    <w:p w:rsidR="00E12E60" w:rsidRDefault="00E12E60" w:rsidP="00E12E60">
      <w:pPr>
        <w:spacing w:line="360" w:lineRule="auto"/>
        <w:rPr>
          <w:sz w:val="20"/>
          <w:szCs w:val="20"/>
        </w:rPr>
      </w:pPr>
      <w:r w:rsidRPr="00204BEA">
        <w:rPr>
          <w:sz w:val="20"/>
          <w:szCs w:val="20"/>
        </w:rPr>
        <w:t>The Eli and Edythe Broad CIRM Center, Department of Stem</w:t>
      </w:r>
      <w:r>
        <w:rPr>
          <w:sz w:val="20"/>
          <w:szCs w:val="20"/>
        </w:rPr>
        <w:t xml:space="preserve"> </w:t>
      </w:r>
      <w:r w:rsidRPr="00204BEA">
        <w:rPr>
          <w:sz w:val="20"/>
          <w:szCs w:val="20"/>
        </w:rPr>
        <w:t>Cell Biology</w:t>
      </w:r>
      <w:r>
        <w:rPr>
          <w:sz w:val="20"/>
          <w:szCs w:val="20"/>
        </w:rPr>
        <w:t xml:space="preserve"> </w:t>
      </w:r>
      <w:r w:rsidRPr="00204BEA">
        <w:rPr>
          <w:sz w:val="20"/>
          <w:szCs w:val="20"/>
        </w:rPr>
        <w:t>and</w:t>
      </w:r>
      <w:r>
        <w:rPr>
          <w:sz w:val="20"/>
          <w:szCs w:val="20"/>
        </w:rPr>
        <w:t xml:space="preserve"> </w:t>
      </w:r>
      <w:r w:rsidRPr="00204BEA">
        <w:rPr>
          <w:sz w:val="20"/>
          <w:szCs w:val="20"/>
        </w:rPr>
        <w:t>Regenerative</w:t>
      </w:r>
      <w:r>
        <w:rPr>
          <w:sz w:val="20"/>
          <w:szCs w:val="20"/>
        </w:rPr>
        <w:t xml:space="preserve"> </w:t>
      </w:r>
      <w:r w:rsidRPr="00204BEA">
        <w:rPr>
          <w:sz w:val="20"/>
          <w:szCs w:val="20"/>
        </w:rPr>
        <w:t>Medicine,</w:t>
      </w:r>
      <w:r>
        <w:rPr>
          <w:sz w:val="20"/>
          <w:szCs w:val="20"/>
        </w:rPr>
        <w:t xml:space="preserve"> </w:t>
      </w:r>
      <w:r w:rsidRPr="00204BEA">
        <w:rPr>
          <w:sz w:val="20"/>
          <w:szCs w:val="20"/>
        </w:rPr>
        <w:t>University of Southern</w:t>
      </w:r>
      <w:r>
        <w:rPr>
          <w:sz w:val="20"/>
          <w:szCs w:val="20"/>
        </w:rPr>
        <w:t xml:space="preserve"> </w:t>
      </w:r>
      <w:r w:rsidRPr="00204BEA">
        <w:rPr>
          <w:sz w:val="20"/>
          <w:szCs w:val="20"/>
        </w:rPr>
        <w:t>California</w:t>
      </w:r>
      <w:r>
        <w:rPr>
          <w:sz w:val="20"/>
          <w:szCs w:val="20"/>
        </w:rPr>
        <w:t xml:space="preserve"> </w:t>
      </w:r>
      <w:r w:rsidRPr="00204BEA">
        <w:rPr>
          <w:sz w:val="20"/>
          <w:szCs w:val="20"/>
        </w:rPr>
        <w:t>Keck School</w:t>
      </w:r>
      <w:r>
        <w:rPr>
          <w:sz w:val="20"/>
          <w:szCs w:val="20"/>
        </w:rPr>
        <w:t xml:space="preserve"> </w:t>
      </w:r>
      <w:r w:rsidRPr="00204BEA">
        <w:rPr>
          <w:sz w:val="20"/>
          <w:szCs w:val="20"/>
        </w:rPr>
        <w:t>of</w:t>
      </w:r>
      <w:r>
        <w:rPr>
          <w:sz w:val="20"/>
          <w:szCs w:val="20"/>
        </w:rPr>
        <w:t xml:space="preserve"> </w:t>
      </w:r>
      <w:r w:rsidRPr="00204BEA">
        <w:rPr>
          <w:sz w:val="20"/>
          <w:szCs w:val="20"/>
        </w:rPr>
        <w:t>Medicine, Los</w:t>
      </w:r>
      <w:r>
        <w:rPr>
          <w:sz w:val="20"/>
          <w:szCs w:val="20"/>
        </w:rPr>
        <w:t xml:space="preserve"> </w:t>
      </w:r>
      <w:r w:rsidRPr="00204BEA">
        <w:rPr>
          <w:sz w:val="20"/>
          <w:szCs w:val="20"/>
        </w:rPr>
        <w:t>Angeles 90033,</w:t>
      </w:r>
      <w:r>
        <w:rPr>
          <w:sz w:val="20"/>
          <w:szCs w:val="20"/>
        </w:rPr>
        <w:t xml:space="preserve"> </w:t>
      </w:r>
      <w:r w:rsidRPr="00204BEA">
        <w:rPr>
          <w:sz w:val="20"/>
          <w:szCs w:val="20"/>
        </w:rPr>
        <w:t>USA</w:t>
      </w:r>
    </w:p>
    <w:p w:rsidR="00E12E60" w:rsidRPr="00442103" w:rsidRDefault="00E12E60" w:rsidP="00E12E60">
      <w:pPr>
        <w:spacing w:line="360" w:lineRule="auto"/>
        <w:rPr>
          <w:sz w:val="20"/>
          <w:szCs w:val="20"/>
        </w:rPr>
      </w:pPr>
    </w:p>
    <w:p w:rsidR="00E12E60" w:rsidRPr="005E12FF" w:rsidRDefault="00E12E60" w:rsidP="00E12E60">
      <w:pPr>
        <w:spacing w:line="360" w:lineRule="auto"/>
        <w:jc w:val="both"/>
        <w:rPr>
          <w:sz w:val="20"/>
          <w:szCs w:val="20"/>
          <w:lang w:val="fr-FR"/>
        </w:rPr>
      </w:pPr>
      <w:proofErr w:type="spellStart"/>
      <w:r w:rsidRPr="005E12FF">
        <w:rPr>
          <w:sz w:val="20"/>
          <w:szCs w:val="20"/>
          <w:lang w:val="fr-FR"/>
        </w:rPr>
        <w:t>Ngoc</w:t>
      </w:r>
      <w:proofErr w:type="spellEnd"/>
      <w:r w:rsidRPr="005E12FF">
        <w:rPr>
          <w:sz w:val="20"/>
          <w:szCs w:val="20"/>
          <w:lang w:val="fr-FR"/>
        </w:rPr>
        <w:t xml:space="preserve"> Anh LE</w:t>
      </w:r>
    </w:p>
    <w:p w:rsidR="00E12E60" w:rsidRDefault="00E12E60" w:rsidP="00E12E60">
      <w:pPr>
        <w:spacing w:line="360" w:lineRule="auto"/>
        <w:jc w:val="both"/>
        <w:rPr>
          <w:sz w:val="20"/>
          <w:szCs w:val="20"/>
          <w:lang w:val="fr-FR"/>
        </w:rPr>
      </w:pPr>
      <w:r w:rsidRPr="005E12FF">
        <w:rPr>
          <w:sz w:val="20"/>
          <w:szCs w:val="20"/>
          <w:lang w:val="fr-FR"/>
        </w:rPr>
        <w:t>Sorbonne Universités, Faculté des Sciences et Technologie, CNRS UMR 8246, INSERM U1130, Neurosciences Paris</w:t>
      </w:r>
      <w:r>
        <w:rPr>
          <w:sz w:val="20"/>
          <w:szCs w:val="20"/>
          <w:lang w:val="fr-FR"/>
        </w:rPr>
        <w:t xml:space="preserve"> </w:t>
      </w:r>
      <w:r w:rsidRPr="005E12FF">
        <w:rPr>
          <w:sz w:val="20"/>
          <w:szCs w:val="20"/>
          <w:lang w:val="fr-FR"/>
        </w:rPr>
        <w:t xml:space="preserve">Seine, Institut de Biologie Paris Seine, Paris, 75005, </w:t>
      </w:r>
      <w:r>
        <w:rPr>
          <w:sz w:val="20"/>
          <w:szCs w:val="20"/>
          <w:lang w:val="fr-FR"/>
        </w:rPr>
        <w:t>France.</w:t>
      </w:r>
    </w:p>
    <w:p w:rsidR="00E12E60" w:rsidRDefault="00E12E60" w:rsidP="00E12E60">
      <w:pPr>
        <w:spacing w:line="360" w:lineRule="auto"/>
        <w:jc w:val="both"/>
        <w:rPr>
          <w:sz w:val="20"/>
          <w:szCs w:val="20"/>
          <w:lang w:val="fr-FR"/>
        </w:rPr>
      </w:pPr>
    </w:p>
    <w:p w:rsidR="00E12E60" w:rsidRPr="00804E94" w:rsidRDefault="00E12E60" w:rsidP="00E12E60">
      <w:pPr>
        <w:spacing w:line="360" w:lineRule="auto"/>
        <w:jc w:val="both"/>
        <w:rPr>
          <w:sz w:val="20"/>
          <w:szCs w:val="20"/>
          <w:lang w:val="fr-FR"/>
        </w:rPr>
      </w:pPr>
      <w:r w:rsidRPr="00804E94">
        <w:rPr>
          <w:sz w:val="20"/>
          <w:szCs w:val="20"/>
          <w:lang w:val="fr-FR"/>
        </w:rPr>
        <w:t>Luc BOUSSET, PhD</w:t>
      </w:r>
    </w:p>
    <w:p w:rsidR="00E12E60" w:rsidRPr="009B4C18" w:rsidRDefault="00E12E60" w:rsidP="00E12E60">
      <w:pPr>
        <w:spacing w:line="360" w:lineRule="auto"/>
        <w:jc w:val="both"/>
        <w:rPr>
          <w:bCs/>
          <w:color w:val="000000" w:themeColor="text1"/>
          <w:sz w:val="20"/>
          <w:szCs w:val="20"/>
          <w:lang w:val="fr-FR"/>
        </w:rPr>
      </w:pPr>
      <w:bookmarkStart w:id="0" w:name="_Hlk74642532"/>
      <w:r w:rsidRPr="00796CE1">
        <w:rPr>
          <w:rStyle w:val="label"/>
          <w:sz w:val="20"/>
          <w:szCs w:val="20"/>
          <w:lang w:val="fr-FR"/>
        </w:rPr>
        <w:t>Institut Fran</w:t>
      </w:r>
      <w:r>
        <w:rPr>
          <w:rStyle w:val="label"/>
          <w:sz w:val="20"/>
          <w:szCs w:val="20"/>
          <w:lang w:val="fr-FR"/>
        </w:rPr>
        <w:t>ç</w:t>
      </w:r>
      <w:r w:rsidRPr="00796CE1">
        <w:rPr>
          <w:rStyle w:val="label"/>
          <w:sz w:val="20"/>
          <w:szCs w:val="20"/>
          <w:lang w:val="fr-FR"/>
        </w:rPr>
        <w:t>ois Jacob, (</w:t>
      </w:r>
      <w:proofErr w:type="spellStart"/>
      <w:r w:rsidRPr="00796CE1">
        <w:rPr>
          <w:rStyle w:val="label"/>
          <w:sz w:val="20"/>
          <w:szCs w:val="20"/>
          <w:lang w:val="fr-FR"/>
        </w:rPr>
        <w:t>MIRCen</w:t>
      </w:r>
      <w:proofErr w:type="spellEnd"/>
      <w:r w:rsidRPr="00796CE1">
        <w:rPr>
          <w:rStyle w:val="label"/>
          <w:sz w:val="20"/>
          <w:szCs w:val="20"/>
          <w:lang w:val="fr-FR"/>
        </w:rPr>
        <w:t xml:space="preserve">), CEA and </w:t>
      </w:r>
      <w:proofErr w:type="spellStart"/>
      <w:r w:rsidRPr="00796CE1">
        <w:rPr>
          <w:rStyle w:val="label"/>
          <w:sz w:val="20"/>
          <w:szCs w:val="20"/>
          <w:lang w:val="fr-FR"/>
        </w:rPr>
        <w:t>Laboratory</w:t>
      </w:r>
      <w:proofErr w:type="spellEnd"/>
      <w:r w:rsidRPr="00796CE1">
        <w:rPr>
          <w:rStyle w:val="label"/>
          <w:sz w:val="20"/>
          <w:szCs w:val="20"/>
          <w:lang w:val="fr-FR"/>
        </w:rPr>
        <w:t xml:space="preserve"> of </w:t>
      </w:r>
      <w:proofErr w:type="spellStart"/>
      <w:r w:rsidRPr="00796CE1">
        <w:rPr>
          <w:rStyle w:val="label"/>
          <w:sz w:val="20"/>
          <w:szCs w:val="20"/>
          <w:lang w:val="fr-FR"/>
        </w:rPr>
        <w:t>Neurodegenerative</w:t>
      </w:r>
      <w:proofErr w:type="spellEnd"/>
      <w:r w:rsidRPr="00796CE1">
        <w:rPr>
          <w:rStyle w:val="label"/>
          <w:sz w:val="20"/>
          <w:szCs w:val="20"/>
          <w:lang w:val="fr-FR"/>
        </w:rPr>
        <w:t xml:space="preserve"> </w:t>
      </w:r>
      <w:proofErr w:type="spellStart"/>
      <w:r w:rsidRPr="00796CE1">
        <w:rPr>
          <w:rStyle w:val="label"/>
          <w:sz w:val="20"/>
          <w:szCs w:val="20"/>
          <w:lang w:val="fr-FR"/>
        </w:rPr>
        <w:t>Diseases</w:t>
      </w:r>
      <w:proofErr w:type="spellEnd"/>
      <w:r w:rsidRPr="00796CE1">
        <w:rPr>
          <w:rStyle w:val="label"/>
          <w:sz w:val="20"/>
          <w:szCs w:val="20"/>
          <w:lang w:val="fr-FR"/>
        </w:rPr>
        <w:t xml:space="preserve">, </w:t>
      </w:r>
      <w:r w:rsidRPr="009B4C18">
        <w:rPr>
          <w:color w:val="000000" w:themeColor="text1"/>
          <w:sz w:val="20"/>
          <w:szCs w:val="20"/>
          <w:shd w:val="clear" w:color="auto" w:fill="FFFFFF"/>
          <w:lang w:val="fr-FR"/>
        </w:rPr>
        <w:t xml:space="preserve">CNRS, </w:t>
      </w:r>
      <w:r w:rsidRPr="00796CE1">
        <w:rPr>
          <w:rStyle w:val="label"/>
          <w:sz w:val="20"/>
          <w:szCs w:val="20"/>
          <w:lang w:val="fr-FR"/>
        </w:rPr>
        <w:t xml:space="preserve">92260 </w:t>
      </w:r>
      <w:r w:rsidRPr="009B4C18">
        <w:rPr>
          <w:color w:val="000000" w:themeColor="text1"/>
          <w:sz w:val="20"/>
          <w:szCs w:val="20"/>
          <w:shd w:val="clear" w:color="auto" w:fill="FFFFFF"/>
          <w:lang w:val="fr-FR"/>
        </w:rPr>
        <w:t>Fontenay-aux-Roses, France.</w:t>
      </w:r>
      <w:r w:rsidRPr="009B4C18">
        <w:rPr>
          <w:bCs/>
          <w:color w:val="000000" w:themeColor="text1"/>
          <w:sz w:val="20"/>
          <w:szCs w:val="20"/>
          <w:lang w:val="fr-FR"/>
        </w:rPr>
        <w:t xml:space="preserve"> </w:t>
      </w:r>
    </w:p>
    <w:bookmarkEnd w:id="0"/>
    <w:p w:rsidR="00E12E60" w:rsidRPr="0014260A" w:rsidRDefault="00E12E60" w:rsidP="00E12E60">
      <w:pPr>
        <w:spacing w:line="360" w:lineRule="auto"/>
        <w:jc w:val="both"/>
        <w:rPr>
          <w:sz w:val="20"/>
          <w:szCs w:val="20"/>
          <w:lang w:val="fr-FR"/>
        </w:rPr>
      </w:pPr>
    </w:p>
    <w:p w:rsidR="00E12E60" w:rsidRPr="009B4C18" w:rsidRDefault="00E12E60" w:rsidP="00E12E60">
      <w:pPr>
        <w:spacing w:line="360" w:lineRule="auto"/>
        <w:jc w:val="both"/>
        <w:rPr>
          <w:sz w:val="20"/>
          <w:szCs w:val="20"/>
          <w:lang w:val="fr-FR"/>
        </w:rPr>
      </w:pPr>
      <w:r w:rsidRPr="009B4C18">
        <w:rPr>
          <w:sz w:val="20"/>
          <w:szCs w:val="20"/>
          <w:lang w:val="fr-FR"/>
        </w:rPr>
        <w:t>Ronald MELKI, PhD</w:t>
      </w:r>
    </w:p>
    <w:p w:rsidR="00E12E60" w:rsidRPr="009B4C18" w:rsidRDefault="00E12E60" w:rsidP="00E12E60">
      <w:pPr>
        <w:spacing w:line="360" w:lineRule="auto"/>
        <w:jc w:val="both"/>
        <w:rPr>
          <w:bCs/>
          <w:color w:val="000000" w:themeColor="text1"/>
          <w:sz w:val="20"/>
          <w:szCs w:val="20"/>
          <w:lang w:val="fr-FR"/>
        </w:rPr>
      </w:pPr>
      <w:r w:rsidRPr="009B4C18">
        <w:rPr>
          <w:rStyle w:val="label"/>
          <w:sz w:val="20"/>
          <w:szCs w:val="20"/>
          <w:lang w:val="fr-FR"/>
        </w:rPr>
        <w:t>Institut François Jacob, (</w:t>
      </w:r>
      <w:proofErr w:type="spellStart"/>
      <w:r w:rsidRPr="009B4C18">
        <w:rPr>
          <w:rStyle w:val="label"/>
          <w:sz w:val="20"/>
          <w:szCs w:val="20"/>
          <w:lang w:val="fr-FR"/>
        </w:rPr>
        <w:t>MIRCen</w:t>
      </w:r>
      <w:proofErr w:type="spellEnd"/>
      <w:r w:rsidRPr="009B4C18">
        <w:rPr>
          <w:rStyle w:val="label"/>
          <w:sz w:val="20"/>
          <w:szCs w:val="20"/>
          <w:lang w:val="fr-FR"/>
        </w:rPr>
        <w:t xml:space="preserve">), CEA and </w:t>
      </w:r>
      <w:proofErr w:type="spellStart"/>
      <w:r w:rsidRPr="009B4C18">
        <w:rPr>
          <w:rStyle w:val="label"/>
          <w:sz w:val="20"/>
          <w:szCs w:val="20"/>
          <w:lang w:val="fr-FR"/>
        </w:rPr>
        <w:t>Laboratory</w:t>
      </w:r>
      <w:proofErr w:type="spellEnd"/>
      <w:r w:rsidRPr="009B4C18">
        <w:rPr>
          <w:rStyle w:val="label"/>
          <w:sz w:val="20"/>
          <w:szCs w:val="20"/>
          <w:lang w:val="fr-FR"/>
        </w:rPr>
        <w:t xml:space="preserve"> of </w:t>
      </w:r>
      <w:proofErr w:type="spellStart"/>
      <w:r w:rsidRPr="009B4C18">
        <w:rPr>
          <w:rStyle w:val="label"/>
          <w:sz w:val="20"/>
          <w:szCs w:val="20"/>
          <w:lang w:val="fr-FR"/>
        </w:rPr>
        <w:t>Neurodegenerative</w:t>
      </w:r>
      <w:proofErr w:type="spellEnd"/>
      <w:r w:rsidRPr="009B4C18">
        <w:rPr>
          <w:rStyle w:val="label"/>
          <w:sz w:val="20"/>
          <w:szCs w:val="20"/>
          <w:lang w:val="fr-FR"/>
        </w:rPr>
        <w:t xml:space="preserve"> </w:t>
      </w:r>
      <w:proofErr w:type="spellStart"/>
      <w:r w:rsidRPr="009B4C18">
        <w:rPr>
          <w:rStyle w:val="label"/>
          <w:sz w:val="20"/>
          <w:szCs w:val="20"/>
          <w:lang w:val="fr-FR"/>
        </w:rPr>
        <w:t>Diseases</w:t>
      </w:r>
      <w:proofErr w:type="spellEnd"/>
      <w:r w:rsidRPr="009B4C18">
        <w:rPr>
          <w:rStyle w:val="label"/>
          <w:sz w:val="20"/>
          <w:szCs w:val="20"/>
          <w:lang w:val="fr-FR"/>
        </w:rPr>
        <w:t xml:space="preserve">, </w:t>
      </w:r>
      <w:r w:rsidRPr="009B4C18">
        <w:rPr>
          <w:color w:val="000000" w:themeColor="text1"/>
          <w:sz w:val="20"/>
          <w:szCs w:val="20"/>
          <w:shd w:val="clear" w:color="auto" w:fill="FFFFFF"/>
          <w:lang w:val="fr-FR"/>
        </w:rPr>
        <w:t xml:space="preserve">CNRS, </w:t>
      </w:r>
      <w:r w:rsidRPr="009B4C18">
        <w:rPr>
          <w:rStyle w:val="label"/>
          <w:sz w:val="20"/>
          <w:szCs w:val="20"/>
          <w:lang w:val="fr-FR"/>
        </w:rPr>
        <w:t xml:space="preserve">92260 </w:t>
      </w:r>
      <w:r w:rsidRPr="009B4C18">
        <w:rPr>
          <w:color w:val="000000" w:themeColor="text1"/>
          <w:sz w:val="20"/>
          <w:szCs w:val="20"/>
          <w:shd w:val="clear" w:color="auto" w:fill="FFFFFF"/>
          <w:lang w:val="fr-FR"/>
        </w:rPr>
        <w:t>Fontenay-aux-Roses, France.</w:t>
      </w:r>
      <w:r w:rsidRPr="009B4C18">
        <w:rPr>
          <w:bCs/>
          <w:color w:val="000000" w:themeColor="text1"/>
          <w:sz w:val="20"/>
          <w:szCs w:val="20"/>
          <w:lang w:val="fr-FR"/>
        </w:rPr>
        <w:t xml:space="preserve"> </w:t>
      </w:r>
    </w:p>
    <w:p w:rsidR="00E12E60" w:rsidRPr="009B4C18" w:rsidRDefault="00E12E60" w:rsidP="00E12E60">
      <w:pPr>
        <w:spacing w:line="360" w:lineRule="auto"/>
        <w:jc w:val="both"/>
        <w:rPr>
          <w:sz w:val="20"/>
          <w:szCs w:val="20"/>
          <w:lang w:val="fr-FR"/>
        </w:rPr>
      </w:pPr>
    </w:p>
    <w:p w:rsidR="00E12E60" w:rsidRPr="005E12FF" w:rsidRDefault="00E12E60" w:rsidP="00E12E60">
      <w:pPr>
        <w:spacing w:line="360" w:lineRule="auto"/>
        <w:jc w:val="both"/>
        <w:rPr>
          <w:sz w:val="20"/>
          <w:szCs w:val="20"/>
          <w:lang w:val="fr-FR"/>
        </w:rPr>
      </w:pPr>
      <w:r w:rsidRPr="005E12FF">
        <w:rPr>
          <w:sz w:val="20"/>
          <w:szCs w:val="20"/>
          <w:lang w:val="fr-FR"/>
        </w:rPr>
        <w:lastRenderedPageBreak/>
        <w:t>Catherine VILLARD, PhD</w:t>
      </w:r>
    </w:p>
    <w:p w:rsidR="00E12E60" w:rsidRDefault="00E12E60" w:rsidP="00E12E60">
      <w:pPr>
        <w:spacing w:line="360" w:lineRule="auto"/>
        <w:jc w:val="both"/>
        <w:rPr>
          <w:sz w:val="20"/>
          <w:szCs w:val="20"/>
          <w:lang w:val="fr-FR"/>
        </w:rPr>
      </w:pPr>
      <w:r w:rsidRPr="00AA2A7C">
        <w:rPr>
          <w:sz w:val="20"/>
          <w:szCs w:val="20"/>
          <w:lang w:val="fr-FR"/>
        </w:rPr>
        <w:t>Institut Curie</w:t>
      </w:r>
      <w:r>
        <w:rPr>
          <w:sz w:val="20"/>
          <w:szCs w:val="20"/>
          <w:lang w:val="fr-FR"/>
        </w:rPr>
        <w:t>, CNRS</w:t>
      </w:r>
      <w:r w:rsidRPr="00AA2A7C">
        <w:rPr>
          <w:sz w:val="20"/>
          <w:szCs w:val="20"/>
          <w:lang w:val="fr-FR"/>
        </w:rPr>
        <w:t xml:space="preserve"> UMR 168, Université PSL, Sorbonne Universités, Paris</w:t>
      </w:r>
      <w:r>
        <w:rPr>
          <w:sz w:val="20"/>
          <w:szCs w:val="20"/>
          <w:lang w:val="fr-FR"/>
        </w:rPr>
        <w:t xml:space="preserve"> 75005</w:t>
      </w:r>
      <w:r w:rsidRPr="00AA2A7C">
        <w:rPr>
          <w:sz w:val="20"/>
          <w:szCs w:val="20"/>
          <w:lang w:val="fr-FR"/>
        </w:rPr>
        <w:t>, France</w:t>
      </w:r>
      <w:r w:rsidRPr="00AA2A7C" w:rsidDel="00AA2A7C">
        <w:rPr>
          <w:sz w:val="20"/>
          <w:szCs w:val="20"/>
          <w:lang w:val="fr-FR"/>
        </w:rPr>
        <w:t xml:space="preserve"> </w:t>
      </w:r>
    </w:p>
    <w:p w:rsidR="00E12E60" w:rsidRDefault="00E12E60" w:rsidP="00E12E60">
      <w:pPr>
        <w:spacing w:line="360" w:lineRule="auto"/>
        <w:jc w:val="both"/>
        <w:rPr>
          <w:sz w:val="20"/>
          <w:szCs w:val="20"/>
          <w:lang w:val="fr-FR"/>
        </w:rPr>
      </w:pPr>
    </w:p>
    <w:p w:rsidR="00E12E60" w:rsidRPr="005E12FF" w:rsidRDefault="00E12E60" w:rsidP="00E12E60">
      <w:pPr>
        <w:spacing w:line="360" w:lineRule="auto"/>
        <w:jc w:val="both"/>
        <w:rPr>
          <w:sz w:val="20"/>
          <w:szCs w:val="20"/>
          <w:lang w:val="fr-FR"/>
        </w:rPr>
      </w:pPr>
      <w:r w:rsidRPr="005E12FF">
        <w:rPr>
          <w:sz w:val="20"/>
          <w:szCs w:val="20"/>
          <w:lang w:val="fr-FR"/>
        </w:rPr>
        <w:t>Jean-Michel PEYRIN, PhD</w:t>
      </w:r>
    </w:p>
    <w:p w:rsidR="00E12E60" w:rsidRPr="005E12FF" w:rsidRDefault="00E12E60" w:rsidP="00E12E60">
      <w:pPr>
        <w:spacing w:line="360" w:lineRule="auto"/>
        <w:jc w:val="both"/>
        <w:rPr>
          <w:sz w:val="20"/>
          <w:szCs w:val="20"/>
          <w:lang w:val="fr-FR"/>
        </w:rPr>
      </w:pPr>
      <w:r w:rsidRPr="005E12FF">
        <w:rPr>
          <w:sz w:val="20"/>
          <w:szCs w:val="20"/>
          <w:lang w:val="fr-FR"/>
        </w:rPr>
        <w:t>Sorbonne Universités, Faculté des Sciences et Technologie, CNRS UMR 8246, INSERM U1130, Neurosciences Paris</w:t>
      </w:r>
      <w:r>
        <w:rPr>
          <w:sz w:val="20"/>
          <w:szCs w:val="20"/>
          <w:lang w:val="fr-FR"/>
        </w:rPr>
        <w:t xml:space="preserve"> </w:t>
      </w:r>
      <w:r w:rsidRPr="005E12FF">
        <w:rPr>
          <w:sz w:val="20"/>
          <w:szCs w:val="20"/>
          <w:lang w:val="fr-FR"/>
        </w:rPr>
        <w:t>Seine, Institut de Biologie Paris Seine, Paris, 75005, France</w:t>
      </w:r>
    </w:p>
    <w:p w:rsidR="00E12E60" w:rsidRPr="0014260A" w:rsidRDefault="00E12E60" w:rsidP="00E12E60">
      <w:pPr>
        <w:spacing w:line="360" w:lineRule="auto"/>
        <w:jc w:val="both"/>
        <w:rPr>
          <w:b/>
          <w:sz w:val="20"/>
          <w:szCs w:val="20"/>
          <w:lang w:val="fr-FR"/>
        </w:rPr>
      </w:pPr>
    </w:p>
    <w:p w:rsidR="00E12E60" w:rsidRDefault="00E12E60" w:rsidP="00E12E60">
      <w:pPr>
        <w:spacing w:line="360" w:lineRule="auto"/>
        <w:jc w:val="both"/>
        <w:rPr>
          <w:b/>
          <w:sz w:val="20"/>
          <w:szCs w:val="20"/>
        </w:rPr>
      </w:pPr>
      <w:r w:rsidRPr="005E12FF">
        <w:rPr>
          <w:b/>
          <w:sz w:val="20"/>
          <w:szCs w:val="20"/>
        </w:rPr>
        <w:t>Corresponding author</w:t>
      </w:r>
    </w:p>
    <w:p w:rsidR="00E12E60" w:rsidRPr="005E12FF" w:rsidRDefault="00E12E60" w:rsidP="00E12E60">
      <w:pPr>
        <w:spacing w:line="360" w:lineRule="auto"/>
        <w:jc w:val="both"/>
        <w:rPr>
          <w:b/>
          <w:sz w:val="20"/>
          <w:szCs w:val="20"/>
        </w:rPr>
      </w:pPr>
    </w:p>
    <w:p w:rsidR="00E12E60" w:rsidRDefault="00E12E60" w:rsidP="00E12E60">
      <w:pPr>
        <w:spacing w:line="360" w:lineRule="auto"/>
        <w:jc w:val="both"/>
        <w:rPr>
          <w:bCs/>
          <w:sz w:val="20"/>
          <w:szCs w:val="20"/>
        </w:rPr>
      </w:pPr>
      <w:r w:rsidRPr="005E12FF">
        <w:rPr>
          <w:sz w:val="20"/>
          <w:szCs w:val="20"/>
        </w:rPr>
        <w:t>JM Peyrin</w:t>
      </w:r>
      <w:r w:rsidRPr="005E12FF">
        <w:rPr>
          <w:rStyle w:val="go"/>
          <w:sz w:val="20"/>
          <w:szCs w:val="20"/>
        </w:rPr>
        <w:t xml:space="preserve">, </w:t>
      </w:r>
      <w:hyperlink r:id="rId4" w:history="1">
        <w:r w:rsidRPr="005E12FF">
          <w:rPr>
            <w:rStyle w:val="Lienhypertexte"/>
            <w:sz w:val="20"/>
            <w:szCs w:val="20"/>
          </w:rPr>
          <w:t>jean-michel.peyrin@sorbonne-universite.fr</w:t>
        </w:r>
      </w:hyperlink>
      <w:r w:rsidRPr="005E12FF">
        <w:rPr>
          <w:sz w:val="20"/>
          <w:szCs w:val="20"/>
        </w:rPr>
        <w:t>, Telephone +33 1 44 27 24 96, Fax +33 1 44 27 25 08</w:t>
      </w:r>
    </w:p>
    <w:p w:rsidR="00127DFE" w:rsidRPr="00E70246" w:rsidRDefault="00127DFE" w:rsidP="00E70246">
      <w:pPr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:rsidR="00127DFE" w:rsidRPr="000858A9" w:rsidRDefault="00127DFE" w:rsidP="00127DFE">
      <w:pPr>
        <w:rPr>
          <w:b/>
        </w:rPr>
      </w:pPr>
      <w:r w:rsidRPr="000858A9">
        <w:rPr>
          <w:b/>
        </w:rPr>
        <w:lastRenderedPageBreak/>
        <w:t>Supplementary Figure 1</w:t>
      </w:r>
    </w:p>
    <w:p w:rsidR="00127DFE" w:rsidRPr="000858A9" w:rsidRDefault="00127DFE" w:rsidP="00127DFE">
      <w:pPr>
        <w:rPr>
          <w:b/>
        </w:rPr>
      </w:pPr>
      <w:r w:rsidRPr="000858A9">
        <w:rPr>
          <w:b/>
        </w:rPr>
        <w:t>Dimensions of axonal filtration microchannels</w:t>
      </w:r>
    </w:p>
    <w:p w:rsidR="00127DFE" w:rsidRPr="000858A9" w:rsidRDefault="00127DFE" w:rsidP="00127DFE">
      <w:pPr>
        <w:rPr>
          <w:bCs/>
        </w:rPr>
      </w:pPr>
      <w:r w:rsidRPr="000858A9">
        <w:rPr>
          <w:b/>
        </w:rPr>
        <w:t>(a)</w:t>
      </w:r>
      <w:r w:rsidRPr="000858A9">
        <w:rPr>
          <w:bCs/>
        </w:rPr>
        <w:t xml:space="preserve"> Design of a single device for oriented network reconstruction. In grey: 50 µm high compartments, in white: 3 µm high microchannels. </w:t>
      </w:r>
      <w:r w:rsidRPr="000858A9">
        <w:rPr>
          <w:b/>
        </w:rPr>
        <w:t xml:space="preserve">(b) </w:t>
      </w:r>
      <w:r w:rsidRPr="000858A9">
        <w:rPr>
          <w:bCs/>
        </w:rPr>
        <w:t xml:space="preserve">Zoom on the microchannels. </w:t>
      </w:r>
      <w:r w:rsidRPr="000858A9">
        <w:rPr>
          <w:b/>
        </w:rPr>
        <w:t>(c)</w:t>
      </w:r>
      <w:r w:rsidRPr="000858A9">
        <w:rPr>
          <w:bCs/>
        </w:rPr>
        <w:t xml:space="preserve"> Zoom on a single microchannel motif. Critical dimensions are highlighted.</w:t>
      </w:r>
    </w:p>
    <w:p w:rsidR="00127DFE" w:rsidRDefault="00127DFE" w:rsidP="00E70246">
      <w:pPr>
        <w:spacing w:after="0" w:line="240" w:lineRule="auto"/>
        <w:rPr>
          <w:b/>
        </w:rPr>
      </w:pPr>
    </w:p>
    <w:p w:rsidR="00127DFE" w:rsidRPr="000858A9" w:rsidRDefault="00127DFE" w:rsidP="00127DFE">
      <w:pPr>
        <w:rPr>
          <w:b/>
        </w:rPr>
      </w:pPr>
      <w:r w:rsidRPr="000858A9">
        <w:rPr>
          <w:b/>
        </w:rPr>
        <w:t>Supplementary Figure 2</w:t>
      </w:r>
    </w:p>
    <w:p w:rsidR="00127DFE" w:rsidRPr="000858A9" w:rsidRDefault="00127DFE" w:rsidP="00127DFE">
      <w:pPr>
        <w:rPr>
          <w:b/>
        </w:rPr>
      </w:pPr>
      <w:r w:rsidRPr="000858A9">
        <w:rPr>
          <w:b/>
        </w:rPr>
        <w:t xml:space="preserve">Robust axonal invasion from the </w:t>
      </w:r>
      <w:proofErr w:type="spellStart"/>
      <w:r w:rsidRPr="000858A9">
        <w:rPr>
          <w:b/>
        </w:rPr>
        <w:t>presyn</w:t>
      </w:r>
      <w:proofErr w:type="spellEnd"/>
      <w:r w:rsidRPr="000858A9">
        <w:rPr>
          <w:b/>
        </w:rPr>
        <w:t xml:space="preserve"> to the </w:t>
      </w:r>
      <w:proofErr w:type="spellStart"/>
      <w:r w:rsidRPr="000858A9">
        <w:rPr>
          <w:b/>
        </w:rPr>
        <w:t>postsyn</w:t>
      </w:r>
      <w:proofErr w:type="spellEnd"/>
      <w:r w:rsidRPr="000858A9">
        <w:rPr>
          <w:b/>
        </w:rPr>
        <w:t xml:space="preserve"> compartment</w:t>
      </w:r>
    </w:p>
    <w:p w:rsidR="00127DFE" w:rsidRPr="00127DFE" w:rsidRDefault="00127DFE" w:rsidP="00127DFE">
      <w:pPr>
        <w:rPr>
          <w:bCs/>
        </w:rPr>
      </w:pPr>
      <w:r w:rsidRPr="000858A9">
        <w:rPr>
          <w:b/>
        </w:rPr>
        <w:t xml:space="preserve">(a) </w:t>
      </w:r>
      <w:r w:rsidRPr="000858A9">
        <w:rPr>
          <w:bCs/>
        </w:rPr>
        <w:t xml:space="preserve">Epifluorescence microscopy field of a representative </w:t>
      </w:r>
      <w:proofErr w:type="spellStart"/>
      <w:r w:rsidRPr="000858A9">
        <w:rPr>
          <w:bCs/>
        </w:rPr>
        <w:t>Hip</w:t>
      </w:r>
      <w:r w:rsidRPr="000858A9">
        <w:rPr>
          <w:bCs/>
          <w:vertAlign w:val="superscript"/>
        </w:rPr>
        <w:t>mTmG</w:t>
      </w:r>
      <w:proofErr w:type="spellEnd"/>
      <w:r w:rsidRPr="000858A9">
        <w:rPr>
          <w:bCs/>
          <w:vertAlign w:val="superscript"/>
        </w:rPr>
        <w:t xml:space="preserve"> +/-</w:t>
      </w:r>
      <w:r w:rsidRPr="000858A9">
        <w:rPr>
          <w:bCs/>
        </w:rPr>
        <w:t>&gt;</w:t>
      </w:r>
      <w:proofErr w:type="spellStart"/>
      <w:r w:rsidRPr="000858A9">
        <w:rPr>
          <w:bCs/>
        </w:rPr>
        <w:t>Hip</w:t>
      </w:r>
      <w:r w:rsidRPr="000858A9">
        <w:rPr>
          <w:bCs/>
          <w:vertAlign w:val="superscript"/>
        </w:rPr>
        <w:t>mTmG</w:t>
      </w:r>
      <w:proofErr w:type="spellEnd"/>
      <w:r w:rsidRPr="000858A9">
        <w:rPr>
          <w:bCs/>
          <w:vertAlign w:val="superscript"/>
        </w:rPr>
        <w:t xml:space="preserve"> -/-</w:t>
      </w:r>
      <w:r w:rsidRPr="000858A9">
        <w:rPr>
          <w:bCs/>
        </w:rPr>
        <w:t xml:space="preserve"> network at DIV19. Presynaptic neurons densely innervate the region in front of microchannels in the postsynaptic compartment. </w:t>
      </w:r>
      <w:r w:rsidRPr="000858A9">
        <w:rPr>
          <w:b/>
        </w:rPr>
        <w:t>(b)</w:t>
      </w:r>
      <w:r w:rsidRPr="000858A9">
        <w:rPr>
          <w:bCs/>
        </w:rPr>
        <w:t xml:space="preserve"> Epifluorescence microscopy field of a representative Hip&gt;Hip network at DIV24. </w:t>
      </w:r>
    </w:p>
    <w:p w:rsidR="00127DFE" w:rsidRPr="000858A9" w:rsidRDefault="00127DFE" w:rsidP="00127DFE">
      <w:pPr>
        <w:rPr>
          <w:b/>
        </w:rPr>
      </w:pPr>
      <w:r w:rsidRPr="000858A9">
        <w:rPr>
          <w:b/>
        </w:rPr>
        <w:t xml:space="preserve">Supplementary </w:t>
      </w:r>
      <w:r>
        <w:rPr>
          <w:b/>
        </w:rPr>
        <w:t>Figure 3</w:t>
      </w:r>
    </w:p>
    <w:p w:rsidR="00127DFE" w:rsidRPr="000858A9" w:rsidRDefault="00127DFE" w:rsidP="00127DFE">
      <w:pPr>
        <w:rPr>
          <w:b/>
        </w:rPr>
      </w:pPr>
      <w:r w:rsidRPr="000858A9">
        <w:rPr>
          <w:b/>
        </w:rPr>
        <w:t>aSyn exogenous aggregates are actively transferred from neuron to neuron in an anterograde fashion.</w:t>
      </w:r>
    </w:p>
    <w:p w:rsidR="00127DFE" w:rsidRPr="000858A9" w:rsidRDefault="00127DFE" w:rsidP="00127DFE">
      <w:pPr>
        <w:rPr>
          <w:bCs/>
        </w:rPr>
      </w:pPr>
      <w:r w:rsidRPr="000858A9">
        <w:rPr>
          <w:b/>
        </w:rPr>
        <w:t>(a)</w:t>
      </w:r>
      <w:r w:rsidRPr="000858A9">
        <w:rPr>
          <w:bCs/>
        </w:rPr>
        <w:t xml:space="preserve"> Schematic representation of the experimental design. </w:t>
      </w:r>
      <w:r>
        <w:rPr>
          <w:bCs/>
        </w:rPr>
        <w:t>T</w:t>
      </w:r>
      <w:r w:rsidRPr="000858A9">
        <w:rPr>
          <w:bCs/>
        </w:rPr>
        <w:t>he presynaptic compartment of Hip&gt;Hip or Ø&gt;Hip networks</w:t>
      </w:r>
      <w:r>
        <w:rPr>
          <w:bCs/>
        </w:rPr>
        <w:t xml:space="preserve"> was spiked with </w:t>
      </w:r>
      <w:r w:rsidRPr="009C0139">
        <w:t>500</w:t>
      </w:r>
      <w:r>
        <w:t xml:space="preserve"> </w:t>
      </w:r>
      <w:proofErr w:type="spellStart"/>
      <w:r>
        <w:t>nM</w:t>
      </w:r>
      <w:proofErr w:type="spellEnd"/>
      <w:r w:rsidRPr="009C0139">
        <w:t xml:space="preserve"> </w:t>
      </w:r>
      <w:proofErr w:type="spellStart"/>
      <w:r w:rsidRPr="009C0139">
        <w:t>hFib</w:t>
      </w:r>
      <w:proofErr w:type="spellEnd"/>
      <w:r w:rsidRPr="009C0139">
        <w:t xml:space="preserve"> or 500</w:t>
      </w:r>
      <w:r>
        <w:t xml:space="preserve"> </w:t>
      </w:r>
      <w:proofErr w:type="spellStart"/>
      <w:r>
        <w:t>nM</w:t>
      </w:r>
      <w:proofErr w:type="spellEnd"/>
      <w:r w:rsidRPr="009C0139">
        <w:t xml:space="preserve"> </w:t>
      </w:r>
      <w:proofErr w:type="spellStart"/>
      <w:r w:rsidRPr="009C0139">
        <w:t>hOlig</w:t>
      </w:r>
      <w:proofErr w:type="spellEnd"/>
      <w:r w:rsidRPr="000858A9">
        <w:rPr>
          <w:bCs/>
        </w:rPr>
        <w:t>, and</w:t>
      </w:r>
      <w:r>
        <w:rPr>
          <w:bCs/>
        </w:rPr>
        <w:t xml:space="preserve"> aggregates associated fluorescence </w:t>
      </w:r>
      <w:r w:rsidRPr="000858A9">
        <w:rPr>
          <w:bCs/>
        </w:rPr>
        <w:t xml:space="preserve">was monitored in </w:t>
      </w:r>
      <w:r>
        <w:rPr>
          <w:bCs/>
        </w:rPr>
        <w:t xml:space="preserve">neuronal somas in </w:t>
      </w:r>
      <w:r w:rsidRPr="000858A9">
        <w:rPr>
          <w:bCs/>
        </w:rPr>
        <w:t xml:space="preserve">the </w:t>
      </w:r>
      <w:proofErr w:type="spellStart"/>
      <w:r w:rsidRPr="000858A9">
        <w:rPr>
          <w:bCs/>
        </w:rPr>
        <w:t>postsyn</w:t>
      </w:r>
      <w:proofErr w:type="spellEnd"/>
      <w:r w:rsidRPr="000858A9">
        <w:rPr>
          <w:bCs/>
        </w:rPr>
        <w:t xml:space="preserve"> compartment 3 days later. </w:t>
      </w:r>
      <w:r w:rsidRPr="000858A9">
        <w:rPr>
          <w:b/>
        </w:rPr>
        <w:t xml:space="preserve">(b) </w:t>
      </w:r>
      <w:r w:rsidRPr="000858A9">
        <w:rPr>
          <w:bCs/>
        </w:rPr>
        <w:t xml:space="preserve">Representative epifluorescence microscopy fields of postsynaptic neurons. Top row, </w:t>
      </w:r>
      <w:proofErr w:type="spellStart"/>
      <w:r w:rsidRPr="000858A9">
        <w:rPr>
          <w:bCs/>
        </w:rPr>
        <w:t>hFib</w:t>
      </w:r>
      <w:proofErr w:type="spellEnd"/>
      <w:r w:rsidRPr="000858A9">
        <w:rPr>
          <w:bCs/>
        </w:rPr>
        <w:t xml:space="preserve"> associated fluorescence is shown with the Turbo colormap</w:t>
      </w:r>
      <w:r>
        <w:rPr>
          <w:bCs/>
        </w:rPr>
        <w:t xml:space="preserve"> (dark blue is zero, dark red is max. Obtained from </w:t>
      </w:r>
      <w:r w:rsidRPr="004B4485">
        <w:t>github.com/</w:t>
      </w:r>
      <w:proofErr w:type="spellStart"/>
      <w:r w:rsidRPr="004B4485">
        <w:t>cleterrier</w:t>
      </w:r>
      <w:proofErr w:type="spellEnd"/>
      <w:r w:rsidRPr="004B4485">
        <w:t>/</w:t>
      </w:r>
      <w:proofErr w:type="spellStart"/>
      <w:r w:rsidRPr="004B4485">
        <w:t>ChrisLUTs</w:t>
      </w:r>
      <w:proofErr w:type="spellEnd"/>
      <w:r>
        <w:t>.)</w:t>
      </w:r>
      <w:r w:rsidRPr="000858A9">
        <w:rPr>
          <w:bCs/>
        </w:rPr>
        <w:t xml:space="preserve">. Bottom row, </w:t>
      </w:r>
      <w:proofErr w:type="spellStart"/>
      <w:r w:rsidRPr="000858A9">
        <w:rPr>
          <w:bCs/>
        </w:rPr>
        <w:t>hFib</w:t>
      </w:r>
      <w:proofErr w:type="spellEnd"/>
      <w:r w:rsidRPr="000858A9">
        <w:rPr>
          <w:bCs/>
        </w:rPr>
        <w:t xml:space="preserve"> fluorescence is in red and Phase signal in gray. </w:t>
      </w:r>
      <w:r w:rsidRPr="000858A9">
        <w:rPr>
          <w:b/>
        </w:rPr>
        <w:t>(c)</w:t>
      </w:r>
      <w:r w:rsidRPr="000858A9">
        <w:rPr>
          <w:bCs/>
        </w:rPr>
        <w:t xml:space="preserve"> Quantification of the average fluorescence in the somas of postsynaptic neurons (fold change from </w:t>
      </w:r>
      <w:r>
        <w:rPr>
          <w:bCs/>
        </w:rPr>
        <w:t xml:space="preserve">signal in </w:t>
      </w:r>
      <w:r w:rsidRPr="000858A9">
        <w:rPr>
          <w:bCs/>
        </w:rPr>
        <w:t xml:space="preserve">control condition). </w:t>
      </w:r>
      <w:proofErr w:type="spellStart"/>
      <w:r w:rsidRPr="000858A9">
        <w:rPr>
          <w:bCs/>
        </w:rPr>
        <w:t>hFib</w:t>
      </w:r>
      <w:proofErr w:type="spellEnd"/>
      <w:r w:rsidRPr="000858A9">
        <w:rPr>
          <w:bCs/>
        </w:rPr>
        <w:t xml:space="preserve"> networks : n=9-28, N=4-7. </w:t>
      </w:r>
      <w:proofErr w:type="spellStart"/>
      <w:r w:rsidRPr="000858A9">
        <w:rPr>
          <w:bCs/>
        </w:rPr>
        <w:t>hOlig</w:t>
      </w:r>
      <w:proofErr w:type="spellEnd"/>
      <w:r w:rsidRPr="000858A9">
        <w:rPr>
          <w:bCs/>
        </w:rPr>
        <w:t xml:space="preserve"> networks : n=10-16, N=3-4. (n individual culture devices from N individual experiments). Unpaired t-test with Welch’s correction. </w:t>
      </w:r>
      <w:proofErr w:type="spellStart"/>
      <w:r w:rsidRPr="000858A9">
        <w:rPr>
          <w:bCs/>
        </w:rPr>
        <w:t>Fluo</w:t>
      </w:r>
      <w:proofErr w:type="spellEnd"/>
      <w:r w:rsidRPr="000858A9">
        <w:rPr>
          <w:bCs/>
        </w:rPr>
        <w:t>.: aggregates</w:t>
      </w:r>
      <w:r>
        <w:rPr>
          <w:bCs/>
        </w:rPr>
        <w:t xml:space="preserve"> </w:t>
      </w:r>
      <w:r w:rsidRPr="000858A9">
        <w:rPr>
          <w:bCs/>
        </w:rPr>
        <w:t>associated fluorescence.</w:t>
      </w:r>
      <w:r>
        <w:rPr>
          <w:bCs/>
        </w:rPr>
        <w:t xml:space="preserve"> </w:t>
      </w:r>
      <w:r>
        <w:t>Error bars show standard error of the mean.</w:t>
      </w:r>
    </w:p>
    <w:p w:rsidR="00127DFE" w:rsidRPr="000858A9" w:rsidRDefault="00127DFE" w:rsidP="00127DFE">
      <w:pPr>
        <w:rPr>
          <w:b/>
        </w:rPr>
      </w:pPr>
    </w:p>
    <w:p w:rsidR="00127DFE" w:rsidRPr="000858A9" w:rsidRDefault="00127DFE" w:rsidP="00127DFE">
      <w:pPr>
        <w:rPr>
          <w:b/>
        </w:rPr>
      </w:pPr>
      <w:r w:rsidRPr="000858A9">
        <w:rPr>
          <w:b/>
        </w:rPr>
        <w:t xml:space="preserve">Supplementary Figure </w:t>
      </w:r>
      <w:r>
        <w:rPr>
          <w:b/>
        </w:rPr>
        <w:t>4</w:t>
      </w:r>
    </w:p>
    <w:p w:rsidR="00127DFE" w:rsidRPr="000858A9" w:rsidRDefault="00127DFE" w:rsidP="00127DFE">
      <w:pPr>
        <w:rPr>
          <w:b/>
        </w:rPr>
      </w:pPr>
      <w:r w:rsidRPr="000858A9">
        <w:rPr>
          <w:b/>
        </w:rPr>
        <w:t>Synaptic connectivity between the presynaptic and postsynaptic populations increases with culture time.</w:t>
      </w:r>
    </w:p>
    <w:p w:rsidR="00127DFE" w:rsidRPr="000858A9" w:rsidRDefault="00127DFE" w:rsidP="00127DFE">
      <w:r w:rsidRPr="000858A9">
        <w:rPr>
          <w:b/>
          <w:bCs/>
        </w:rPr>
        <w:t>(a)</w:t>
      </w:r>
      <w:r w:rsidRPr="000858A9">
        <w:t xml:space="preserve"> Schematic representation of the experimental design. Hip</w:t>
      </w:r>
      <w:r w:rsidRPr="000858A9">
        <w:rPr>
          <w:vertAlign w:val="superscript"/>
        </w:rPr>
        <w:t>SNCA +/+</w:t>
      </w:r>
      <w:r>
        <w:t>&gt;H</w:t>
      </w:r>
      <w:r w:rsidRPr="000858A9">
        <w:t>ip</w:t>
      </w:r>
      <w:r w:rsidRPr="000858A9">
        <w:rPr>
          <w:vertAlign w:val="superscript"/>
        </w:rPr>
        <w:t>SNCA -/-</w:t>
      </w:r>
      <w:r w:rsidRPr="000858A9">
        <w:t xml:space="preserve">  networks permitted the estimation of overall synaptic density by staining for synaptic proteins, and of inter-compartment synaptic structures by staining for the presynaptic aSyn protein. </w:t>
      </w:r>
      <w:r w:rsidRPr="000858A9">
        <w:rPr>
          <w:b/>
        </w:rPr>
        <w:t>(b)</w:t>
      </w:r>
      <w:r w:rsidRPr="000858A9">
        <w:t xml:space="preserve"> Representative confocal microscopy field of neurons in the postsynaptic chamber of a 21 days old culture. White arrows highlight synaptic foci stained with both aSyn and VGLUT1. </w:t>
      </w:r>
      <w:r w:rsidRPr="000858A9">
        <w:rPr>
          <w:b/>
          <w:bCs/>
        </w:rPr>
        <w:t>(</w:t>
      </w:r>
      <w:proofErr w:type="spellStart"/>
      <w:r w:rsidRPr="000858A9">
        <w:rPr>
          <w:b/>
          <w:bCs/>
        </w:rPr>
        <w:t>c,d,e</w:t>
      </w:r>
      <w:proofErr w:type="spellEnd"/>
      <w:r w:rsidRPr="000858A9">
        <w:rPr>
          <w:b/>
          <w:bCs/>
        </w:rPr>
        <w:t>)</w:t>
      </w:r>
      <w:r w:rsidRPr="000858A9">
        <w:t xml:space="preserve"> Evolution of synaptic connectivity over</w:t>
      </w:r>
      <w:r>
        <w:t xml:space="preserve"> culture</w:t>
      </w:r>
      <w:r w:rsidRPr="000858A9">
        <w:t xml:space="preserve"> time. </w:t>
      </w:r>
      <w:r w:rsidRPr="000858A9">
        <w:rPr>
          <w:b/>
          <w:bCs/>
        </w:rPr>
        <w:t xml:space="preserve">(c) </w:t>
      </w:r>
      <w:r w:rsidRPr="000858A9">
        <w:t>Representative confocal microscopy field of dendrites from the postsynaptic compartment of Ø&gt;Hip</w:t>
      </w:r>
      <w:r w:rsidRPr="000858A9">
        <w:rPr>
          <w:vertAlign w:val="superscript"/>
        </w:rPr>
        <w:t>SNCA -/-</w:t>
      </w:r>
      <w:r w:rsidRPr="000858A9">
        <w:t xml:space="preserve"> and Hip</w:t>
      </w:r>
      <w:r w:rsidRPr="000858A9">
        <w:rPr>
          <w:vertAlign w:val="superscript"/>
        </w:rPr>
        <w:t>SNCA +/+</w:t>
      </w:r>
      <w:r>
        <w:t>&gt;H</w:t>
      </w:r>
      <w:r w:rsidRPr="000858A9">
        <w:t>ip</w:t>
      </w:r>
      <w:r w:rsidRPr="000858A9">
        <w:rPr>
          <w:vertAlign w:val="superscript"/>
        </w:rPr>
        <w:t>SNCA -/-</w:t>
      </w:r>
      <w:r w:rsidRPr="000858A9">
        <w:t xml:space="preserve"> networks. </w:t>
      </w:r>
      <w:r w:rsidRPr="000858A9">
        <w:rPr>
          <w:b/>
          <w:bCs/>
        </w:rPr>
        <w:t>(d)</w:t>
      </w:r>
      <w:r w:rsidRPr="000858A9">
        <w:t xml:space="preserve"> Quantification of the number of Bassoon foci per µm of dendrites in </w:t>
      </w:r>
      <w:r>
        <w:t>the postsynaptic compartment</w:t>
      </w:r>
      <w:r w:rsidRPr="000858A9">
        <w:t xml:space="preserve">. Individual data points represent individual culture devices. </w:t>
      </w:r>
      <w:r w:rsidRPr="000858A9">
        <w:rPr>
          <w:b/>
          <w:bCs/>
        </w:rPr>
        <w:t>(e)</w:t>
      </w:r>
      <w:r w:rsidRPr="000858A9">
        <w:t xml:space="preserve"> Quantification of the number of Bassoon foci</w:t>
      </w:r>
      <w:r>
        <w:t xml:space="preserve"> also</w:t>
      </w:r>
      <w:r w:rsidRPr="000858A9">
        <w:t xml:space="preserve"> positive aSyn per µm of dendrites in </w:t>
      </w:r>
      <w:r>
        <w:t>the postsynaptic compartment</w:t>
      </w:r>
      <w:r w:rsidRPr="000858A9">
        <w:t xml:space="preserve">. Individual data points represent individual culture devices. n=3-5 individual culture devices from N=1 individual experiment. </w:t>
      </w:r>
      <w:r>
        <w:t>Error bars show standard deviation.</w:t>
      </w:r>
    </w:p>
    <w:p w:rsidR="00127DFE" w:rsidRPr="000858A9" w:rsidRDefault="00127DFE" w:rsidP="00127DFE">
      <w:pPr>
        <w:rPr>
          <w:b/>
        </w:rPr>
      </w:pPr>
      <w:r w:rsidRPr="000858A9">
        <w:rPr>
          <w:b/>
        </w:rPr>
        <w:t>Supplementary Figure S</w:t>
      </w:r>
      <w:r>
        <w:rPr>
          <w:b/>
        </w:rPr>
        <w:t>5</w:t>
      </w:r>
    </w:p>
    <w:p w:rsidR="00127DFE" w:rsidRPr="000858A9" w:rsidRDefault="00127DFE" w:rsidP="00127DFE">
      <w:pPr>
        <w:rPr>
          <w:b/>
        </w:rPr>
      </w:pPr>
      <w:r>
        <w:rPr>
          <w:b/>
        </w:rPr>
        <w:lastRenderedPageBreak/>
        <w:t xml:space="preserve">Distribution of </w:t>
      </w:r>
      <w:proofErr w:type="spellStart"/>
      <w:r>
        <w:rPr>
          <w:b/>
        </w:rPr>
        <w:t>hFib</w:t>
      </w:r>
      <w:proofErr w:type="spellEnd"/>
      <w:r>
        <w:rPr>
          <w:b/>
        </w:rPr>
        <w:t xml:space="preserve"> and </w:t>
      </w:r>
      <w:proofErr w:type="spellStart"/>
      <w:r>
        <w:rPr>
          <w:b/>
        </w:rPr>
        <w:t>hOlig</w:t>
      </w:r>
      <w:proofErr w:type="spellEnd"/>
      <w:r>
        <w:rPr>
          <w:b/>
        </w:rPr>
        <w:t xml:space="preserve"> associated fluorescence in presynaptic and postsynaptic neurons</w:t>
      </w:r>
      <w:r w:rsidRPr="000858A9">
        <w:rPr>
          <w:b/>
        </w:rPr>
        <w:t>.</w:t>
      </w:r>
    </w:p>
    <w:p w:rsidR="00127DFE" w:rsidRDefault="00127DFE" w:rsidP="00127DFE">
      <w:pPr>
        <w:rPr>
          <w:bCs/>
        </w:rPr>
      </w:pPr>
      <w:r>
        <w:rPr>
          <w:bCs/>
        </w:rPr>
        <w:t xml:space="preserve">Histograms of the distribution of aggregates associated fluorescence in 500 somas randomly picked from n=8-21 individual culture devices from N=2-5 individual experiments. Somas located in the </w:t>
      </w:r>
      <w:r>
        <w:rPr>
          <w:b/>
        </w:rPr>
        <w:t>(</w:t>
      </w:r>
      <w:proofErr w:type="spellStart"/>
      <w:r>
        <w:rPr>
          <w:b/>
        </w:rPr>
        <w:t>a,b</w:t>
      </w:r>
      <w:proofErr w:type="spellEnd"/>
      <w:r>
        <w:rPr>
          <w:b/>
        </w:rPr>
        <w:t xml:space="preserve">) </w:t>
      </w:r>
      <w:r>
        <w:rPr>
          <w:bCs/>
        </w:rPr>
        <w:t xml:space="preserve">presynaptic or </w:t>
      </w:r>
      <w:r>
        <w:rPr>
          <w:b/>
        </w:rPr>
        <w:t>(</w:t>
      </w:r>
      <w:proofErr w:type="spellStart"/>
      <w:r>
        <w:rPr>
          <w:b/>
        </w:rPr>
        <w:t>c,d</w:t>
      </w:r>
      <w:proofErr w:type="spellEnd"/>
      <w:r>
        <w:rPr>
          <w:b/>
        </w:rPr>
        <w:t>)</w:t>
      </w:r>
      <w:r>
        <w:rPr>
          <w:bCs/>
        </w:rPr>
        <w:t xml:space="preserve"> postsynaptic compartment of Hip&gt;Hip networks treated at </w:t>
      </w:r>
      <w:r>
        <w:rPr>
          <w:b/>
        </w:rPr>
        <w:t>(</w:t>
      </w:r>
      <w:proofErr w:type="spellStart"/>
      <w:r>
        <w:rPr>
          <w:b/>
        </w:rPr>
        <w:t>a,c</w:t>
      </w:r>
      <w:proofErr w:type="spellEnd"/>
      <w:r>
        <w:rPr>
          <w:b/>
        </w:rPr>
        <w:t xml:space="preserve">) </w:t>
      </w:r>
      <w:r>
        <w:rPr>
          <w:bCs/>
        </w:rPr>
        <w:t xml:space="preserve">DIV14 or </w:t>
      </w:r>
      <w:r>
        <w:rPr>
          <w:b/>
        </w:rPr>
        <w:t>(</w:t>
      </w:r>
      <w:proofErr w:type="spellStart"/>
      <w:r>
        <w:rPr>
          <w:b/>
        </w:rPr>
        <w:t>b,d</w:t>
      </w:r>
      <w:proofErr w:type="spellEnd"/>
      <w:r>
        <w:rPr>
          <w:b/>
        </w:rPr>
        <w:t>)</w:t>
      </w:r>
      <w:r>
        <w:rPr>
          <w:bCs/>
        </w:rPr>
        <w:t xml:space="preserve"> DIV21 with control solution (blue), 500 </w:t>
      </w:r>
      <w:proofErr w:type="spellStart"/>
      <w:r>
        <w:rPr>
          <w:bCs/>
        </w:rPr>
        <w:t>nM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hFib</w:t>
      </w:r>
      <w:proofErr w:type="spellEnd"/>
      <w:r>
        <w:rPr>
          <w:bCs/>
        </w:rPr>
        <w:t xml:space="preserve"> (orange) or 500 </w:t>
      </w:r>
      <w:proofErr w:type="spellStart"/>
      <w:r>
        <w:rPr>
          <w:bCs/>
        </w:rPr>
        <w:t>nM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holig</w:t>
      </w:r>
      <w:proofErr w:type="spellEnd"/>
      <w:r>
        <w:rPr>
          <w:bCs/>
        </w:rPr>
        <w:t xml:space="preserve"> (green).</w:t>
      </w:r>
    </w:p>
    <w:p w:rsidR="00127DFE" w:rsidRDefault="00127DFE" w:rsidP="00127DFE">
      <w:pPr>
        <w:rPr>
          <w:bCs/>
        </w:rPr>
      </w:pPr>
    </w:p>
    <w:p w:rsidR="00127DFE" w:rsidRPr="000858A9" w:rsidRDefault="00127DFE" w:rsidP="00127DFE">
      <w:pPr>
        <w:rPr>
          <w:b/>
        </w:rPr>
      </w:pPr>
      <w:r w:rsidRPr="000858A9">
        <w:rPr>
          <w:b/>
        </w:rPr>
        <w:t>Supplementary Figure S</w:t>
      </w:r>
      <w:r>
        <w:rPr>
          <w:b/>
        </w:rPr>
        <w:t>6</w:t>
      </w:r>
    </w:p>
    <w:p w:rsidR="00127DFE" w:rsidRPr="000858A9" w:rsidRDefault="00127DFE" w:rsidP="00127DFE">
      <w:pPr>
        <w:rPr>
          <w:b/>
        </w:rPr>
      </w:pPr>
      <w:r>
        <w:rPr>
          <w:b/>
        </w:rPr>
        <w:t>Seeding aggregates do not passively diffuse between the culture compartments</w:t>
      </w:r>
      <w:r w:rsidRPr="000858A9">
        <w:rPr>
          <w:b/>
        </w:rPr>
        <w:t>.</w:t>
      </w:r>
    </w:p>
    <w:p w:rsidR="0007548F" w:rsidRPr="00E70246" w:rsidRDefault="00127DFE" w:rsidP="00E70246">
      <w:pPr>
        <w:rPr>
          <w:bCs/>
        </w:rPr>
      </w:pPr>
      <w:r w:rsidRPr="000858A9">
        <w:rPr>
          <w:b/>
          <w:bCs/>
        </w:rPr>
        <w:t>(a)</w:t>
      </w:r>
      <w:r w:rsidRPr="000858A9">
        <w:t xml:space="preserve"> Schematic</w:t>
      </w:r>
      <w:r>
        <w:t xml:space="preserve"> </w:t>
      </w:r>
      <w:r w:rsidRPr="000858A9">
        <w:t>representation of the experimental design</w:t>
      </w:r>
      <w:r>
        <w:t>. The presynaptic compartment of Ø</w:t>
      </w:r>
      <w:r w:rsidRPr="000858A9">
        <w:t>&gt;Hi</w:t>
      </w:r>
      <w:r>
        <w:t xml:space="preserve">p </w:t>
      </w:r>
      <w:r w:rsidRPr="000858A9">
        <w:t xml:space="preserve">networks </w:t>
      </w:r>
      <w:r>
        <w:t xml:space="preserve">was spiked at DIV14 with 500 </w:t>
      </w:r>
      <w:proofErr w:type="spellStart"/>
      <w:r>
        <w:t>nM</w:t>
      </w:r>
      <w:proofErr w:type="spellEnd"/>
      <w:r>
        <w:t xml:space="preserve"> of </w:t>
      </w:r>
      <w:proofErr w:type="spellStart"/>
      <w:r>
        <w:t>mFib</w:t>
      </w:r>
      <w:proofErr w:type="spellEnd"/>
      <w:r>
        <w:t xml:space="preserve">, and endogenous aSyn aggregation was monitored 10 days later. </w:t>
      </w:r>
      <w:r>
        <w:rPr>
          <w:b/>
          <w:bCs/>
        </w:rPr>
        <w:t xml:space="preserve">(b) </w:t>
      </w:r>
      <w:r w:rsidRPr="000858A9">
        <w:rPr>
          <w:bCs/>
        </w:rPr>
        <w:t>Representative epifluorescence field</w:t>
      </w:r>
      <w:r>
        <w:rPr>
          <w:bCs/>
        </w:rPr>
        <w:t xml:space="preserve"> of a Ø&gt;Hip network. </w:t>
      </w:r>
      <w:r>
        <w:rPr>
          <w:b/>
        </w:rPr>
        <w:t>(c)</w:t>
      </w:r>
      <w:r>
        <w:rPr>
          <w:bCs/>
        </w:rPr>
        <w:t xml:space="preserve"> Representative confocal microscopy field of the postsynaptic compartment of a Ø&gt;Hip network.</w:t>
      </w:r>
      <w:bookmarkStart w:id="1" w:name="_GoBack"/>
      <w:bookmarkEnd w:id="1"/>
    </w:p>
    <w:sectPr w:rsidR="0007548F" w:rsidRPr="00E70246" w:rsidSect="00571DE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DFE"/>
    <w:rsid w:val="00127DFE"/>
    <w:rsid w:val="00571DE4"/>
    <w:rsid w:val="00887CF1"/>
    <w:rsid w:val="00A73C3A"/>
    <w:rsid w:val="00E12E60"/>
    <w:rsid w:val="00E70246"/>
    <w:rsid w:val="00EC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E8B0023"/>
  <w15:chartTrackingRefBased/>
  <w15:docId w15:val="{A686431C-932A-524F-B0BE-7D9850E0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27DFE"/>
    <w:pPr>
      <w:spacing w:after="160" w:line="259" w:lineRule="auto"/>
    </w:pPr>
    <w:rPr>
      <w:rFonts w:eastAsiaTheme="minorHAnsi"/>
      <w:sz w:val="22"/>
      <w:szCs w:val="22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27DF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7DFE"/>
    <w:rPr>
      <w:rFonts w:ascii="Times New Roman" w:eastAsiaTheme="minorHAnsi" w:hAnsi="Times New Roman" w:cs="Times New Roman"/>
      <w:sz w:val="18"/>
      <w:szCs w:val="18"/>
      <w:lang w:val="en-US" w:eastAsia="en-US"/>
    </w:rPr>
  </w:style>
  <w:style w:type="character" w:styleId="Lienhypertexte">
    <w:name w:val="Hyperlink"/>
    <w:basedOn w:val="Policepardfaut"/>
    <w:uiPriority w:val="99"/>
    <w:unhideWhenUsed/>
    <w:rsid w:val="00127DFE"/>
    <w:rPr>
      <w:color w:val="0000FF"/>
      <w:u w:val="single"/>
    </w:rPr>
  </w:style>
  <w:style w:type="character" w:customStyle="1" w:styleId="go">
    <w:name w:val="go"/>
    <w:basedOn w:val="Policepardfaut"/>
    <w:rsid w:val="00127DFE"/>
  </w:style>
  <w:style w:type="character" w:customStyle="1" w:styleId="label">
    <w:name w:val="label"/>
    <w:rsid w:val="00127DF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ean-michel.peyrin@sorbonne-universit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867</Words>
  <Characters>4772</Characters>
  <Application>Microsoft Office Word</Application>
  <DocSecurity>0</DocSecurity>
  <Lines>39</Lines>
  <Paragraphs>11</Paragraphs>
  <ScaleCrop>false</ScaleCrop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Josquin Courte</dc:creator>
  <cp:keywords/>
  <dc:description/>
  <cp:lastModifiedBy>Josquin Courte</cp:lastModifiedBy>
  <cp:revision>2</cp:revision>
  <dcterms:created xsi:type="dcterms:W3CDTF">2021-11-24T23:00:00Z</dcterms:created>
  <dcterms:modified xsi:type="dcterms:W3CDTF">2021-11-24T23:00:00Z</dcterms:modified>
</cp:coreProperties>
</file>