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80"/>
        <w:jc w:val="center"/>
      </w:pPr>
      <w:r>
        <w:rPr>
          <w:b/>
          <w:i w:val="0"/>
          <w:sz w:val="28"/>
        </w:rPr>
        <w:t>Supplementary Information</w:t>
      </w:r>
    </w:p>
    <w:p>
      <w:pPr>
        <w:spacing w:line="360" w:lineRule="auto" w:before="0" w:after="240"/>
        <w:jc w:val="center"/>
      </w:pPr>
      <w:r>
        <w:rPr>
          <w:b w:val="0"/>
          <w:i/>
          <w:sz w:val="22"/>
        </w:rPr>
        <w:t>Neonatal Bilirubin Trajectory Phenotypes and Composite Adverse Outcomes: A Two-Database Latent-Class Analysis (MIMIC-III and PIC)</w:t>
      </w:r>
    </w:p>
    <w:p>
      <w:r>
        <w:br w:type="page"/>
      </w:r>
    </w:p>
    <w:p>
      <w:pPr>
        <w:spacing w:line="360" w:lineRule="auto" w:before="0" w:after="120"/>
      </w:pPr>
      <w:r>
        <w:rPr>
          <w:b/>
          <w:i w:val="0"/>
          <w:sz w:val="24"/>
        </w:rPr>
        <w:t>Supplemental Tables</w:t>
      </w: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S1. </w:t>
      </w:r>
      <w:r>
        <w:rPr>
          <w:sz w:val="20"/>
        </w:rPr>
        <w:t>Model fit for class enumeration (k = 2-5).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864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k</w:t>
            </w:r>
          </w:p>
        </w:tc>
        <w:tc>
          <w:tcPr>
            <w:tcW w:type="dxa" w:w="187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BIC</w:t>
            </w:r>
          </w:p>
        </w:tc>
        <w:tc>
          <w:tcPr>
            <w:tcW w:type="dxa" w:w="187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AIC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No. of parameters</w:t>
            </w:r>
          </w:p>
        </w:tc>
        <w:tc>
          <w:tcPr>
            <w:tcW w:type="dxa" w:w="2160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Min class proportion, %</w:t>
            </w:r>
          </w:p>
        </w:tc>
        <w:tc>
          <w:tcPr>
            <w:tcW w:type="dxa" w:w="2160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Mean max posterior probability</w:t>
            </w:r>
          </w:p>
        </w:tc>
      </w:tr>
      <w:tr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19846.7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19788.5</w:t>
            </w:r>
          </w:p>
        </w:tc>
        <w:tc>
          <w:tcPr>
            <w:tcW w:type="dxa" w:w="172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9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26.2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0.909</w:t>
            </w:r>
          </w:p>
        </w:tc>
      </w:tr>
      <w:tr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18585.5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18501.4</w:t>
            </w:r>
          </w:p>
        </w:tc>
        <w:tc>
          <w:tcPr>
            <w:tcW w:type="dxa" w:w="172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13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10.6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0.806</w:t>
            </w:r>
          </w:p>
        </w:tc>
      </w:tr>
      <w:tr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18120.2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18010.2</w:t>
            </w:r>
          </w:p>
        </w:tc>
        <w:tc>
          <w:tcPr>
            <w:tcW w:type="dxa" w:w="172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17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6.8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0.773</w:t>
            </w:r>
          </w:p>
        </w:tc>
      </w:tr>
      <w:tr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17489.9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17354.1</w:t>
            </w:r>
          </w:p>
        </w:tc>
        <w:tc>
          <w:tcPr>
            <w:tcW w:type="dxa" w:w="172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21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2.2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0.785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The four-class model was selected per the pre-specified rule (best BIC among models satisfying minimum class proportion ≥5% and mean maximum posterior probability ≥0.7); the BIC-preferred five-class model was rejected because it produced classes comprising &lt;5% of the population (for k = 5, class proportions were 2.2/2.9/34.4/53.6/7.0%, with two classes below the 5% threshold). Class proportions and posterior probabilities for each candidate k are shown to document this decision. The mean maximum posterior probability of the selected four-class model (0.773) was only modestly above the 0.7 threshold, indicating non-trivial classification uncertainty; posterior-probability-weighted assignment (S11) was performed as a sensitivity analysis.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S2. </w:t>
      </w:r>
      <w:r>
        <w:rPr>
          <w:sz w:val="20"/>
        </w:rPr>
        <w:t>Apparent and optimism-corrected area under the ROC curve (200 bootstrap resamples).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Database</w:t>
            </w:r>
          </w:p>
        </w:tc>
        <w:tc>
          <w:tcPr>
            <w:tcW w:type="dxa" w:w="244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Model</w:t>
            </w:r>
          </w:p>
        </w:tc>
        <w:tc>
          <w:tcPr>
            <w:tcW w:type="dxa" w:w="1584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Apparent AUC</w:t>
            </w:r>
          </w:p>
        </w:tc>
        <w:tc>
          <w:tcPr>
            <w:tcW w:type="dxa" w:w="1440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Optimism</w:t>
            </w:r>
          </w:p>
        </w:tc>
        <w:tc>
          <w:tcPr>
            <w:tcW w:type="dxa" w:w="1584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Corrected AUC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MIMIC-III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A: Trajectory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0.827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0.007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0.820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MIMIC-III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B1: First value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0.807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0.004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0.803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MIMIC-III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B2: Peak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0.827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0.005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0.822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MIMIC-III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B3: Bhutani zone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0.776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0.008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0.768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PIC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A: Trajectory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0.604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0.025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0.579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PIC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B1: First value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0.571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0.026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0.545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PIC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B2: Peak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0.562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0.025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0.537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PIC</w:t>
            </w:r>
          </w:p>
        </w:tc>
        <w:tc>
          <w:tcPr>
            <w:tcW w:type="dxa" w:w="244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B3: Bhutani zone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0.572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0.031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0.540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Corrected AUC = apparent AUC - optimism, estimated by internal bootstrap validation.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S3. </w:t>
      </w:r>
      <w:r>
        <w:rPr>
          <w:sz w:val="20"/>
        </w:rPr>
        <w:t>Incremental discrimination of the trajectory model over single-point models: DeLong tests and continuous NRI/IDI.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Database</w:t>
            </w:r>
          </w:p>
        </w:tc>
        <w:tc>
          <w:tcPr>
            <w:tcW w:type="dxa" w:w="1584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Comparison</w:t>
            </w:r>
          </w:p>
        </w:tc>
        <w:tc>
          <w:tcPr>
            <w:tcW w:type="dxa" w:w="187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AUC (A vs comparator)</w:t>
            </w:r>
          </w:p>
        </w:tc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DeLong P</w:t>
            </w:r>
          </w:p>
        </w:tc>
        <w:tc>
          <w:tcPr>
            <w:tcW w:type="dxa" w:w="2160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NRI (95% CI)</w:t>
            </w:r>
          </w:p>
        </w:tc>
        <w:tc>
          <w:tcPr>
            <w:tcW w:type="dxa" w:w="187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IDI (95% CI)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A vs B1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0.827 vs 0.807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0.133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0.198 (0.074 to 0.337)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0.017 (0.004 to 0.038)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A vs B2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0.827 vs 0.827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0.987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-0.120 (-0.231 to 0.011)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-0.007 (-0.019 to 0.006)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A vs B3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0.827 vs 0.776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0.576 (0.459 to 0.687)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0.042 (0.031 to 0.061)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A vs B1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0.604 vs 0.571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0.054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0.207 (0.100 to 0.318)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0.007 (0.001 to 0.014)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A vs B2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0.604 vs 0.562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0.010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0.147 (0.026 to 0.253)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0.009 (0.004 to 0.014)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A vs B3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0.604 vs 0.572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0.051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0.161 (0.056 to 0.267)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0.009 (0.003 to 0.014)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DeLong tests were performed on apparent AUCs; optimism-corrected AUCs are reported in Table S2. NRI and IDI are continuous measures with bootstrap 95% confidence intervals; NRI is interpreted as secondary to AUC, calibration, and net-benefit comparisons because of its sensitivity to small risk shifts [33]. B1, first value; B2, peak; B3, Bhutani risk zone.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S4. </w:t>
      </w:r>
      <w:r>
        <w:rPr>
          <w:sz w:val="20"/>
        </w:rPr>
        <w:t>Sensitivity analyses: adjusted OR (95% CI) for the composite outcome by trajectory class relative to the typical class (C2).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3024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left"/>
            </w:pPr>
            <w:r/>
            <w:r>
              <w:rPr>
                <w:b/>
                <w:i w:val="0"/>
                <w:sz w:val="18"/>
              </w:rPr>
              <w:t>Sensitivity</w:t>
            </w:r>
          </w:p>
        </w:tc>
        <w:tc>
          <w:tcPr>
            <w:tcW w:type="dxa" w:w="100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Database</w:t>
            </w:r>
          </w:p>
        </w:tc>
        <w:tc>
          <w:tcPr>
            <w:tcW w:type="dxa" w:w="864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n</w:t>
            </w:r>
          </w:p>
        </w:tc>
        <w:tc>
          <w:tcPr>
            <w:tcW w:type="dxa" w:w="165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C1</w:t>
            </w:r>
          </w:p>
        </w:tc>
        <w:tc>
          <w:tcPr>
            <w:tcW w:type="dxa" w:w="165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C3</w:t>
            </w:r>
          </w:p>
        </w:tc>
        <w:tc>
          <w:tcPr>
            <w:tcW w:type="dxa" w:w="165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C4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S5: Excluding early-onset sepsis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2931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0.77 (0.23–2.57)</w:t>
              <w:br/>
            </w:r>
            <w:r>
              <w:rPr>
                <w:b w:val="0"/>
                <w:i w:val="0"/>
                <w:sz w:val="18"/>
              </w:rPr>
              <w:t>0.671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7.39 (4.77–11.45)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2.66 (1.81–3.91)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S5: Excluding early-onset sepsis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1782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1.42 (1.02–1.98)</w:t>
              <w:br/>
            </w:r>
            <w:r>
              <w:rPr>
                <w:b w:val="0"/>
                <w:i w:val="0"/>
                <w:sz w:val="18"/>
              </w:rPr>
              <w:t>0.037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2.42 (1.34–4.38)</w:t>
              <w:br/>
            </w:r>
            <w:r>
              <w:rPr>
                <w:b w:val="0"/>
                <w:i w:val="0"/>
                <w:sz w:val="18"/>
              </w:rPr>
              <w:t>0.003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1.82 (1.25–2.66)</w:t>
              <w:br/>
            </w:r>
            <w:r>
              <w:rPr>
                <w:b w:val="0"/>
                <w:i w:val="0"/>
                <w:sz w:val="18"/>
              </w:rPr>
              <w:t>0.002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S6: Excluding community-acquired bacteremia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2948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0.78 (0.23–2.58)</w:t>
              <w:br/>
            </w:r>
            <w:r>
              <w:rPr>
                <w:b w:val="0"/>
                <w:i w:val="0"/>
                <w:sz w:val="18"/>
              </w:rPr>
              <w:t>0.679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7.45 (4.82–11.53)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2.65 (1.80–3.89)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S6: Excluding community-acquired bacteremia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1784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1.45 (1.04–2.02)</w:t>
              <w:br/>
            </w:r>
            <w:r>
              <w:rPr>
                <w:b w:val="0"/>
                <w:i w:val="0"/>
                <w:sz w:val="18"/>
              </w:rPr>
              <w:t>0.027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2.46 (1.36–4.46)</w:t>
              <w:br/>
            </w:r>
            <w:r>
              <w:rPr>
                <w:b w:val="0"/>
                <w:i w:val="0"/>
                <w:sz w:val="18"/>
              </w:rPr>
              <w:t>0.003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1.89 (1.31–2.74)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S7: Excluding CoNS from LOS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2951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0.97 (0.29–3.27)</w:t>
              <w:br/>
            </w:r>
            <w:r>
              <w:rPr>
                <w:b w:val="0"/>
                <w:i w:val="0"/>
                <w:sz w:val="18"/>
              </w:rPr>
              <w:t>0.960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5.60 (3.43–9.14)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2.28 (1.47–3.53)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S7: Excluding CoNS from LOS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1817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1.47 (1.06–2.03)</w:t>
              <w:br/>
            </w:r>
            <w:r>
              <w:rPr>
                <w:b w:val="0"/>
                <w:i w:val="0"/>
                <w:sz w:val="18"/>
              </w:rPr>
              <w:t>0.021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2.52 (1.40–4.52)</w:t>
              <w:br/>
            </w:r>
            <w:r>
              <w:rPr>
                <w:b w:val="0"/>
                <w:i w:val="0"/>
                <w:sz w:val="18"/>
              </w:rPr>
              <w:t>0.002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1.86 (1.28–2.69)</w:t>
              <w:br/>
            </w:r>
            <w:r>
              <w:rPr>
                <w:b w:val="0"/>
                <w:i w:val="0"/>
                <w:sz w:val="18"/>
              </w:rPr>
              <w:t>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S8: Admission &lt;72 h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2860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0.78 (0.23–2.58)</w:t>
              <w:br/>
            </w:r>
            <w:r>
              <w:rPr>
                <w:b w:val="0"/>
                <w:i w:val="0"/>
                <w:sz w:val="18"/>
              </w:rPr>
              <w:t>0.679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7.45 (4.82–11.53)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2.65 (1.80–3.89)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S8: Admission &lt;72 h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1575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1.62 (1.15–2.29)</w:t>
              <w:br/>
            </w:r>
            <w:r>
              <w:rPr>
                <w:b w:val="0"/>
                <w:i w:val="0"/>
                <w:sz w:val="18"/>
              </w:rPr>
              <w:t>0.006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2.54 (1.35–4.76)</w:t>
              <w:br/>
            </w:r>
            <w:r>
              <w:rPr>
                <w:b w:val="0"/>
                <w:i w:val="0"/>
                <w:sz w:val="18"/>
              </w:rPr>
              <w:t>0.004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1.98 (1.33–2.95)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S8: Admission &lt;24 h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2842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0.78 (0.23–2.58)</w:t>
              <w:br/>
            </w:r>
            <w:r>
              <w:rPr>
                <w:b w:val="0"/>
                <w:i w:val="0"/>
                <w:sz w:val="18"/>
              </w:rPr>
              <w:t>0.679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7.45 (4.82–11.53)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2.65 (1.80–3.89)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S8: Admission &lt;24 h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1129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1.52 (1.02–2.25)</w:t>
              <w:br/>
            </w:r>
            <w:r>
              <w:rPr>
                <w:b w:val="0"/>
                <w:i w:val="0"/>
                <w:sz w:val="18"/>
              </w:rPr>
              <w:t>0.039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2.40 (1.12–5.12)</w:t>
              <w:br/>
            </w:r>
            <w:r>
              <w:rPr>
                <w:b w:val="0"/>
                <w:i w:val="0"/>
                <w:sz w:val="18"/>
              </w:rPr>
              <w:t>0.024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2.17 (1.35–3.50)</w:t>
              <w:br/>
            </w:r>
            <w:r>
              <w:rPr>
                <w:b w:val="0"/>
                <w:i w:val="0"/>
                <w:sz w:val="18"/>
              </w:rPr>
              <w:t>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S9: Excluding phototherapy (MIMIC-III)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1026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not estimable</w:t>
              <w:br/>
            </w:r>
            <w:r>
              <w:rPr>
                <w:b w:val="0"/>
                <w:i w:val="0"/>
                <w:sz w:val="18"/>
              </w:rPr>
              <w:t>(no events)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10.10 (3.30–30.88)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2.23 (0.73–6.82)</w:t>
              <w:br/>
            </w:r>
            <w:r>
              <w:rPr>
                <w:b w:val="0"/>
                <w:i w:val="0"/>
                <w:sz w:val="18"/>
              </w:rPr>
              <w:t>0.159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S11: Posterior-probability weighting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11804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0.74 (0.32–1.73)</w:t>
              <w:br/>
            </w:r>
            <w:r>
              <w:rPr>
                <w:b w:val="0"/>
                <w:i w:val="0"/>
                <w:sz w:val="18"/>
              </w:rPr>
              <w:t>0.490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5.38 (3.50–8.28)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1.98 (1.35–2.89)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S11: Posterior-probability weighting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7268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1.26 (0.93–1.72)</w:t>
              <w:br/>
            </w:r>
            <w:r>
              <w:rPr>
                <w:b w:val="0"/>
                <w:i w:val="0"/>
                <w:sz w:val="18"/>
              </w:rPr>
              <w:t>0.131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2.40 (1.36–4.24)</w:t>
              <w:br/>
            </w:r>
            <w:r>
              <w:rPr>
                <w:b w:val="0"/>
                <w:i w:val="0"/>
                <w:sz w:val="18"/>
              </w:rPr>
              <w:t>0.002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1.52 (1.08–2.12)</w:t>
              <w:br/>
            </w:r>
            <w:r>
              <w:rPr>
                <w:b w:val="0"/>
                <w:i w:val="0"/>
                <w:sz w:val="18"/>
              </w:rPr>
              <w:t>0.015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S14: Minimal adjustment (sex + age at admission)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2951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1.00 (0.31–3.28)</w:t>
              <w:br/>
            </w:r>
            <w:r>
              <w:rPr>
                <w:b w:val="0"/>
                <w:i w:val="0"/>
                <w:sz w:val="18"/>
              </w:rPr>
              <w:t>0.996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15.59 (10.57–22.99)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3.47 (2.40–5.01)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S14: Minimal adjustment (sex + age at admission)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1817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1.54 (1.12–2.12)</w:t>
              <w:br/>
            </w:r>
            <w:r>
              <w:rPr>
                <w:b w:val="0"/>
                <w:i w:val="0"/>
                <w:sz w:val="18"/>
              </w:rPr>
              <w:t>0.008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2.59 (1.45–4.60)</w:t>
              <w:br/>
            </w:r>
            <w:r>
              <w:rPr>
                <w:b w:val="0"/>
                <w:i w:val="0"/>
                <w:sz w:val="18"/>
              </w:rPr>
              <w:t>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1.92 (1.33–2.77)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S14: MIMIC-III + birth weight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2735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0.99 (0.26–3.75)</w:t>
              <w:br/>
            </w:r>
            <w:r>
              <w:rPr>
                <w:b w:val="0"/>
                <w:i w:val="0"/>
                <w:sz w:val="18"/>
              </w:rPr>
              <w:t>0.992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1.23 (0.71–2.13)</w:t>
              <w:br/>
            </w:r>
            <w:r>
              <w:rPr>
                <w:b w:val="0"/>
                <w:i w:val="0"/>
                <w:sz w:val="18"/>
              </w:rPr>
              <w:t>0.467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0.98 (0.63–1.51)</w:t>
              <w:br/>
            </w:r>
            <w:r>
              <w:rPr>
                <w:b w:val="0"/>
                <w:i w:val="0"/>
                <w:sz w:val="18"/>
              </w:rPr>
              <w:t>0.912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S17: Excluding outcomes on days 0-7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2918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not estimable</w:t>
              <w:br/>
            </w:r>
            <w:r>
              <w:rPr>
                <w:b w:val="0"/>
                <w:i w:val="0"/>
                <w:sz w:val="18"/>
              </w:rPr>
              <w:t>(no events)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8.62 (5.40–13.78)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2.77 (1.81–4.23)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S17: Excluding outcomes on days 0-7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1731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1.23 (0.84–1.80)</w:t>
              <w:br/>
            </w:r>
            <w:r>
              <w:rPr>
                <w:b w:val="0"/>
                <w:i w:val="0"/>
                <w:sz w:val="18"/>
              </w:rPr>
              <w:t>0.289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1.77 (0.83–3.75)</w:t>
              <w:br/>
            </w:r>
            <w:r>
              <w:rPr>
                <w:b w:val="0"/>
                <w:i w:val="0"/>
                <w:sz w:val="18"/>
              </w:rPr>
              <w:t>0.138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1.65 (1.08–2.54)</w:t>
              <w:br/>
            </w:r>
            <w:r>
              <w:rPr>
                <w:b w:val="0"/>
                <w:i w:val="0"/>
                <w:sz w:val="18"/>
              </w:rPr>
              <w:t>0.021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S19: MIMIC-III + FiO2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1718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0.60 (0.18–2.04)</w:t>
              <w:br/>
            </w:r>
            <w:r>
              <w:rPr>
                <w:b w:val="0"/>
                <w:i w:val="0"/>
                <w:sz w:val="18"/>
              </w:rPr>
              <w:t>0.416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5.64 (3.51–9.08)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2.17 (1.42–3.31)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S35: Maturity-proxy subgroup (≥35-wk approximation)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1283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not estimable</w:t>
              <w:br/>
            </w:r>
            <w:r>
              <w:rPr>
                <w:b w:val="0"/>
                <w:i w:val="0"/>
                <w:sz w:val="18"/>
              </w:rPr>
              <w:t>(no events)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not estimable</w:t>
              <w:br/>
            </w:r>
            <w:r>
              <w:rPr>
                <w:b w:val="0"/>
                <w:i w:val="0"/>
                <w:sz w:val="18"/>
              </w:rPr>
              <w:t>(no events)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not estimable</w:t>
              <w:br/>
            </w:r>
            <w:r>
              <w:rPr>
                <w:b w:val="0"/>
                <w:i w:val="0"/>
                <w:sz w:val="18"/>
              </w:rPr>
              <w:t>(no events)</w:t>
            </w:r>
          </w:p>
        </w:tc>
      </w:tr>
      <w:tr>
        <w:tc>
          <w:tcPr>
            <w:tcW w:type="dxa" w:w="3024"/>
          </w:tcPr>
          <w:p>
            <w:pPr>
              <w:spacing w:line="240" w:lineRule="auto" w:after="40" w:before="40"/>
              <w:jc w:val="left"/>
            </w:pPr>
            <w:r/>
            <w:r>
              <w:rPr>
                <w:b w:val="0"/>
                <w:i w:val="0"/>
                <w:sz w:val="18"/>
              </w:rPr>
              <w:t>S35: Maturity-proxy subgroup (≥35-wk approximation)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1309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2.02 (1.39–2.92)</w:t>
              <w:br/>
            </w:r>
            <w:r>
              <w:rPr>
                <w:b w:val="0"/>
                <w:i w:val="0"/>
                <w:sz w:val="18"/>
              </w:rPr>
              <w:t>&lt;0.001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2.65 (1.42–4.95)</w:t>
              <w:br/>
            </w:r>
            <w:r>
              <w:rPr>
                <w:b w:val="0"/>
                <w:i w:val="0"/>
                <w:sz w:val="18"/>
              </w:rPr>
              <w:t>0.002</w:t>
            </w:r>
          </w:p>
        </w:tc>
        <w:tc>
          <w:tcPr>
            <w:tcW w:type="dxa" w:w="165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1.88 (1.20–2.94)</w:t>
              <w:br/>
            </w:r>
            <w:r>
              <w:rPr>
                <w:b w:val="0"/>
                <w:i w:val="0"/>
                <w:sz w:val="18"/>
              </w:rPr>
              <w:t>0.006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Cell values are OR (95% CI) and P. “not estimable (no events)” indicates complete separation (no composite events in that class within the subset); Firth penalized estimates are used where noted in the text. In MIMIC-III, all composite events occurred among infants admitted within the first 24 h of life, so S6 (excluding community-acquired bacteremia) and S8 (restricting to early admissions) removed only event-free infants; under quasi-complete separation the class estimates are therefore identical to the primary analysis to the precision shown. For S11 (posterior-probability weighting), n denotes the number of weighted rows (each infant contributes four weighted observations); the number of infants is unchanged (2,951 and 1,817). CoNS, coagulase-negative staphylococci; LOS, late-onset sepsis; FiO2, fraction of inspired oxygen.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S4b. </w:t>
      </w:r>
      <w:r>
        <w:rPr>
          <w:sz w:val="20"/>
        </w:rPr>
        <w:t>S2 sensitivity: class-outcome associations after refitting the trajectory model on neonates with ≥2 bilirubin measurements (postnatal days 0-7).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Database</w:t>
            </w:r>
          </w:p>
        </w:tc>
        <w:tc>
          <w:tcPr>
            <w:tcW w:type="dxa" w:w="100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n</w:t>
            </w:r>
          </w:p>
        </w:tc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S2 class</w:t>
            </w:r>
          </w:p>
        </w:tc>
        <w:tc>
          <w:tcPr>
            <w:tcW w:type="dxa" w:w="273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OR (95% CI)</w:t>
            </w:r>
          </w:p>
        </w:tc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P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3644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Class 1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1.00 (0.35–2.86)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0.999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3644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Class 2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2.68 (1.86–3.86)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3644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Class 4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7.16 (4.75–10.80)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&lt;0.001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2078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Class 1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1.55 (1.15–2.09)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0.004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2078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Class 2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1.73 (1.20–2.50)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0.003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2078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Class 4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2.35 (1.34–4.12)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0.003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The ≥2-measurement analysis refits the trajectory model independently on the larger population (n = 3,644 MIMIC-III; n = 2,078 PIC; the cohort flow reports 2,079 infants with ≥2 measurements, of whom 2,078 entered the refit after excluding one infant whose measurements were all physiologically impossible values ≤0); class numbering therefore reflects this independent refit and is not directly comparable to the main C1-C4 labels. The reference is the largest class of the refit (class 3 in both databases). In both databases at least one class retained a strong association with the composite outcome (MIMIC-III OR up to 7.16; PIC OR 1.73-2.35), indicating that the primary results are not an artefact of the ≥3-measurement threshold.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S5. </w:t>
      </w:r>
      <w:r>
        <w:rPr>
          <w:sz w:val="20"/>
        </w:rPr>
        <w:t>E-values for unmeasured confounding (S15).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Database</w:t>
            </w:r>
          </w:p>
        </w:tc>
        <w:tc>
          <w:tcPr>
            <w:tcW w:type="dxa" w:w="273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Class</w:t>
            </w:r>
          </w:p>
        </w:tc>
        <w:tc>
          <w:tcPr>
            <w:tcW w:type="dxa" w:w="100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OR</w:t>
            </w:r>
          </w:p>
        </w:tc>
        <w:tc>
          <w:tcPr>
            <w:tcW w:type="dxa" w:w="2160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E-value (point estimate)</w:t>
            </w:r>
          </w:p>
        </w:tc>
        <w:tc>
          <w:tcPr>
            <w:tcW w:type="dxa" w:w="2160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E-value (lower CI)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MIMIC-III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C1: Delayed high peak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0.78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-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-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MIMIC-III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C3: Persistently low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7.45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14.39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9.11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MIMIC-III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C4: Rapid-rise early peak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2.65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4.74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3.01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PIC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C1: Delayed high peak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1.50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2.37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1.40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PIC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C3: Persistently low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2.55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4.54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2.20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PIC</w:t>
            </w:r>
          </w:p>
        </w:tc>
        <w:tc>
          <w:tcPr>
            <w:tcW w:type="dxa" w:w="273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C4: Rapid-rise early peak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1.90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3.20</w:t>
            </w:r>
          </w:p>
        </w:tc>
        <w:tc>
          <w:tcPr>
            <w:tcW w:type="dxa" w:w="216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1.95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E-value is the minimum strength of association (on the risk-ratio scale) that an unmeasured confounder would need to have with both the exposure and the outcome to fully explain away the observed OR.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S6. </w:t>
      </w:r>
      <w:r>
        <w:rPr>
          <w:sz w:val="20"/>
        </w:rPr>
        <w:t>Per-database trajectory refitting versus the pooled four-class model.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Database</w:t>
            </w:r>
          </w:p>
        </w:tc>
        <w:tc>
          <w:tcPr>
            <w:tcW w:type="dxa" w:w="187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Classes (site-wise)</w:t>
            </w:r>
          </w:p>
        </w:tc>
        <w:tc>
          <w:tcPr>
            <w:tcW w:type="dxa" w:w="100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n</w:t>
            </w:r>
          </w:p>
        </w:tc>
        <w:tc>
          <w:tcPr>
            <w:tcW w:type="dxa" w:w="1440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Composite events</w:t>
            </w:r>
          </w:p>
        </w:tc>
        <w:tc>
          <w:tcPr>
            <w:tcW w:type="dxa" w:w="187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Class agreement, %</w:t>
            </w:r>
          </w:p>
        </w:tc>
        <w:tc>
          <w:tcPr>
            <w:tcW w:type="dxa" w:w="187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20"/>
              </w:rPr>
              <w:t>Adjusted Rand index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MIMIC-III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2951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211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36.7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0.227</w:t>
            </w:r>
          </w:p>
        </w:tc>
      </w:tr>
      <w:tr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PIC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1817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315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—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20"/>
              </w:rPr>
              <w:t>0.247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Class agreement = proportion of infants assigned to the same class by the pooled and site-wise models. Site-wise refitting selected k = 4 in MIMIC-III and k = 2 in PIC; for PIC, where the class labels are not directly comparable across models with different k, class agreement is not meaningfully interpretable and only the adjusted Rand index is reported.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S7. </w:t>
      </w:r>
      <w:r>
        <w:rPr>
          <w:sz w:val="20"/>
        </w:rPr>
        <w:t>Exploratory unsupervised-clustering validation of the latent classes (S16).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Database</w:t>
            </w:r>
          </w:p>
        </w:tc>
        <w:tc>
          <w:tcPr>
            <w:tcW w:type="dxa" w:w="864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n</w:t>
            </w:r>
          </w:p>
        </w:tc>
        <w:tc>
          <w:tcPr>
            <w:tcW w:type="dxa" w:w="720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k</w:t>
            </w:r>
          </w:p>
        </w:tc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ARI (k-means)</w:t>
            </w:r>
          </w:p>
        </w:tc>
        <w:tc>
          <w:tcPr>
            <w:tcW w:type="dxa" w:w="1440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ARI (hierarchical)</w:t>
            </w:r>
          </w:p>
        </w:tc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Silhouette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Composite rate, LCMM</w:t>
            </w:r>
          </w:p>
        </w:tc>
        <w:tc>
          <w:tcPr>
            <w:tcW w:type="dxa" w:w="172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Composite rate, k-means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2951</w:t>
            </w:r>
          </w:p>
        </w:tc>
        <w:tc>
          <w:tcPr>
            <w:tcW w:type="dxa" w:w="72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-0.04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0.25</w:t>
            </w:r>
          </w:p>
        </w:tc>
        <w:tc>
          <w:tcPr>
            <w:tcW w:type="dxa" w:w="172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0.314,0.094,0.028,0.022</w:t>
            </w:r>
          </w:p>
        </w:tc>
        <w:tc>
          <w:tcPr>
            <w:tcW w:type="dxa" w:w="172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0.129,0.053,0.023,0.000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1817</w:t>
            </w:r>
          </w:p>
        </w:tc>
        <w:tc>
          <w:tcPr>
            <w:tcW w:type="dxa" w:w="72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</w:t>
            </w:r>
          </w:p>
        </w:tc>
        <w:tc>
          <w:tcPr>
            <w:tcW w:type="dxa" w:w="1440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-0.03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0.29</w:t>
            </w:r>
          </w:p>
        </w:tc>
        <w:tc>
          <w:tcPr>
            <w:tcW w:type="dxa" w:w="172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0.295,0.242,0.207,0.148</w:t>
            </w:r>
          </w:p>
        </w:tc>
        <w:tc>
          <w:tcPr>
            <w:tcW w:type="dxa" w:w="172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0.210,0.189,0.158,0.158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ARI, adjusted Rand index (0 = chance agreement; 1 = perfect agreement). Composite outcome rates are listed per class in ascending class order for each method.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S8. </w:t>
      </w:r>
      <w:r>
        <w:rPr>
          <w:sz w:val="20"/>
        </w:rPr>
        <w:t>Calibration of the trajectory (A) and single-point (B1-B3) models: Brier score, Brier skill score, and bootstrap-optimism-corrected calibration intercept and slope.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100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Database</w:t>
            </w:r>
          </w:p>
        </w:tc>
        <w:tc>
          <w:tcPr>
            <w:tcW w:type="dxa" w:w="187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Model</w:t>
            </w:r>
          </w:p>
        </w:tc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Brier score</w:t>
            </w:r>
          </w:p>
        </w:tc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Brier skill, %</w:t>
            </w:r>
          </w:p>
        </w:tc>
        <w:tc>
          <w:tcPr>
            <w:tcW w:type="dxa" w:w="201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Corrected calibration intercept</w:t>
            </w:r>
          </w:p>
        </w:tc>
        <w:tc>
          <w:tcPr>
            <w:tcW w:type="dxa" w:w="201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Corrected calibration slope</w:t>
            </w:r>
          </w:p>
        </w:tc>
      </w:tr>
      <w:tr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A: Trajectory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0.0581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12.5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-0.107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0.949</w:t>
            </w:r>
          </w:p>
        </w:tc>
      </w:tr>
      <w:tr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B1: First value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0.0584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12.1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-0.071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0.963</w:t>
            </w:r>
          </w:p>
        </w:tc>
      </w:tr>
      <w:tr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B2: Peak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0.0570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14.1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-0.093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0.957</w:t>
            </w:r>
          </w:p>
        </w:tc>
      </w:tr>
      <w:tr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B3: Bhutani zone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0.0606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8.8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-0.179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0.913</w:t>
            </w:r>
          </w:p>
        </w:tc>
      </w:tr>
      <w:tr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A: Trajectory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0.1392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2.9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-0.369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0.756</w:t>
            </w:r>
          </w:p>
        </w:tc>
      </w:tr>
      <w:tr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B1: First value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0.1402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2.2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-0.403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0.735</w:t>
            </w:r>
          </w:p>
        </w:tc>
      </w:tr>
      <w:tr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B2: Peak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0.1404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2.0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-0.530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0.656</w:t>
            </w:r>
          </w:p>
        </w:tc>
      </w:tr>
      <w:tr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87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B3: Bhutani zone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0.1405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2.0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-0.528</w:t>
            </w:r>
          </w:p>
        </w:tc>
        <w:tc>
          <w:tcPr>
            <w:tcW w:type="dxa" w:w="201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0.655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Brier score = mean squared difference between the observed outcome and the predicted probability (null value = prevalence x (1 - prevalence), 0.0664 in MIMIC-III and 0.1433 in PIC). Brier skill score = 1 - Brier/null, the percentage improvement over the null model. Corrected calibration intercept (0 = no systematic miscalibration) and slope (1 = perfect calibration; &lt;1 indicates over-optimism) were estimated by 100-resample bootstrap with out-of-sample recalibration. A decile calibration plot for the trajectory model is shown in Supplemental Figure S2.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S9. </w:t>
      </w:r>
      <w:r>
        <w:rPr>
          <w:sz w:val="20"/>
        </w:rPr>
        <w:t>Decision-curve analysis: net benefit at selected threshold probabilities for the trajectory model (A) and single-point models (B1, first value; B2, peak; B3, Bhutani risk zone).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Database</w:t>
            </w:r>
          </w:p>
        </w:tc>
        <w:tc>
          <w:tcPr>
            <w:tcW w:type="dxa" w:w="1008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Threshold</w:t>
            </w:r>
          </w:p>
        </w:tc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A</w:t>
            </w:r>
          </w:p>
        </w:tc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B1</w:t>
            </w:r>
          </w:p>
        </w:tc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B2</w:t>
            </w:r>
          </w:p>
        </w:tc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B3</w:t>
            </w:r>
          </w:p>
        </w:tc>
        <w:tc>
          <w:tcPr>
            <w:tcW w:type="dxa" w:w="1296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Treat all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0.05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0.0443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0.0399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0.0421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0.0385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0.0226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0.10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0.0291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0.0258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0.0293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0.0248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-0.0317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0.15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0.0180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0.0181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0.0201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0.0124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-0.0924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0.20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0.0132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0.0141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0.0143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0.0086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-0.1606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0.30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0.0060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0.0054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0.0076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0.0026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-0.3264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0.05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0.1299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0.1299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0.1299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0.1299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0.1299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0.10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0.0815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0.0807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0.0815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0.0822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0.0815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0.15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0.0402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0.0272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0.0187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0.0257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0.0275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0.20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0.0176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0.0161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0.0158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0.0169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-0.0333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1008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0.30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0.0051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0.0050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0.0035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0.0057</w:t>
            </w:r>
          </w:p>
        </w:tc>
        <w:tc>
          <w:tcPr>
            <w:tcW w:type="dxa" w:w="1296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-0.1809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Net benefit = (true positives / n) - (false positives / n) x (threshold / (1 - threshold)); treat-none net benefit is zero at all thresholds. At thresholds at or below the outcome prevalence, all strategies coincide with treat-all (e.g., PIC at 0.05), which is expected rather than a data error. Full curves for all models are shown in Figure 5.</w:t>
      </w:r>
    </w:p>
    <w:p>
      <w:pPr>
        <w:spacing w:line="360" w:lineRule="auto" w:before="0" w:after="120"/>
      </w:pPr>
    </w:p>
    <w:p>
      <w:pPr>
        <w:keepNext/>
        <w:spacing w:line="240" w:lineRule="auto" w:before="0" w:after="80"/>
      </w:pPr>
      <w:r>
        <w:rPr>
          <w:b/>
          <w:sz w:val="20"/>
        </w:rPr>
        <w:t xml:space="preserve">Table S10. </w:t>
      </w:r>
      <w:r>
        <w:rPr>
          <w:sz w:val="20"/>
        </w:rPr>
        <w:t>Maturity-proxy subgroup approximating the ≥35-week population in which the Bhutani nomogram is validated (S35): discrimination of the trajectory model (A) versus the Bhutani risk-zone model (B3).</w:t>
      </w:r>
    </w:p>
    <w:tbl>
      <w:tblPr>
        <w:tblW w:type="auto" w:w="0"/>
        <w:jc w:val="center"/>
        <w:tblLayout w:type="fixed"/>
        <w:tblBorders>
          <w:top w:val="single" w:sz="12" w:color="000000"/>
          <w:bottom w:val="single" w:sz="12" w:color="000000"/>
          <w:left w:val="none" w:color="000000"/>
          <w:right w:val="none" w:color="000000"/>
          <w:insideH w:val="none" w:color="000000"/>
          <w:insideV w:val="none" w:color="000000"/>
        </w:tblBorders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Database</w:t>
            </w:r>
          </w:p>
        </w:tc>
        <w:tc>
          <w:tcPr>
            <w:tcW w:type="dxa" w:w="331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Proxy</w:t>
            </w:r>
          </w:p>
        </w:tc>
        <w:tc>
          <w:tcPr>
            <w:tcW w:type="dxa" w:w="864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n</w:t>
            </w:r>
          </w:p>
        </w:tc>
        <w:tc>
          <w:tcPr>
            <w:tcW w:type="dxa" w:w="1584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Composite events</w:t>
            </w:r>
          </w:p>
        </w:tc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AUC (A)</w:t>
            </w:r>
          </w:p>
        </w:tc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AUC (B3)</w:t>
            </w:r>
          </w:p>
        </w:tc>
        <w:tc>
          <w:tcPr>
            <w:tcW w:type="dxa" w:w="1152"/>
            <w:tcBorders>
              <w:bottom w:val="single" w:sz="8" w:color="000000"/>
            </w:tcBorders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/>
                <w:i w:val="0"/>
                <w:sz w:val="18"/>
              </w:rPr>
              <w:t>DeLong P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MIMIC-III</w:t>
            </w:r>
          </w:p>
        </w:tc>
        <w:tc>
          <w:tcPr>
            <w:tcW w:type="dxa" w:w="331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birth weight &gt;=2.0 kg (proxy for &gt;=35 wk)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1283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16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0.737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0.734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0.910</w:t>
            </w:r>
          </w:p>
        </w:tc>
      </w:tr>
      <w:tr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PIC</w:t>
            </w:r>
          </w:p>
        </w:tc>
        <w:tc>
          <w:tcPr>
            <w:tcW w:type="dxa" w:w="331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no preterm ICD code (term proxy)</w:t>
            </w:r>
          </w:p>
        </w:tc>
        <w:tc>
          <w:tcPr>
            <w:tcW w:type="dxa" w:w="86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1309</w:t>
            </w:r>
          </w:p>
        </w:tc>
        <w:tc>
          <w:tcPr>
            <w:tcW w:type="dxa" w:w="1584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231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0.637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0.600</w:t>
            </w:r>
          </w:p>
        </w:tc>
        <w:tc>
          <w:tcPr>
            <w:tcW w:type="dxa" w:w="1152"/>
          </w:tcPr>
          <w:p>
            <w:pPr>
              <w:spacing w:line="240" w:lineRule="auto" w:after="40" w:before="40"/>
              <w:jc w:val="center"/>
            </w:pPr>
            <w:r/>
            <w:r>
              <w:rPr>
                <w:b w:val="0"/>
                <w:i w:val="0"/>
                <w:sz w:val="18"/>
              </w:rPr>
              <w:t>0.064</w:t>
            </w:r>
          </w:p>
        </w:tc>
      </w:tr>
    </w:tbl>
    <w:p>
      <w:pPr>
        <w:spacing w:line="240" w:lineRule="auto" w:before="0" w:after="240"/>
      </w:pPr>
      <w:r>
        <w:rPr>
          <w:b w:val="0"/>
          <w:i/>
          <w:sz w:val="18"/>
        </w:rPr>
        <w:t>Gestational age was unavailable in both final exports; maturity proxies were birth weight ≥2.0 kg in MIMIC-III and absence of a preterm ICD code in PIC. In MIMIC-III the composite-outcome event count in this subgroup was too small (16 events among 1,283 infants) for reliable class-level estimation, and the corresponding odds-ratio analyses are reported as not estimable in Table S4. In PIC (n = 1,309), all three non-reference classes remained significantly associated with the composite outcome (C1 OR 2.02 [1.39-2.92]; C3 OR 2.65 [1.42-4.95]; C4 OR 1.88 [1.20-2.94]; Table S4), and the trajectory model showed borderline-better discrimination than the Bhutani model (AUC 0.637 vs 0.600; DeLong p = 0.064).</w:t>
      </w:r>
    </w:p>
    <w:p>
      <w:pPr>
        <w:spacing w:line="360" w:lineRule="auto" w:before="0" w:after="120"/>
      </w:pPr>
    </w:p>
    <w:p>
      <w:pPr>
        <w:spacing w:line="360" w:lineRule="auto" w:before="240" w:after="120"/>
      </w:pPr>
      <w:r>
        <w:rPr>
          <w:b/>
          <w:i w:val="0"/>
          <w:sz w:val="24"/>
        </w:rPr>
        <w:t>Supplemental Figures</w:t>
      </w:r>
    </w:p>
    <w:p>
      <w:pPr>
        <w:spacing w:line="240" w:lineRule="auto" w:after="40"/>
        <w:jc w:val="center"/>
      </w:pPr>
      <w:r>
        <w:drawing>
          <wp:inline xmlns:a="http://schemas.openxmlformats.org/drawingml/2006/main" xmlns:pic="http://schemas.openxmlformats.org/drawingml/2006/picture">
            <wp:extent cx="5303520" cy="26517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S_sitewise_trajectori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51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 w:before="80" w:after="280"/>
      </w:pPr>
      <w:r>
        <w:rPr>
          <w:b/>
          <w:sz w:val="20"/>
        </w:rPr>
        <w:t xml:space="preserve">Figure S1. </w:t>
      </w:r>
      <w:r>
        <w:rPr>
          <w:sz w:val="20"/>
        </w:rPr>
        <w:t>Trajectory curves from per-database model refitting: predicted total bilirubin (mg/dL; back-transformed from the log scale) by class for MIMIC-III and PIC.</w:t>
      </w:r>
    </w:p>
    <w:p>
      <w:pPr>
        <w:spacing w:line="360" w:lineRule="auto" w:before="0" w:after="120"/>
      </w:pPr>
    </w:p>
    <w:p>
      <w:pPr>
        <w:spacing w:line="240" w:lineRule="auto" w:after="40"/>
        <w:jc w:val="center"/>
      </w:pPr>
      <w:r>
        <w:drawing>
          <wp:inline xmlns:a="http://schemas.openxmlformats.org/drawingml/2006/main" xmlns:pic="http://schemas.openxmlformats.org/drawingml/2006/picture">
            <wp:extent cx="5303520" cy="26517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ureS2_calibr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651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="240" w:lineRule="auto" w:before="80" w:after="280"/>
      </w:pPr>
      <w:r>
        <w:rPr>
          <w:b/>
          <w:sz w:val="20"/>
        </w:rPr>
        <w:t xml:space="preserve">Figure S2. </w:t>
      </w:r>
      <w:r>
        <w:rPr>
          <w:sz w:val="20"/>
        </w:rPr>
        <w:t>Decile calibration plot for the trajectory model (A) in MIMIC-III and PIC: observed composite-outcome rate versus mean predicted probability within deciles. Points near the diagonal indicate good calibration.</w:t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