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DDB698">
      <w:pPr>
        <w:rPr>
          <w:rFonts w:hint="default"/>
          <w:b/>
          <w:bCs/>
          <w:lang w:val="en-US" w:eastAsia="zh-CN"/>
        </w:rPr>
      </w:pPr>
      <w:r>
        <w:rPr>
          <w:rFonts w:hint="eastAsia"/>
          <w:b/>
          <w:bCs/>
          <w:lang w:val="en-US" w:eastAsia="zh-CN"/>
        </w:rPr>
        <w:t>Method:</w:t>
      </w:r>
    </w:p>
    <w:p w14:paraId="26657969">
      <w:pPr>
        <w:widowControl/>
        <w:spacing w:line="480" w:lineRule="auto"/>
        <w:ind w:left="0" w:leftChars="0"/>
        <w:jc w:val="left"/>
        <w:rPr>
          <w:rFonts w:ascii="Times New Roman" w:hAnsi="Times New Roman"/>
          <w:b/>
          <w:bCs/>
          <w:kern w:val="0"/>
          <w:sz w:val="20"/>
          <w:szCs w:val="20"/>
          <w:lang w:bidi="ar"/>
        </w:rPr>
      </w:pPr>
      <w:r>
        <w:rPr>
          <w:rFonts w:ascii="Times New Roman" w:hAnsi="Times New Roman"/>
          <w:b/>
          <w:bCs/>
          <w:kern w:val="0"/>
          <w:sz w:val="20"/>
          <w:szCs w:val="20"/>
          <w:lang w:val="en-US" w:eastAsia="zh-CN" w:bidi="ar"/>
        </w:rPr>
        <w:t>Exome Sequencing, Variant Interpretation, and Classification</w:t>
      </w:r>
    </w:p>
    <w:p w14:paraId="1D8DA7FC">
      <w:pPr>
        <w:spacing w:line="240" w:lineRule="auto"/>
        <w:ind w:firstLine="420" w:firstLineChars="0"/>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lang w:val="en-US" w:eastAsia="zh-CN"/>
        </w:rPr>
        <w:t xml:space="preserve">DNA was extracted from parents and proband samples, </w:t>
      </w:r>
      <w:r>
        <w:rPr>
          <w:rFonts w:hint="default" w:ascii="Times New Roman" w:hAnsi="Times New Roman" w:cs="Times New Roman"/>
          <w:sz w:val="20"/>
          <w:szCs w:val="20"/>
          <w:highlight w:val="none"/>
        </w:rPr>
        <w:t xml:space="preserve">using </w:t>
      </w:r>
      <w:r>
        <w:rPr>
          <w:rFonts w:hint="default" w:ascii="Times New Roman" w:hAnsi="Times New Roman" w:eastAsia="Source Han Sans CN" w:cs="Times New Roman"/>
          <w:sz w:val="20"/>
          <w:szCs w:val="20"/>
          <w:highlight w:val="none"/>
          <w:lang w:eastAsia="zh-TW"/>
        </w:rPr>
        <w:t>DNeasy Blood Tissue Kit (Qiagen GmbH, Hilden, Germany)</w:t>
      </w:r>
      <w:r>
        <w:rPr>
          <w:rFonts w:hint="default" w:ascii="Times New Roman" w:hAnsi="Times New Roman" w:cs="Times New Roman"/>
          <w:sz w:val="20"/>
          <w:szCs w:val="20"/>
          <w:highlight w:val="none"/>
        </w:rPr>
        <w:t xml:space="preserve"> following the manufacturer</w:t>
      </w:r>
      <w:r>
        <w:rPr>
          <w:rFonts w:hint="default" w:ascii="Times New Roman" w:hAnsi="Times New Roman" w:cs="Times New Roman"/>
          <w:sz w:val="20"/>
          <w:szCs w:val="20"/>
          <w:highlight w:val="none"/>
          <w:lang w:val="en-US" w:eastAsia="zh-CN"/>
        </w:rPr>
        <w:t>’</w:t>
      </w:r>
      <w:r>
        <w:rPr>
          <w:rFonts w:hint="default" w:ascii="Times New Roman" w:hAnsi="Times New Roman" w:cs="Times New Roman"/>
          <w:sz w:val="20"/>
          <w:szCs w:val="20"/>
          <w:highlight w:val="none"/>
        </w:rPr>
        <w:t xml:space="preserve">s protocol. Quality of genomic DNA was evaluated by agarose gel analysis and quantity was measured by Qubit3.0. DNA is interrupted to 200bp around by fragmentation enzymes. The DNA fragments were hybridized and captured by NanoWES. The </w:t>
      </w:r>
      <w:r>
        <w:rPr>
          <w:rFonts w:hint="default" w:ascii="Times New Roman" w:hAnsi="Times New Roman" w:cs="Times New Roman"/>
          <w:sz w:val="20"/>
          <w:szCs w:val="20"/>
          <w:highlight w:val="none"/>
          <w:lang w:val="en-US" w:eastAsia="zh-CN"/>
        </w:rPr>
        <w:t xml:space="preserve">trioWES </w:t>
      </w:r>
      <w:r>
        <w:rPr>
          <w:rFonts w:hint="default" w:ascii="Times New Roman" w:hAnsi="Times New Roman" w:cs="Times New Roman"/>
          <w:sz w:val="20"/>
          <w:szCs w:val="20"/>
          <w:highlight w:val="none"/>
        </w:rPr>
        <w:t>libraries were quantified by qPCR and sequenced using Illumina NovaSeq6000 (Illumina, San Diego, CA, USA) with 150 base-paired end reads.</w:t>
      </w:r>
    </w:p>
    <w:p w14:paraId="021E7C92">
      <w:pPr>
        <w:spacing w:line="240" w:lineRule="auto"/>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ab/>
      </w:r>
      <w:r>
        <w:rPr>
          <w:rFonts w:hint="default" w:ascii="Times New Roman" w:hAnsi="Times New Roman" w:cs="Times New Roman"/>
          <w:sz w:val="20"/>
          <w:szCs w:val="20"/>
          <w:highlight w:val="none"/>
        </w:rPr>
        <w:t xml:space="preserve"> Raw image files were processed using CASA</w:t>
      </w:r>
      <w:r>
        <w:rPr>
          <w:rFonts w:hint="default" w:ascii="Times New Roman" w:hAnsi="Times New Roman" w:cs="Times New Roman"/>
          <w:color w:val="auto"/>
          <w:sz w:val="20"/>
          <w:szCs w:val="20"/>
          <w:highlight w:val="none"/>
        </w:rPr>
        <w:t>VA v1.82 for b</w:t>
      </w:r>
      <w:r>
        <w:rPr>
          <w:rFonts w:hint="default" w:ascii="Times New Roman" w:hAnsi="Times New Roman" w:cs="Times New Roman"/>
          <w:sz w:val="20"/>
          <w:szCs w:val="20"/>
          <w:highlight w:val="none"/>
        </w:rPr>
        <w:t>ase calling and generating raw data. The sequencing reads were aligned to the human reference genome (hg</w:t>
      </w:r>
      <w:r>
        <w:rPr>
          <w:rFonts w:hint="default" w:ascii="Times New Roman" w:hAnsi="Times New Roman" w:cs="Times New Roman"/>
          <w:sz w:val="20"/>
          <w:szCs w:val="20"/>
          <w:highlight w:val="none"/>
          <w:lang w:val="en-US" w:eastAsia="zh-CN"/>
        </w:rPr>
        <w:t>38</w:t>
      </w:r>
      <w:r>
        <w:rPr>
          <w:rFonts w:hint="default" w:ascii="Times New Roman" w:hAnsi="Times New Roman" w:cs="Times New Roman"/>
          <w:sz w:val="20"/>
          <w:szCs w:val="20"/>
          <w:highlight w:val="none"/>
        </w:rPr>
        <w:t>/GRCh</w:t>
      </w:r>
      <w:r>
        <w:rPr>
          <w:rFonts w:hint="default" w:ascii="Times New Roman" w:hAnsi="Times New Roman" w:cs="Times New Roman"/>
          <w:sz w:val="20"/>
          <w:szCs w:val="20"/>
          <w:highlight w:val="none"/>
          <w:lang w:val="en-US" w:eastAsia="zh-CN"/>
        </w:rPr>
        <w:t>38</w:t>
      </w:r>
      <w:r>
        <w:rPr>
          <w:rFonts w:hint="default" w:ascii="Times New Roman" w:hAnsi="Times New Roman" w:cs="Times New Roman"/>
          <w:sz w:val="20"/>
          <w:szCs w:val="20"/>
          <w:highlight w:val="none"/>
        </w:rPr>
        <w:t>) using Burrows</w:t>
      </w:r>
      <w:r>
        <w:rPr>
          <w:rFonts w:hint="default" w:ascii="Times New Roman" w:hAnsi="Times New Roman" w:cs="Times New Roman"/>
          <w:sz w:val="20"/>
          <w:szCs w:val="20"/>
          <w:highlight w:val="none"/>
          <w:lang w:val="en-US" w:eastAsia="zh-CN"/>
        </w:rPr>
        <w:t>-</w:t>
      </w:r>
      <w:r>
        <w:rPr>
          <w:rFonts w:hint="default" w:ascii="Times New Roman" w:hAnsi="Times New Roman" w:cs="Times New Roman"/>
          <w:sz w:val="20"/>
          <w:szCs w:val="20"/>
          <w:highlight w:val="none"/>
        </w:rPr>
        <w:t>Wheeler Aligner tool</w:t>
      </w:r>
      <w:r>
        <w:rPr>
          <w:rFonts w:hint="default" w:ascii="Times New Roman" w:hAnsi="Times New Roman" w:cs="Times New Roman"/>
          <w:sz w:val="20"/>
          <w:szCs w:val="20"/>
          <w:highlight w:val="none"/>
          <w:vertAlign w:val="superscript"/>
          <w:lang w:val="en-US" w:eastAsia="zh-CN"/>
        </w:rPr>
        <w:t>1</w:t>
      </w:r>
      <w:r>
        <w:rPr>
          <w:rFonts w:hint="default" w:ascii="Times New Roman" w:hAnsi="Times New Roman" w:cs="Times New Roman"/>
          <w:sz w:val="20"/>
          <w:szCs w:val="20"/>
          <w:highlight w:val="none"/>
        </w:rPr>
        <w:t xml:space="preserve"> and PCR duplicates were removed by using Picard (http://picard.sourceforge.net/). Verita Trekker Variants Detection System by Berry Genomics and the third-party software GATK</w:t>
      </w:r>
      <w:r>
        <w:rPr>
          <w:rFonts w:hint="default" w:ascii="Times New Roman" w:hAnsi="Times New Roman" w:cs="Times New Roman"/>
          <w:sz w:val="20"/>
          <w:szCs w:val="20"/>
          <w:highlight w:val="none"/>
          <w:vertAlign w:val="superscript"/>
          <w:lang w:val="en-US" w:eastAsia="zh-CN"/>
        </w:rPr>
        <w:t>2</w:t>
      </w:r>
      <w:r>
        <w:rPr>
          <w:rFonts w:hint="default" w:ascii="Times New Roman" w:hAnsi="Times New Roman" w:cs="Times New Roman"/>
          <w:sz w:val="20"/>
          <w:szCs w:val="20"/>
          <w:highlight w:val="none"/>
        </w:rPr>
        <w:t xml:space="preserve"> (https://software.broadinstitute.org/gatk/) were employed for variant calling. Variant annotation and interpretation were conducted by ANNOVAR</w:t>
      </w:r>
      <w:r>
        <w:rPr>
          <w:rFonts w:hint="default" w:ascii="Times New Roman" w:hAnsi="Times New Roman" w:cs="Times New Roman"/>
          <w:sz w:val="20"/>
          <w:szCs w:val="20"/>
          <w:highlight w:val="none"/>
          <w:vertAlign w:val="superscript"/>
          <w:lang w:val="en-US" w:eastAsia="zh-CN"/>
        </w:rPr>
        <w:t>3</w:t>
      </w:r>
      <w:r>
        <w:rPr>
          <w:rFonts w:hint="default" w:ascii="Times New Roman" w:hAnsi="Times New Roman" w:cs="Times New Roman"/>
          <w:sz w:val="20"/>
          <w:szCs w:val="20"/>
          <w:highlight w:val="none"/>
          <w:lang w:val="en-US" w:eastAsia="zh-CN"/>
        </w:rPr>
        <w:t xml:space="preserve"> </w:t>
      </w:r>
      <w:r>
        <w:rPr>
          <w:rFonts w:hint="default" w:ascii="Times New Roman" w:hAnsi="Times New Roman" w:cs="Times New Roman"/>
          <w:sz w:val="20"/>
          <w:szCs w:val="20"/>
          <w:highlight w:val="none"/>
        </w:rPr>
        <w:t xml:space="preserve">and the Enliven Variants Annotation Interpretation System authorized by Berry Genomics. </w:t>
      </w:r>
    </w:p>
    <w:p w14:paraId="75B0E9F5">
      <w:pPr>
        <w:spacing w:line="240" w:lineRule="auto"/>
        <w:ind w:firstLine="420" w:firstLineChars="0"/>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Annotation databases mainly included human population databases (gnomAD, ExAC, 1000 Genome Project, ESP), silico prediction algorithms (SIFT, FATHMM, REVEL, CADD, SPIDEX) and disease and phenotype databases (OMIM, ClinVar, HGMD). The variants were classified according to the American College of Medical Genetics and Genomics (ACMG) guidelines for interpretation of genetic variants</w:t>
      </w:r>
      <w:r>
        <w:rPr>
          <w:rFonts w:hint="eastAsia" w:ascii="Times New Roman" w:hAnsi="Times New Roman" w:cs="Times New Roman"/>
          <w:sz w:val="20"/>
          <w:szCs w:val="20"/>
          <w:highlight w:val="none"/>
          <w:lang w:val="en-US" w:eastAsia="zh-CN"/>
        </w:rPr>
        <w:t>.</w:t>
      </w:r>
      <w:r>
        <w:rPr>
          <w:rFonts w:hint="default" w:ascii="Times New Roman" w:hAnsi="Times New Roman" w:cs="Times New Roman"/>
          <w:sz w:val="20"/>
          <w:szCs w:val="20"/>
          <w:highlight w:val="none"/>
          <w:vertAlign w:val="superscript"/>
          <w:lang w:val="en-US" w:eastAsia="zh-CN"/>
        </w:rPr>
        <w:t>4</w:t>
      </w:r>
      <w:r>
        <w:rPr>
          <w:rFonts w:hint="default" w:ascii="Times New Roman" w:hAnsi="Times New Roman" w:cs="Times New Roman"/>
          <w:sz w:val="20"/>
          <w:szCs w:val="20"/>
          <w:highlight w:val="none"/>
        </w:rPr>
        <w:t xml:space="preserve"> Coverage for these patients was at least 9</w:t>
      </w:r>
      <w:r>
        <w:rPr>
          <w:rFonts w:hint="default" w:ascii="Times New Roman" w:hAnsi="Times New Roman" w:cs="Times New Roman"/>
          <w:sz w:val="20"/>
          <w:szCs w:val="20"/>
          <w:highlight w:val="none"/>
          <w:lang w:val="en-US" w:eastAsia="zh-CN"/>
        </w:rPr>
        <w:t>8.97</w:t>
      </w:r>
      <w:r>
        <w:rPr>
          <w:rFonts w:hint="default" w:ascii="Times New Roman" w:hAnsi="Times New Roman" w:cs="Times New Roman"/>
          <w:sz w:val="20"/>
          <w:szCs w:val="20"/>
          <w:highlight w:val="none"/>
        </w:rPr>
        <w:t>% at a 20× depth threshold.</w:t>
      </w:r>
    </w:p>
    <w:p w14:paraId="39520EE6">
      <w:pPr>
        <w:spacing w:line="240" w:lineRule="auto"/>
        <w:ind w:firstLine="420" w:firstLineChars="0"/>
        <w:rPr>
          <w:rFonts w:hint="default" w:ascii="Times New Roman" w:hAnsi="Times New Roman" w:cs="Times New Roman"/>
          <w:sz w:val="20"/>
          <w:szCs w:val="20"/>
          <w:highlight w:val="none"/>
        </w:rPr>
      </w:pPr>
      <w:bookmarkStart w:id="0" w:name="_GoBack"/>
      <w:bookmarkEnd w:id="0"/>
    </w:p>
    <w:p w14:paraId="6E07515E">
      <w:pPr>
        <w:numPr>
          <w:ilvl w:val="0"/>
          <w:numId w:val="0"/>
        </w:numPr>
        <w:ind w:leftChars="0"/>
        <w:rPr>
          <w:rFonts w:hint="eastAsia"/>
          <w:lang w:val="en-US" w:eastAsia="zh-CN"/>
        </w:rPr>
      </w:pPr>
      <w:r>
        <w:rPr>
          <w:rFonts w:hint="eastAsia"/>
          <w:b/>
          <w:bCs/>
          <w:lang w:val="en-US" w:eastAsia="zh-CN"/>
        </w:rPr>
        <w:t>Reference</w:t>
      </w:r>
    </w:p>
    <w:p w14:paraId="310D3857">
      <w:pPr>
        <w:numPr>
          <w:ilvl w:val="0"/>
          <w:numId w:val="1"/>
        </w:numPr>
        <w:ind w:left="425" w:leftChars="0" w:hanging="425" w:firstLineChars="0"/>
        <w:rPr>
          <w:rFonts w:hint="eastAsia"/>
          <w:lang w:val="en-US" w:eastAsia="zh-CN"/>
        </w:rPr>
      </w:pPr>
      <w:r>
        <w:rPr>
          <w:rFonts w:hint="eastAsia"/>
          <w:lang w:val="en-US" w:eastAsia="zh-CN"/>
        </w:rPr>
        <w:t xml:space="preserve">Li H, Durbin R. Fast and accurate short read alignment with Burrows-Wheeler transform. </w:t>
      </w:r>
      <w:r>
        <w:rPr>
          <w:rFonts w:hint="eastAsia"/>
          <w:i/>
          <w:iCs/>
          <w:lang w:val="en-US" w:eastAsia="zh-CN"/>
        </w:rPr>
        <w:t>Bioinformatics</w:t>
      </w:r>
      <w:r>
        <w:rPr>
          <w:rFonts w:hint="eastAsia"/>
          <w:lang w:val="en-US" w:eastAsia="zh-CN"/>
        </w:rPr>
        <w:t>, 2009, 25(14): 1754-1760. doi: 10.1093/bioinformatics/btp324.</w:t>
      </w:r>
    </w:p>
    <w:p w14:paraId="64702124">
      <w:pPr>
        <w:numPr>
          <w:ilvl w:val="0"/>
          <w:numId w:val="1"/>
        </w:numPr>
        <w:ind w:left="425" w:leftChars="0" w:hanging="425" w:firstLineChars="0"/>
        <w:rPr>
          <w:rFonts w:hint="eastAsia"/>
          <w:lang w:val="en-US" w:eastAsia="zh-CN"/>
        </w:rPr>
      </w:pPr>
      <w:r>
        <w:rPr>
          <w:rFonts w:hint="eastAsia"/>
          <w:lang w:val="en-US" w:eastAsia="zh-CN"/>
        </w:rPr>
        <w:t xml:space="preserve">Do Valle IF, Giampieri E, Simonetti G, et al. Optimized pipeline of MuTect and GATK tools to improve the detection of somatic single nucleotide polymorphisms in whole-exome sequencing data. </w:t>
      </w:r>
      <w:r>
        <w:rPr>
          <w:rFonts w:hint="eastAsia"/>
          <w:i/>
          <w:iCs/>
          <w:lang w:val="en-US" w:eastAsia="zh-CN"/>
        </w:rPr>
        <w:t>BMC Bioinformatics</w:t>
      </w:r>
      <w:r>
        <w:rPr>
          <w:rFonts w:hint="eastAsia"/>
          <w:lang w:val="en-US" w:eastAsia="zh-CN"/>
        </w:rPr>
        <w:t>, 2016, 17(Suppl 12): 341. doi: 10.1186/s12859-016-1190-7.</w:t>
      </w:r>
    </w:p>
    <w:p w14:paraId="063D5144">
      <w:pPr>
        <w:numPr>
          <w:ilvl w:val="0"/>
          <w:numId w:val="1"/>
        </w:numPr>
        <w:ind w:left="425" w:leftChars="0" w:hanging="425" w:firstLineChars="0"/>
        <w:rPr>
          <w:rFonts w:hint="eastAsia"/>
          <w:i w:val="0"/>
          <w:iCs w:val="0"/>
          <w:lang w:val="en-US" w:eastAsia="zh-CN"/>
        </w:rPr>
      </w:pPr>
      <w:r>
        <w:rPr>
          <w:rFonts w:hint="eastAsia"/>
          <w:lang w:val="en-US" w:eastAsia="zh-CN"/>
        </w:rPr>
        <w:t xml:space="preserve">Wang K, Li M, Hakonarson H. ANNOVAR: Functional annotation of genetic variants from next-generation sequencing data. </w:t>
      </w:r>
      <w:r>
        <w:rPr>
          <w:rFonts w:hint="eastAsia"/>
          <w:i/>
          <w:iCs/>
          <w:lang w:val="en-US" w:eastAsia="zh-CN"/>
        </w:rPr>
        <w:t>Nucleic Acids Res,</w:t>
      </w:r>
      <w:r>
        <w:rPr>
          <w:rFonts w:hint="eastAsia"/>
          <w:i w:val="0"/>
          <w:iCs w:val="0"/>
          <w:lang w:val="en-US" w:eastAsia="zh-CN"/>
        </w:rPr>
        <w:t xml:space="preserve"> 2010 Sep;38(16):e164. doi: 10.1093/nar/gkq603. Epub 2010 Jul 3.</w:t>
      </w:r>
    </w:p>
    <w:p w14:paraId="15D0B2F6">
      <w:pPr>
        <w:numPr>
          <w:ilvl w:val="0"/>
          <w:numId w:val="1"/>
        </w:numPr>
        <w:ind w:left="425" w:leftChars="0" w:hanging="425" w:firstLineChars="0"/>
        <w:rPr>
          <w:rFonts w:hint="eastAsia"/>
          <w:i w:val="0"/>
          <w:iCs w:val="0"/>
          <w:lang w:val="en-US" w:eastAsia="zh-CN"/>
        </w:rPr>
      </w:pPr>
      <w:r>
        <w:rPr>
          <w:rFonts w:hint="eastAsia"/>
          <w:lang w:val="en-US" w:eastAsia="zh-CN"/>
        </w:rPr>
        <w:t xml:space="preserve">Richards S, Aziz N, Bale S, et al. Standards and Guidelines for the Interpretation of Sequence Variants: A Joint Consensus Recommendation of the American College of Medical Genetics and Genomics and the Association for Molecular Pathology. </w:t>
      </w:r>
      <w:r>
        <w:rPr>
          <w:rFonts w:hint="eastAsia"/>
          <w:i/>
          <w:iCs/>
          <w:lang w:val="en-US" w:eastAsia="zh-CN"/>
        </w:rPr>
        <w:t>Genet Med.</w:t>
      </w:r>
      <w:r>
        <w:rPr>
          <w:rFonts w:hint="eastAsia"/>
          <w:i w:val="0"/>
          <w:iCs w:val="0"/>
          <w:lang w:val="en-US" w:eastAsia="zh-CN"/>
        </w:rPr>
        <w:t xml:space="preserve"> 2015 May;17(5):405-24. doi: 10.1038/gim.2015.30. Epub 2015 Mar 5.</w:t>
      </w:r>
    </w:p>
    <w:p w14:paraId="5F2757FF">
      <w:pPr>
        <w:widowControl w:val="0"/>
        <w:numPr>
          <w:ilvl w:val="0"/>
          <w:numId w:val="0"/>
        </w:numPr>
        <w:jc w:val="both"/>
        <w:rPr>
          <w:rFonts w:hint="eastAsia"/>
          <w:lang w:val="en-US" w:eastAsia="zh-CN"/>
        </w:rPr>
      </w:pPr>
    </w:p>
    <w:p w14:paraId="7EF301F4">
      <w:pPr>
        <w:widowControl w:val="0"/>
        <w:numPr>
          <w:ilvl w:val="0"/>
          <w:numId w:val="0"/>
        </w:numPr>
        <w:jc w:val="center"/>
        <w:rPr>
          <w:rFonts w:hint="eastAsia"/>
          <w:lang w:val="en-US" w:eastAsia="zh-CN"/>
        </w:rPr>
      </w:pPr>
    </w:p>
    <w:p w14:paraId="262CEF1F">
      <w:pPr>
        <w:spacing w:line="240" w:lineRule="auto"/>
        <w:ind w:firstLine="420" w:firstLineChars="0"/>
        <w:rPr>
          <w:rFonts w:hint="default" w:ascii="Times New Roman" w:hAnsi="Times New Roman" w:cs="Times New Roman"/>
          <w:sz w:val="20"/>
          <w:szCs w:val="20"/>
          <w:highlight w:val="none"/>
        </w:rPr>
      </w:pPr>
    </w:p>
    <w:p w14:paraId="7CD6EFD2">
      <w:pPr>
        <w:spacing w:line="240" w:lineRule="auto"/>
        <w:ind w:firstLine="420" w:firstLineChars="0"/>
        <w:rPr>
          <w:rFonts w:hint="default" w:ascii="Times New Roman" w:hAnsi="Times New Roman" w:cs="Times New Roman"/>
          <w:sz w:val="20"/>
          <w:szCs w:val="20"/>
          <w:highlight w:val="none"/>
        </w:rPr>
      </w:pPr>
    </w:p>
    <w:p w14:paraId="1CAEE987">
      <w:pPr>
        <w:spacing w:line="240" w:lineRule="auto"/>
        <w:ind w:firstLine="420" w:firstLineChars="0"/>
        <w:rPr>
          <w:rFonts w:hint="default" w:ascii="Times New Roman" w:hAnsi="Times New Roman" w:cs="Times New Roman"/>
          <w:sz w:val="20"/>
          <w:szCs w:val="20"/>
          <w:highlight w:val="none"/>
        </w:rPr>
      </w:pPr>
    </w:p>
    <w:p w14:paraId="42B0C291">
      <w:pPr>
        <w:spacing w:line="240" w:lineRule="auto"/>
        <w:ind w:firstLine="420" w:firstLineChars="0"/>
        <w:rPr>
          <w:rFonts w:hint="default" w:ascii="Times New Roman" w:hAnsi="Times New Roman" w:cs="Times New Roman"/>
          <w:sz w:val="20"/>
          <w:szCs w:val="20"/>
          <w:highlight w:val="none"/>
        </w:rPr>
      </w:pPr>
    </w:p>
    <w:p w14:paraId="7244AB80">
      <w:pPr>
        <w:spacing w:line="240" w:lineRule="auto"/>
        <w:ind w:firstLine="420" w:firstLineChars="0"/>
        <w:rPr>
          <w:rFonts w:hint="default" w:ascii="Times New Roman" w:hAnsi="Times New Roman" w:cs="Times New Roman"/>
          <w:sz w:val="20"/>
          <w:szCs w:val="20"/>
          <w:highlight w:val="none"/>
        </w:rPr>
      </w:pPr>
    </w:p>
    <w:p w14:paraId="7ED2F027">
      <w:pPr>
        <w:widowControl w:val="0"/>
        <w:numPr>
          <w:ilvl w:val="0"/>
          <w:numId w:val="0"/>
        </w:numPr>
        <w:jc w:val="both"/>
        <w:rPr>
          <w:rStyle w:val="5"/>
          <w:rFonts w:hint="eastAsia" w:ascii="Times New Roman" w:hAnsi="Times New Roman" w:cs="Times New Roman" w:eastAsiaTheme="minorEastAsia"/>
          <w:b w:val="0"/>
          <w:bCs/>
          <w:kern w:val="0"/>
          <w:sz w:val="20"/>
          <w:szCs w:val="20"/>
          <w:highlight w:val="none"/>
          <w:lang w:val="en-US" w:eastAsia="zh-CN" w:bidi="ar"/>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ource Han Sans CN">
    <w:altName w:val="宋体"/>
    <w:panose1 w:val="00000000000000000000"/>
    <w:charset w:val="86"/>
    <w:family w:val="auto"/>
    <w:pitch w:val="default"/>
    <w:sig w:usb0="00000000" w:usb1="00000000" w:usb2="00000016" w:usb3="00000000" w:csb0="00060107"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7BFEFF8"/>
    <w:multiLevelType w:val="singleLevel"/>
    <w:tmpl w:val="D7BFEFF8"/>
    <w:lvl w:ilvl="0" w:tentative="0">
      <w:start w:val="1"/>
      <w:numFmt w:val="decimal"/>
      <w:lvlText w:val="%1."/>
      <w:lvlJc w:val="left"/>
      <w:pPr>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44A74"/>
    <w:rsid w:val="06071C3E"/>
    <w:rsid w:val="0837706D"/>
    <w:rsid w:val="0A541054"/>
    <w:rsid w:val="166F40CC"/>
    <w:rsid w:val="17F81389"/>
    <w:rsid w:val="18216F24"/>
    <w:rsid w:val="1A963DA1"/>
    <w:rsid w:val="1F5E35B5"/>
    <w:rsid w:val="20F46A39"/>
    <w:rsid w:val="21D142CA"/>
    <w:rsid w:val="287342EE"/>
    <w:rsid w:val="29D21415"/>
    <w:rsid w:val="343027E9"/>
    <w:rsid w:val="344169DC"/>
    <w:rsid w:val="36E00B87"/>
    <w:rsid w:val="39DE13A3"/>
    <w:rsid w:val="3B820995"/>
    <w:rsid w:val="3E931D01"/>
    <w:rsid w:val="417B4550"/>
    <w:rsid w:val="425C40F8"/>
    <w:rsid w:val="42C341BE"/>
    <w:rsid w:val="4E146708"/>
    <w:rsid w:val="50DB5C5A"/>
    <w:rsid w:val="514865FB"/>
    <w:rsid w:val="5F815E0E"/>
    <w:rsid w:val="603934FC"/>
    <w:rsid w:val="700072EF"/>
    <w:rsid w:val="781474EB"/>
    <w:rsid w:val="DEF7C6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character" w:styleId="5">
    <w:name w:val="Strong"/>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383</Words>
  <Characters>2463</Characters>
  <Lines>0</Lines>
  <Paragraphs>0</Paragraphs>
  <TotalTime>16</TotalTime>
  <ScaleCrop>false</ScaleCrop>
  <LinksUpToDate>false</LinksUpToDate>
  <CharactersWithSpaces>2838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2025-01-07T09:50:00Z</dcterms:created>
  <dc:creator>humanman</dc:creator>
  <cp:lastModifiedBy>小车</cp:lastModifiedBy>
  <dcterms:modified xsi:type="dcterms:W3CDTF">2026-08-28T00:40:21Z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eyJoZGlkIjoiNjk0OGU1M2E0MWI0M2MxYjRjZjliMDM2OGFhNjZjZjYiLCJ1c2VySWQiOiI0NzgyODcwNTgifQ==</vt:lpwstr>
  </property>
  <property fmtid="{D5CDD505-2E9C-101B-9397-08002B2CF9AE}" pid="4" name="ICV">
    <vt:lpwstr>FCAD94DD675447778B7B5BE0E46DD0AC_13</vt:lpwstr>
  </property>
</Properties>
</file>