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FE0DF">
      <w:pPr>
        <w:widowControl w:val="0"/>
        <w:spacing w:after="0" w:line="240" w:lineRule="auto"/>
        <w:jc w:val="center"/>
        <w:rPr>
          <w:rFonts w:ascii="Times New Roman" w:hAnsi="Times New Roman" w:eastAsia="宋体" w:cs="Times New Roman"/>
          <w:b/>
          <w:bCs/>
          <w:kern w:val="2"/>
          <w:sz w:val="32"/>
          <w:szCs w:val="32"/>
        </w:rPr>
      </w:pPr>
      <w:r>
        <w:rPr>
          <w:rFonts w:ascii="Times New Roman" w:hAnsi="Times New Roman" w:eastAsia="宋体" w:cs="Times New Roman"/>
          <w:b/>
          <w:bCs/>
          <w:kern w:val="2"/>
          <w:sz w:val="32"/>
          <w:szCs w:val="32"/>
        </w:rPr>
        <w:t>Supplementary materials</w:t>
      </w:r>
    </w:p>
    <w:p w14:paraId="02F2939F">
      <w:pPr>
        <w:widowControl w:val="0"/>
        <w:spacing w:after="0" w:line="240" w:lineRule="auto"/>
        <w:jc w:val="center"/>
        <w:rPr>
          <w:rFonts w:ascii="Times New Roman" w:hAnsi="Times New Roman" w:eastAsia="楷体" w:cs="Times New Roman"/>
          <w:i/>
          <w:iCs/>
          <w:kern w:val="2"/>
          <w:sz w:val="32"/>
          <w:szCs w:val="32"/>
        </w:rPr>
      </w:pPr>
      <w:r>
        <w:rPr>
          <w:rFonts w:ascii="Times New Roman" w:hAnsi="Times New Roman" w:eastAsia="楷体" w:cs="Times New Roman"/>
          <w:i/>
          <w:iCs/>
          <w:kern w:val="2"/>
          <w:sz w:val="32"/>
          <w:szCs w:val="32"/>
        </w:rPr>
        <w:t>for</w:t>
      </w:r>
    </w:p>
    <w:p w14:paraId="2F15EE9D">
      <w:pPr>
        <w:widowControl w:val="0"/>
        <w:spacing w:after="0" w:line="240" w:lineRule="auto"/>
        <w:jc w:val="center"/>
        <w:rPr>
          <w:rFonts w:ascii="Times New Roman" w:hAnsi="Times New Roman" w:eastAsia="宋体" w:cs="Times New Roman"/>
          <w:b/>
          <w:bCs/>
          <w:kern w:val="2"/>
          <w:sz w:val="32"/>
          <w:szCs w:val="32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32"/>
          <w:szCs w:val="32"/>
        </w:rPr>
        <w:t>Phosphorus makes the difference: N/P stoichiometry governs greenhouse gas emissions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kern w:val="2"/>
          <w:sz w:val="32"/>
          <w:szCs w:val="32"/>
        </w:rPr>
        <w:t xml:space="preserve"> in manure-amended black soils</w:t>
      </w:r>
    </w:p>
    <w:p w14:paraId="302D0DF3">
      <w:pPr>
        <w:widowControl w:val="0"/>
        <w:shd w:val="clear" w:color="auto" w:fill="FFFFFF"/>
        <w:suppressAutoHyphens/>
        <w:snapToGrid w:val="0"/>
        <w:spacing w:after="0" w:line="480" w:lineRule="auto"/>
        <w:jc w:val="both"/>
        <w:rPr>
          <w:rFonts w:hint="default" w:ascii="Times New Roman" w:hAnsi="Times New Roman" w:cs="Times New Roman"/>
          <w:color w:val="000000" w:themeColor="text1"/>
          <w:kern w:val="2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kern w:val="2"/>
          <w:sz w:val="20"/>
          <w:szCs w:val="20"/>
          <w14:textFill>
            <w14:solidFill>
              <w14:schemeClr w14:val="tx1"/>
            </w14:solidFill>
          </w14:textFill>
        </w:rPr>
        <w:t xml:space="preserve">Lijuan Yang </w:t>
      </w:r>
      <w:r>
        <w:rPr>
          <w:rFonts w:hint="default" w:ascii="Times New Roman" w:hAnsi="Times New Roman" w:cs="Times New Roman"/>
          <w:color w:val="000000" w:themeColor="text1"/>
          <w:kern w:val="2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>1,2</w:t>
      </w:r>
      <w:r>
        <w:rPr>
          <w:rFonts w:hint="default" w:ascii="Times New Roman" w:hAnsi="Times New Roman" w:cs="Times New Roman"/>
          <w:color w:val="000000" w:themeColor="text1"/>
          <w:kern w:val="2"/>
          <w:sz w:val="20"/>
          <w:szCs w:val="20"/>
          <w14:textFill>
            <w14:solidFill>
              <w14:schemeClr w14:val="tx1"/>
            </w14:solidFill>
          </w14:textFill>
        </w:rPr>
        <w:t xml:space="preserve">, Ping Li </w:t>
      </w:r>
      <w:r>
        <w:rPr>
          <w:rFonts w:hint="default" w:ascii="Times New Roman" w:hAnsi="Times New Roman" w:cs="Times New Roman"/>
          <w:color w:val="000000" w:themeColor="text1"/>
          <w:kern w:val="2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cs="Times New Roman"/>
          <w:color w:val="000000" w:themeColor="text1"/>
          <w:kern w:val="2"/>
          <w:sz w:val="20"/>
          <w:szCs w:val="20"/>
          <w14:textFill>
            <w14:solidFill>
              <w14:schemeClr w14:val="tx1"/>
            </w14:solidFill>
          </w14:textFill>
        </w:rPr>
        <w:t xml:space="preserve">, Aizhen Liang </w:t>
      </w:r>
      <w:r>
        <w:rPr>
          <w:rFonts w:hint="default" w:ascii="Times New Roman" w:hAnsi="Times New Roman" w:cs="Times New Roman"/>
          <w:color w:val="000000" w:themeColor="text1"/>
          <w:kern w:val="2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>1,2</w:t>
      </w:r>
      <w:r>
        <w:rPr>
          <w:rFonts w:hint="default" w:ascii="Times New Roman" w:hAnsi="Times New Roman" w:cs="Times New Roman"/>
          <w:color w:val="000000" w:themeColor="text1"/>
          <w:kern w:val="2"/>
          <w:sz w:val="20"/>
          <w:szCs w:val="20"/>
          <w14:textFill>
            <w14:solidFill>
              <w14:schemeClr w14:val="tx1"/>
            </w14:solidFill>
          </w14:textFill>
        </w:rPr>
        <w:t xml:space="preserve">, Bing Bai </w:t>
      </w:r>
      <w:r>
        <w:rPr>
          <w:rFonts w:hint="default" w:ascii="Times New Roman" w:hAnsi="Times New Roman" w:cs="Times New Roman"/>
          <w:color w:val="000000" w:themeColor="text1"/>
          <w:kern w:val="2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>1,2</w:t>
      </w:r>
      <w:r>
        <w:rPr>
          <w:rFonts w:hint="default" w:ascii="Times New Roman" w:hAnsi="Times New Roman" w:cs="Times New Roman"/>
          <w:color w:val="000000" w:themeColor="text1"/>
          <w:kern w:val="2"/>
          <w:sz w:val="20"/>
          <w:szCs w:val="20"/>
          <w14:textFill>
            <w14:solidFill>
              <w14:schemeClr w14:val="tx1"/>
            </w14:solidFill>
          </w14:textFill>
        </w:rPr>
        <w:t xml:space="preserve">, Lixia Wang </w:t>
      </w:r>
      <w:r>
        <w:rPr>
          <w:rFonts w:hint="default" w:ascii="Times New Roman" w:hAnsi="Times New Roman" w:cs="Times New Roman"/>
          <w:color w:val="000000" w:themeColor="text1"/>
          <w:kern w:val="2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>1,2*</w:t>
      </w:r>
    </w:p>
    <w:p w14:paraId="2CBD3314">
      <w:pPr>
        <w:widowControl w:val="0"/>
        <w:shd w:val="clear" w:color="auto" w:fill="FFFFFF"/>
        <w:suppressAutoHyphens/>
        <w:snapToGrid w:val="0"/>
        <w:spacing w:after="0" w:line="480" w:lineRule="auto"/>
        <w:jc w:val="both"/>
        <w:rPr>
          <w:rFonts w:hint="default" w:ascii="Times New Roman" w:hAnsi="Times New Roman" w:cs="Times New Roman"/>
          <w:color w:val="000000" w:themeColor="text1"/>
          <w:kern w:val="2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kern w:val="2"/>
          <w:sz w:val="20"/>
          <w:szCs w:val="20"/>
          <w14:textFill>
            <w14:solidFill>
              <w14:schemeClr w14:val="tx1"/>
            </w14:solidFill>
          </w14:textFill>
        </w:rPr>
        <w:t>1 State Key Laboratory of Black Soils Conservation and Utilization, Northeast Institute of Geography and Agroecology, Chinese Academy of Sciences, Haerbin 150081, China</w:t>
      </w:r>
    </w:p>
    <w:p w14:paraId="025583A2">
      <w:pPr>
        <w:widowControl w:val="0"/>
        <w:shd w:val="clear" w:color="auto" w:fill="FFFFFF"/>
        <w:suppressAutoHyphens/>
        <w:snapToGrid w:val="0"/>
        <w:spacing w:after="0" w:line="480" w:lineRule="auto"/>
        <w:jc w:val="both"/>
        <w:rPr>
          <w:rFonts w:hint="default" w:ascii="Times New Roman" w:hAnsi="Times New Roman" w:cs="Times New Roman"/>
          <w:color w:val="000000" w:themeColor="text1"/>
          <w:kern w:val="2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kern w:val="2"/>
          <w:sz w:val="20"/>
          <w:szCs w:val="20"/>
          <w14:textFill>
            <w14:solidFill>
              <w14:schemeClr w14:val="tx1"/>
            </w14:solidFill>
          </w14:textFill>
        </w:rPr>
        <w:t>2 University of Chinese Academy of Sciences, Beijing 101408, China</w:t>
      </w:r>
    </w:p>
    <w:p w14:paraId="62323988">
      <w:pPr>
        <w:widowControl w:val="0"/>
        <w:shd w:val="clear" w:color="auto" w:fill="FFFFFF"/>
        <w:suppressAutoHyphens/>
        <w:snapToGrid w:val="0"/>
        <w:spacing w:after="0" w:line="480" w:lineRule="auto"/>
        <w:jc w:val="both"/>
        <w:rPr>
          <w:rFonts w:hint="default" w:ascii="Times New Roman" w:hAnsi="Times New Roman" w:cs="Times New Roman"/>
          <w:color w:val="000000" w:themeColor="text1"/>
          <w:kern w:val="2"/>
          <w:sz w:val="20"/>
          <w:szCs w:val="20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kern w:val="2"/>
          <w:sz w:val="20"/>
          <w:szCs w:val="20"/>
          <w14:textFill>
            <w14:solidFill>
              <w14:schemeClr w14:val="tx1"/>
            </w14:solidFill>
          </w14:textFill>
        </w:rPr>
        <w:t>*</w:t>
      </w:r>
      <w:r>
        <w:rPr>
          <w:rFonts w:hint="default" w:ascii="Times New Roman" w:hAnsi="Times New Roman" w:cs="Times New Roman"/>
          <w:color w:val="000000" w:themeColor="text1"/>
          <w:kern w:val="2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kern w:val="2"/>
          <w:sz w:val="20"/>
          <w:szCs w:val="20"/>
          <w14:textFill>
            <w14:solidFill>
              <w14:schemeClr w14:val="tx1"/>
            </w14:solidFill>
          </w14:textFill>
        </w:rPr>
        <w:t>indicates</w:t>
      </w:r>
      <w:r>
        <w:rPr>
          <w:rFonts w:hint="default" w:ascii="Times New Roman" w:hAnsi="Times New Roman" w:cs="Times New Roman"/>
          <w:color w:val="000000" w:themeColor="text1"/>
          <w:kern w:val="2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the correspondence </w:t>
      </w:r>
    </w:p>
    <w:p w14:paraId="37CCAAB3">
      <w:pPr>
        <w:spacing w:line="360" w:lineRule="auto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101D9A8E">
      <w:pPr>
        <w:spacing w:line="360" w:lineRule="auto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7D812AE3">
      <w:pPr>
        <w:spacing w:line="360" w:lineRule="auto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7A4A2EC7">
      <w:pPr>
        <w:spacing w:line="360" w:lineRule="auto"/>
        <w:jc w:val="both"/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b/>
          <w:bCs/>
          <w:sz w:val="20"/>
          <w:szCs w:val="20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</w:rPr>
        <w:t>1</w:t>
      </w:r>
      <w:r>
        <w:rPr>
          <w:rFonts w:ascii="Times New Roman" w:hAnsi="Times New Roman" w:eastAsia="宋体" w:cs="Times New Roman"/>
          <w:b/>
          <w:bCs/>
          <w:sz w:val="20"/>
          <w:szCs w:val="20"/>
        </w:rPr>
        <w:t>:</w:t>
      </w:r>
      <w:r>
        <w:rPr>
          <w:rFonts w:ascii="Times New Roman" w:hAnsi="Times New Roman" w:eastAsia="宋体" w:cs="Times New Roman"/>
          <w:sz w:val="20"/>
          <w:szCs w:val="20"/>
        </w:rPr>
        <w:t xml:space="preserve"> Physicochemical properties of the organic manure used in the experiment </w:t>
      </w:r>
      <w:r>
        <w:rPr>
          <w:rFonts w:hint="eastAsia" w:ascii="Times New Roman" w:hAnsi="Times New Roman" w:eastAsia="宋体" w:cs="Times New Roman"/>
          <w:sz w:val="20"/>
          <w:szCs w:val="20"/>
        </w:rPr>
        <w:t>(</w:t>
      </w:r>
      <w:r>
        <w:rPr>
          <w:rFonts w:ascii="Times New Roman" w:hAnsi="Times New Roman" w:eastAsia="宋体" w:cs="Times New Roman"/>
          <w:sz w:val="20"/>
          <w:szCs w:val="20"/>
        </w:rPr>
        <w:t>2023–2025</w:t>
      </w:r>
      <w:r>
        <w:rPr>
          <w:rFonts w:hint="eastAsia" w:ascii="Times New Roman" w:hAnsi="Times New Roman" w:eastAsia="宋体" w:cs="Times New Roman"/>
          <w:sz w:val="20"/>
          <w:szCs w:val="20"/>
        </w:rPr>
        <w:t>)</w:t>
      </w:r>
      <w:r>
        <w:rPr>
          <w:rFonts w:ascii="Times New Roman" w:hAnsi="Times New Roman" w:eastAsia="宋体" w:cs="Times New Roman"/>
          <w:sz w:val="20"/>
          <w:szCs w:val="20"/>
        </w:rPr>
        <w:t>.</w:t>
      </w:r>
    </w:p>
    <w:p w14:paraId="228F61BE">
      <w:pPr>
        <w:spacing w:line="360" w:lineRule="auto"/>
        <w:jc w:val="both"/>
        <w:rPr>
          <w:rFonts w:ascii="Times New Roman" w:hAnsi="Times New Roman" w:eastAsia="宋体" w:cs="Times New Roman"/>
          <w:b/>
          <w:bCs/>
          <w:sz w:val="20"/>
          <w:szCs w:val="20"/>
        </w:rPr>
      </w:pPr>
      <w:r>
        <w:rPr>
          <w:rFonts w:ascii="Times New Roman" w:hAnsi="Times New Roman" w:eastAsia="宋体" w:cs="Times New Roman"/>
          <w:b/>
          <w:bCs/>
          <w:sz w:val="20"/>
          <w:szCs w:val="20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</w:rPr>
        <w:t>2</w:t>
      </w:r>
      <w:r>
        <w:rPr>
          <w:rFonts w:ascii="Times New Roman" w:hAnsi="Times New Roman" w:eastAsia="宋体" w:cs="Times New Roman"/>
          <w:b/>
          <w:bCs/>
          <w:sz w:val="20"/>
          <w:szCs w:val="20"/>
        </w:rPr>
        <w:t>:</w:t>
      </w:r>
      <w:r>
        <w:rPr>
          <w:rFonts w:ascii="Times New Roman" w:hAnsi="Times New Roman" w:eastAsia="宋体" w:cs="Times New Roman"/>
          <w:sz w:val="20"/>
          <w:szCs w:val="20"/>
        </w:rPr>
        <w:t xml:space="preserve"> Summary of the RM-ANOVAs for soil organic carbon (SOC), total nitrogen (TN), total phosphorus (TP) concentrations, and their stoichiometry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</w:rPr>
        <w:t>under different treatments during the studied years.</w:t>
      </w:r>
    </w:p>
    <w:p w14:paraId="3C42283F">
      <w:pPr>
        <w:rPr>
          <w:rFonts w:ascii="Times New Roman" w:hAnsi="Times New Roman" w:eastAsia="宋体" w:cs="Times New Roman"/>
          <w:b/>
          <w:bCs/>
          <w:sz w:val="20"/>
          <w:szCs w:val="20"/>
        </w:rPr>
      </w:pPr>
      <w:r>
        <w:rPr>
          <w:rFonts w:ascii="Times New Roman" w:hAnsi="Times New Roman" w:eastAsia="宋体" w:cs="Times New Roman"/>
          <w:b/>
          <w:bCs/>
          <w:sz w:val="20"/>
          <w:szCs w:val="20"/>
        </w:rPr>
        <w:br w:type="page"/>
      </w:r>
    </w:p>
    <w:p w14:paraId="776FCB2F">
      <w:pPr>
        <w:spacing w:line="360" w:lineRule="auto"/>
        <w:jc w:val="both"/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b/>
          <w:bCs/>
          <w:sz w:val="20"/>
          <w:szCs w:val="20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</w:rPr>
        <w:t>1</w:t>
      </w:r>
      <w:r>
        <w:rPr>
          <w:rFonts w:ascii="Times New Roman" w:hAnsi="Times New Roman" w:eastAsia="宋体" w:cs="Times New Roman"/>
          <w:b/>
          <w:bCs/>
          <w:sz w:val="20"/>
          <w:szCs w:val="20"/>
        </w:rPr>
        <w:t>:</w:t>
      </w:r>
      <w:r>
        <w:rPr>
          <w:rFonts w:ascii="Times New Roman" w:hAnsi="Times New Roman" w:eastAsia="宋体" w:cs="Times New Roman"/>
          <w:sz w:val="20"/>
          <w:szCs w:val="20"/>
        </w:rPr>
        <w:t xml:space="preserve"> Physicochemical properties of the organic manure used in the experiment </w:t>
      </w:r>
      <w:r>
        <w:rPr>
          <w:rFonts w:hint="eastAsia" w:ascii="Times New Roman" w:hAnsi="Times New Roman" w:eastAsia="宋体" w:cs="Times New Roman"/>
          <w:sz w:val="20"/>
          <w:szCs w:val="20"/>
        </w:rPr>
        <w:t>(</w:t>
      </w:r>
      <w:r>
        <w:rPr>
          <w:rFonts w:ascii="Times New Roman" w:hAnsi="Times New Roman" w:eastAsia="宋体" w:cs="Times New Roman"/>
          <w:sz w:val="20"/>
          <w:szCs w:val="20"/>
        </w:rPr>
        <w:t>2023–2025</w:t>
      </w:r>
      <w:r>
        <w:rPr>
          <w:rFonts w:hint="eastAsia" w:ascii="Times New Roman" w:hAnsi="Times New Roman" w:eastAsia="宋体" w:cs="Times New Roman"/>
          <w:sz w:val="20"/>
          <w:szCs w:val="20"/>
        </w:rPr>
        <w:t>)</w:t>
      </w:r>
      <w:r>
        <w:rPr>
          <w:rFonts w:ascii="Times New Roman" w:hAnsi="Times New Roman" w:eastAsia="宋体" w:cs="Times New Roman"/>
          <w:sz w:val="20"/>
          <w:szCs w:val="20"/>
        </w:rPr>
        <w:t>.</w:t>
      </w:r>
    </w:p>
    <w:tbl>
      <w:tblPr>
        <w:tblStyle w:val="5"/>
        <w:tblW w:w="8190" w:type="dxa"/>
        <w:tblInd w:w="2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1395"/>
        <w:gridCol w:w="1365"/>
        <w:gridCol w:w="1905"/>
        <w:gridCol w:w="2160"/>
      </w:tblGrid>
      <w:tr w14:paraId="2F52F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36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  <w:tl2br w:val="nil"/>
            </w:tcBorders>
            <w:shd w:val="clear" w:color="auto" w:fill="FFFFFF"/>
            <w:vAlign w:val="center"/>
          </w:tcPr>
          <w:p w14:paraId="16D2CC3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Year</w:t>
            </w:r>
          </w:p>
        </w:tc>
        <w:tc>
          <w:tcPr>
            <w:tcW w:w="139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FF1942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Total C (%)</w:t>
            </w:r>
          </w:p>
        </w:tc>
        <w:tc>
          <w:tcPr>
            <w:tcW w:w="136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1CE6AA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Total N (%)</w:t>
            </w:r>
          </w:p>
        </w:tc>
        <w:tc>
          <w:tcPr>
            <w:tcW w:w="190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6DE362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C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N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 xml:space="preserve"> ratio</w:t>
            </w:r>
          </w:p>
        </w:tc>
        <w:tc>
          <w:tcPr>
            <w:tcW w:w="216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5D0337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Water Content (%)</w:t>
            </w:r>
          </w:p>
        </w:tc>
      </w:tr>
      <w:tr w14:paraId="4962F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1E27401B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D2FE6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4.96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75E6B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90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6D21EB8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11.81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547D9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34.98</w:t>
            </w:r>
          </w:p>
        </w:tc>
      </w:tr>
      <w:tr w14:paraId="1CBC6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FEC4B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CD448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6.75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CA8A6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2C03A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10.89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94278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25.08</w:t>
            </w:r>
          </w:p>
        </w:tc>
      </w:tr>
      <w:tr w14:paraId="1D8E7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</w:tcPr>
          <w:p w14:paraId="03F79B78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4D13EE4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30.79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10A8458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2.47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</w:tcPr>
          <w:p w14:paraId="227F0C1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12.47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7EFF272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34.12</w:t>
            </w:r>
          </w:p>
        </w:tc>
      </w:tr>
    </w:tbl>
    <w:p w14:paraId="6C431BD8">
      <w:pPr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sz w:val="20"/>
          <w:szCs w:val="20"/>
        </w:rPr>
        <w:br w:type="page"/>
      </w:r>
    </w:p>
    <w:p w14:paraId="56751769">
      <w:pPr>
        <w:spacing w:line="360" w:lineRule="auto"/>
        <w:jc w:val="both"/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b/>
          <w:bCs/>
          <w:sz w:val="20"/>
          <w:szCs w:val="20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</w:rPr>
        <w:t>2</w:t>
      </w:r>
      <w:r>
        <w:rPr>
          <w:rFonts w:ascii="Times New Roman" w:hAnsi="Times New Roman" w:eastAsia="宋体" w:cs="Times New Roman"/>
          <w:b/>
          <w:bCs/>
          <w:sz w:val="20"/>
          <w:szCs w:val="20"/>
        </w:rPr>
        <w:t>:</w:t>
      </w:r>
      <w:r>
        <w:rPr>
          <w:rFonts w:ascii="Times New Roman" w:hAnsi="Times New Roman" w:eastAsia="宋体" w:cs="Times New Roman"/>
          <w:sz w:val="20"/>
          <w:szCs w:val="20"/>
        </w:rPr>
        <w:t xml:space="preserve"> Summary of the RM-ANOVAs for soil organic carbon (SOC), total nitrogen (TN), total phosphorus (TP) concentrations, and their stoichiometry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</w:rPr>
        <w:t>under different treatments during the studied years.</w:t>
      </w:r>
    </w:p>
    <w:tbl>
      <w:tblPr>
        <w:tblStyle w:val="4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2021"/>
        <w:gridCol w:w="1670"/>
        <w:gridCol w:w="1481"/>
        <w:gridCol w:w="1225"/>
        <w:gridCol w:w="1062"/>
      </w:tblGrid>
      <w:tr w14:paraId="029B8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23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5100C4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Factor</w:t>
            </w:r>
          </w:p>
        </w:tc>
        <w:tc>
          <w:tcPr>
            <w:tcW w:w="1185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3B3162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979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8655EE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df</w:t>
            </w:r>
          </w:p>
        </w:tc>
        <w:tc>
          <w:tcPr>
            <w:tcW w:w="868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3F7DA5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MS</w:t>
            </w:r>
          </w:p>
        </w:tc>
        <w:tc>
          <w:tcPr>
            <w:tcW w:w="719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67FAAB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623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AC6403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p</w:t>
            </w:r>
          </w:p>
        </w:tc>
      </w:tr>
      <w:tr w14:paraId="370E3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3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3E6961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SOC</w:t>
            </w:r>
          </w:p>
        </w:tc>
        <w:tc>
          <w:tcPr>
            <w:tcW w:w="118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018B15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979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2E5773C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2, 72</w:t>
            </w:r>
          </w:p>
        </w:tc>
        <w:tc>
          <w:tcPr>
            <w:tcW w:w="868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6C015CB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43.771</w:t>
            </w:r>
          </w:p>
        </w:tc>
        <w:tc>
          <w:tcPr>
            <w:tcW w:w="719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0B4F37B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69.607</w:t>
            </w:r>
          </w:p>
        </w:tc>
        <w:tc>
          <w:tcPr>
            <w:tcW w:w="623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79185F5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&lt; 0.01</w:t>
            </w:r>
          </w:p>
        </w:tc>
      </w:tr>
      <w:tr w14:paraId="79423B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3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0DA2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E6E6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1E238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3, 36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46088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186.498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0E62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273.889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A1CD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&lt; 0.01</w:t>
            </w:r>
          </w:p>
        </w:tc>
      </w:tr>
      <w:tr w14:paraId="24E08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23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049B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91C8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Year × Treatment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48CE5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6, 72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20FB9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8.265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6149E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13.143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5C8ED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&lt; 0.01</w:t>
            </w:r>
          </w:p>
        </w:tc>
      </w:tr>
      <w:tr w14:paraId="65E29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F6D9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TN</w:t>
            </w: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C21E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E8CC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1.240, 44.627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B04D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3.166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26349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52.32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BCD92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&lt; 0.01</w:t>
            </w:r>
          </w:p>
        </w:tc>
      </w:tr>
      <w:tr w14:paraId="25402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3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231F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4106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15E4F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3, 36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FD64E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1.353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15640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28.68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AA9C6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&lt; 0.01</w:t>
            </w:r>
          </w:p>
        </w:tc>
      </w:tr>
      <w:tr w14:paraId="4D1AE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23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DCC4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3841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Year × Treatment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6EF8D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3.719, 44.627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E0AF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0.542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07163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8.954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C4B8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&lt; 0.01</w:t>
            </w:r>
          </w:p>
        </w:tc>
      </w:tr>
      <w:tr w14:paraId="721F4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24C5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TP</w:t>
            </w: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85A1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4D0B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2, 72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17C45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D3F88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0.839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1178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0.436</w:t>
            </w:r>
          </w:p>
        </w:tc>
      </w:tr>
      <w:tr w14:paraId="3BCCD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3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B5D1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EDD7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2510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3, 36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9C5C7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949EB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71.268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99CFF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&lt; 0.01</w:t>
            </w:r>
          </w:p>
        </w:tc>
      </w:tr>
      <w:tr w14:paraId="3F529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3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0473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8C9B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Year × Treatment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6F6F4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6, 72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0D1C6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6C5C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4.491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DE258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&lt; 0.01</w:t>
            </w:r>
          </w:p>
        </w:tc>
      </w:tr>
      <w:tr w14:paraId="43ECE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E5B0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C/N</w:t>
            </w: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64D6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B3E43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2, 72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4731F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15.306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42FE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45.915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BEE89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&lt; 0.01</w:t>
            </w:r>
          </w:p>
        </w:tc>
      </w:tr>
      <w:tr w14:paraId="5F95B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3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C987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17F0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21C2F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3, 36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2799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37.954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0901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132.112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E4BF9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&lt; 0.01</w:t>
            </w:r>
          </w:p>
        </w:tc>
      </w:tr>
      <w:tr w14:paraId="6947C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23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5568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5384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Year × Treatment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9D07A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6, 72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3CA32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0.828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4B320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2.483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CB3F4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0.031</w:t>
            </w:r>
          </w:p>
        </w:tc>
      </w:tr>
      <w:tr w14:paraId="36F35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9B36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C/P</w:t>
            </w: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33C7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42C1B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2, 72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0DBEA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57.391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85E9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78.942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32ABB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&lt; 0.01</w:t>
            </w:r>
          </w:p>
        </w:tc>
      </w:tr>
      <w:tr w14:paraId="5D548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3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754F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301B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F6751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3, 36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F7E86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419.839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9C5FF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329.438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1B1DD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&lt; 0.01</w:t>
            </w:r>
          </w:p>
        </w:tc>
      </w:tr>
      <w:tr w14:paraId="7F8225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23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D015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88EA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Year × Treatment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04F9F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6, 72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F6C1D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10.883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771CA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14.969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936B2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&lt; 0.01</w:t>
            </w:r>
          </w:p>
        </w:tc>
      </w:tr>
      <w:tr w14:paraId="65E05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7C4D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N/P</w:t>
            </w: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7BA3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305DD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2, 72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8E183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4.84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42E41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616.161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3553E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&lt; 0.01</w:t>
            </w:r>
          </w:p>
        </w:tc>
      </w:tr>
      <w:tr w14:paraId="1D639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3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726B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4187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6C322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3, 36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CBD0B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1.195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13B7B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203.091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7B547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&lt; 0.01</w:t>
            </w:r>
          </w:p>
        </w:tc>
      </w:tr>
      <w:tr w14:paraId="2C599A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23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0459CD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99FAF5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Year × Treatment</w:t>
            </w:r>
          </w:p>
        </w:tc>
        <w:tc>
          <w:tcPr>
            <w:tcW w:w="979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E175DE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6, 72</w:t>
            </w:r>
          </w:p>
        </w:tc>
        <w:tc>
          <w:tcPr>
            <w:tcW w:w="868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17A159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0.124</w:t>
            </w:r>
          </w:p>
        </w:tc>
        <w:tc>
          <w:tcPr>
            <w:tcW w:w="719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39B6EA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15.829</w:t>
            </w:r>
          </w:p>
        </w:tc>
        <w:tc>
          <w:tcPr>
            <w:tcW w:w="623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CF05E2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&lt; 0.01</w:t>
            </w:r>
          </w:p>
        </w:tc>
      </w:tr>
    </w:tbl>
    <w:p w14:paraId="048CA68B">
      <w:pPr>
        <w:spacing w:after="160" w:line="278" w:lineRule="auto"/>
        <w:rPr>
          <w:sz w:val="20"/>
          <w:szCs w:val="20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3A046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CD00FE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CD00FE">
                    <w:pPr>
                      <w:pStyle w:val="2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2B3F42"/>
    <w:rsid w:val="0049095F"/>
    <w:rsid w:val="004B5448"/>
    <w:rsid w:val="00585C55"/>
    <w:rsid w:val="00634720"/>
    <w:rsid w:val="00BA7B56"/>
    <w:rsid w:val="00BC17CA"/>
    <w:rsid w:val="00D71D2F"/>
    <w:rsid w:val="00EA2B25"/>
    <w:rsid w:val="00ED2C72"/>
    <w:rsid w:val="015E7F4D"/>
    <w:rsid w:val="01BA02B4"/>
    <w:rsid w:val="090E5BA6"/>
    <w:rsid w:val="0A3D172D"/>
    <w:rsid w:val="0A86581A"/>
    <w:rsid w:val="0C197F77"/>
    <w:rsid w:val="0DF56526"/>
    <w:rsid w:val="0F1F5C14"/>
    <w:rsid w:val="0F6A4EA7"/>
    <w:rsid w:val="0FC30926"/>
    <w:rsid w:val="10225B22"/>
    <w:rsid w:val="10246EEB"/>
    <w:rsid w:val="105C2E66"/>
    <w:rsid w:val="10E02E12"/>
    <w:rsid w:val="11D07A50"/>
    <w:rsid w:val="12BE2E6E"/>
    <w:rsid w:val="132B55CA"/>
    <w:rsid w:val="1373624D"/>
    <w:rsid w:val="14113279"/>
    <w:rsid w:val="16B56AEF"/>
    <w:rsid w:val="18470AF1"/>
    <w:rsid w:val="1D3F269C"/>
    <w:rsid w:val="1D602654"/>
    <w:rsid w:val="1FE4758B"/>
    <w:rsid w:val="2130749E"/>
    <w:rsid w:val="254B2891"/>
    <w:rsid w:val="262325D7"/>
    <w:rsid w:val="270F3FF9"/>
    <w:rsid w:val="272848B8"/>
    <w:rsid w:val="27A379C0"/>
    <w:rsid w:val="27D0047A"/>
    <w:rsid w:val="28C47B9F"/>
    <w:rsid w:val="2951422E"/>
    <w:rsid w:val="2B342280"/>
    <w:rsid w:val="2E3473CF"/>
    <w:rsid w:val="2FEE6B85"/>
    <w:rsid w:val="302208F9"/>
    <w:rsid w:val="30716517"/>
    <w:rsid w:val="32075108"/>
    <w:rsid w:val="321340D9"/>
    <w:rsid w:val="329C3F05"/>
    <w:rsid w:val="34EA24D1"/>
    <w:rsid w:val="3516660C"/>
    <w:rsid w:val="37667AC1"/>
    <w:rsid w:val="39AD5700"/>
    <w:rsid w:val="3B07350D"/>
    <w:rsid w:val="3B2373E9"/>
    <w:rsid w:val="3D510A70"/>
    <w:rsid w:val="41233378"/>
    <w:rsid w:val="42254279"/>
    <w:rsid w:val="42726210"/>
    <w:rsid w:val="44D746F9"/>
    <w:rsid w:val="45D264C6"/>
    <w:rsid w:val="460743C1"/>
    <w:rsid w:val="46C329DE"/>
    <w:rsid w:val="46C51FF4"/>
    <w:rsid w:val="46DB32CD"/>
    <w:rsid w:val="480242CF"/>
    <w:rsid w:val="4A1C2405"/>
    <w:rsid w:val="4A3807AC"/>
    <w:rsid w:val="4ADC2719"/>
    <w:rsid w:val="4B300BB4"/>
    <w:rsid w:val="4C161B0F"/>
    <w:rsid w:val="4C613898"/>
    <w:rsid w:val="4D2B3779"/>
    <w:rsid w:val="4DB42272"/>
    <w:rsid w:val="4DFD0C89"/>
    <w:rsid w:val="507B25E1"/>
    <w:rsid w:val="50B01263"/>
    <w:rsid w:val="532B7CFC"/>
    <w:rsid w:val="5365723B"/>
    <w:rsid w:val="53AC47FA"/>
    <w:rsid w:val="544E58B1"/>
    <w:rsid w:val="54E5748F"/>
    <w:rsid w:val="573F0B96"/>
    <w:rsid w:val="591E3AA4"/>
    <w:rsid w:val="59542CE6"/>
    <w:rsid w:val="5E3577AE"/>
    <w:rsid w:val="60B11F71"/>
    <w:rsid w:val="622639C9"/>
    <w:rsid w:val="63DD455C"/>
    <w:rsid w:val="65AA7631"/>
    <w:rsid w:val="6747066A"/>
    <w:rsid w:val="684D12B7"/>
    <w:rsid w:val="69DC778F"/>
    <w:rsid w:val="6BF608B1"/>
    <w:rsid w:val="6C44161C"/>
    <w:rsid w:val="6D543AE1"/>
    <w:rsid w:val="6D914BEF"/>
    <w:rsid w:val="6F263B05"/>
    <w:rsid w:val="6F504D51"/>
    <w:rsid w:val="6F5F7441"/>
    <w:rsid w:val="707D6EAA"/>
    <w:rsid w:val="713F51DF"/>
    <w:rsid w:val="71950224"/>
    <w:rsid w:val="7248572A"/>
    <w:rsid w:val="74EB59B8"/>
    <w:rsid w:val="75336602"/>
    <w:rsid w:val="75C537CD"/>
    <w:rsid w:val="7B384096"/>
    <w:rsid w:val="7D252E8F"/>
    <w:rsid w:val="7D43322A"/>
    <w:rsid w:val="7E1D19A7"/>
    <w:rsid w:val="7E694F12"/>
    <w:rsid w:val="7FF0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326</Words>
  <Characters>1625</Characters>
  <Lines>140</Lines>
  <Paragraphs>123</Paragraphs>
  <TotalTime>0</TotalTime>
  <ScaleCrop>false</ScaleCrop>
  <LinksUpToDate>false</LinksUpToDate>
  <CharactersWithSpaces>1819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2026-01-14T01:50:00Z</dcterms:created>
  <dc:creator>儇鋈辔谲</dc:creator>
  <cp:lastModifiedBy>儇鋈辔谲</cp:lastModifiedBy>
  <dcterms:modified xsi:type="dcterms:W3CDTF">2026-08-25T06:11:54Z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FDB4BAD3BA4D4246B1AE02F650D98002_13</vt:lpwstr>
  </property>
  <property fmtid="{D5CDD505-2E9C-101B-9397-08002B2CF9AE}" pid="4" name="KSOTemplateDocerSaveRecord">
    <vt:lpwstr>eyJoZGlkIjoiMTFmMDJhOGRiN2VmM2YwMTFhYzEzNzFmN2FjYzY2ODEiLCJ1c2VySWQiOiI4Njg5NTYzMzUifQ==</vt:lpwstr>
  </property>
  <property fmtid="{D5CDD505-2E9C-101B-9397-08002B2CF9AE}" pid="5" name="GrammarlyDocumentId">
    <vt:lpwstr>3ab8da01-8447-40e8-b983-115e1a09b9de</vt:lpwstr>
  </property>
</Properties>
</file>