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8A34E">
      <w:pPr>
        <w:spacing w:line="480" w:lineRule="auto"/>
        <w:rPr>
          <w:rFonts w:ascii="Times New Roman" w:hAnsi="Times New Roman" w:eastAsiaTheme="minorEastAsia"/>
          <w:b/>
          <w:bCs/>
          <w:sz w:val="24"/>
        </w:rPr>
      </w:pPr>
      <w:r>
        <w:rPr>
          <w:rFonts w:hint="default" w:ascii="Times New Roman" w:hAnsi="Times New Roman" w:eastAsiaTheme="minorEastAsia"/>
          <w:b/>
          <w:bCs/>
          <w:sz w:val="24"/>
        </w:rPr>
        <w:t>Supplementary Methods: Animal Experimental Validation</w:t>
      </w:r>
    </w:p>
    <w:p w14:paraId="4B98DAD0">
      <w:pPr>
        <w:spacing w:line="480" w:lineRule="auto"/>
        <w:ind w:firstLine="480" w:firstLineChars="200"/>
        <w:rPr>
          <w:rFonts w:hint="default" w:ascii="Times New Roman" w:hAnsi="Times New Roman" w:eastAsiaTheme="minorEastAsia"/>
          <w:sz w:val="24"/>
        </w:rPr>
      </w:pPr>
      <w:r>
        <w:rPr>
          <w:rFonts w:hint="default" w:ascii="Times New Roman" w:hAnsi="Times New Roman" w:eastAsiaTheme="minorEastAsia"/>
          <w:sz w:val="24"/>
        </w:rPr>
        <w:t>This supplement provides detailed protocols for the animal experiments performed in this study.</w:t>
      </w:r>
    </w:p>
    <w:p w14:paraId="5915668C">
      <w:pPr>
        <w:spacing w:line="480" w:lineRule="auto"/>
        <w:rPr>
          <w:rFonts w:hint="default" w:ascii="Times New Roman" w:hAnsi="Times New Roman" w:eastAsiaTheme="minorEastAsia"/>
          <w:b/>
          <w:bCs/>
          <w:sz w:val="24"/>
        </w:rPr>
      </w:pPr>
      <w:r>
        <w:rPr>
          <w:rFonts w:hint="default" w:ascii="Times New Roman" w:hAnsi="Times New Roman" w:eastAsiaTheme="minorEastAsia"/>
          <w:b/>
          <w:bCs/>
          <w:sz w:val="24"/>
        </w:rPr>
        <w:t>Animal Model Establishment</w:t>
      </w:r>
    </w:p>
    <w:p w14:paraId="25D2A417">
      <w:pPr>
        <w:spacing w:line="480" w:lineRule="auto"/>
        <w:ind w:firstLine="480" w:firstLineChars="200"/>
        <w:rPr>
          <w:rFonts w:hint="default" w:ascii="Times New Roman" w:hAnsi="Times New Roman" w:eastAsiaTheme="minorEastAsia"/>
          <w:sz w:val="24"/>
        </w:rPr>
      </w:pPr>
      <w:r>
        <w:rPr>
          <w:rFonts w:hint="default" w:ascii="Times New Roman" w:hAnsi="Times New Roman" w:eastAsiaTheme="minorEastAsia"/>
          <w:sz w:val="24"/>
        </w:rPr>
        <w:t xml:space="preserve">Twelve SPF-grade Sprague-Dawley rats (six males and six females; 160–200 g) were purchased from Hunan Slaike Jingda Laboratory Animal Co., Ltd. (license No.: SCXK (Xiang) 2019-0004). The animals were housed in the SPF facility of the First Affiliated Hospital of Guangxi University of Chinese Medicine under controlled conditions (temperature 20–22°C, humidity 50–60%, 12 h/12 h light-dark cycle) with free access to food and water. After a 7-day acclimatization period, the rats were randomly assigned to a control group (n=6) and a model group (n=6) using a random number table. GERD was induced according to a modified protocol based on reference [17]. In brief, 0.1% iodoacetamide solution (I8010, Solarbio) was prepared in 2% sucrose water. Pepsin (10 mg/mL, P7000, Sigma) and deoxycholic acid (10 mg/mL, D8460, Solarbio) were dissolved in saline, and the pH was adjusted to 5.0. The two solutions were administered intragastrically on alternate days (once daily) at a volume of 0.2 mL per rat for 14 consecutive days. Rats in the control group received an equal volume of normal saline on the same schedule. All animals were sacrificed 24 hours after the last gavage, and tissue samples were collected. The animal protocol was approved by the Animal Ethics Committee of Guangxi University of Chinese Medicine (approval number: </w:t>
      </w:r>
      <w:r>
        <w:rPr>
          <w:rFonts w:hint="default" w:ascii="Times New Roman" w:hAnsi="Times New Roman" w:eastAsiaTheme="minorEastAsia"/>
          <w:sz w:val="24"/>
          <w:lang w:val="en-US" w:eastAsia="zh-CN"/>
        </w:rPr>
        <w:t>DW20230320-05</w:t>
      </w:r>
      <w:r>
        <w:rPr>
          <w:rFonts w:hint="default" w:ascii="Times New Roman" w:hAnsi="Times New Roman" w:eastAsiaTheme="minorEastAsia"/>
          <w:sz w:val="24"/>
        </w:rPr>
        <w:t>).</w:t>
      </w:r>
    </w:p>
    <w:p w14:paraId="119C3673">
      <w:pPr>
        <w:spacing w:line="480" w:lineRule="auto"/>
        <w:rPr>
          <w:rFonts w:hint="default" w:ascii="Times New Roman" w:hAnsi="Times New Roman" w:eastAsiaTheme="minorEastAsia"/>
          <w:b/>
          <w:bCs/>
          <w:sz w:val="24"/>
        </w:rPr>
      </w:pPr>
      <w:r>
        <w:rPr>
          <w:rFonts w:hint="default" w:ascii="Times New Roman" w:hAnsi="Times New Roman" w:eastAsiaTheme="minorEastAsia"/>
          <w:b/>
          <w:bCs/>
          <w:sz w:val="24"/>
        </w:rPr>
        <w:t>Hematoxylin-Eosin (HE) Staining</w:t>
      </w:r>
    </w:p>
    <w:p w14:paraId="288C26CD">
      <w:pPr>
        <w:spacing w:line="480" w:lineRule="auto"/>
        <w:ind w:firstLine="480" w:firstLineChars="200"/>
        <w:rPr>
          <w:rFonts w:hint="default" w:ascii="Times New Roman" w:hAnsi="Times New Roman" w:eastAsiaTheme="minorEastAsia"/>
          <w:sz w:val="24"/>
        </w:rPr>
      </w:pPr>
      <w:r>
        <w:rPr>
          <w:rFonts w:hint="default" w:ascii="Times New Roman" w:hAnsi="Times New Roman" w:eastAsiaTheme="minorEastAsia"/>
          <w:sz w:val="24"/>
        </w:rPr>
        <w:t>Fixed tissues were rinsed under running water and dehydrated through a graded ethanol series (75% for 2 h, 85% for 2 h, 90% for 1.5 h, 95% for 2 h, and absolute ethanol twice for 2 h each). The samples were then cleared in xylene, infiltrated with paraffin wax at 65°C (paraffin I for 0.5 h, II for 1 h, and III for 2 h 45 min), and embedded. Sections were cut at 3 μm using a rotary microtome (RM2135, Leica) and baked at 65°C for 4.5 h. For routine HE staining, sections were deparaffinized in xylene for 10 min and rehydrated through graded ethanol. Hematoxylin (Baso BA-4041) was applied for 4 min, followed by differentiation solution (Beyotime C0163M) for 10 s and bluing reagent for 5 s. Eosin (Baso BA-4024) was then applied for 2 min. After dehydration and clearing, the sections were mounted with neutral balsam (ZSGB-BIO Zli-9555) and examined under a light microscope (BX43, Olympus).</w:t>
      </w:r>
    </w:p>
    <w:p w14:paraId="28743A6C">
      <w:pPr>
        <w:spacing w:line="480" w:lineRule="auto"/>
        <w:rPr>
          <w:rFonts w:hint="default" w:ascii="Times New Roman" w:hAnsi="Times New Roman" w:eastAsiaTheme="minorEastAsia"/>
          <w:b/>
          <w:bCs/>
          <w:sz w:val="24"/>
        </w:rPr>
      </w:pPr>
      <w:r>
        <w:rPr>
          <w:rFonts w:hint="default" w:ascii="Times New Roman" w:hAnsi="Times New Roman" w:eastAsiaTheme="minorEastAsia"/>
          <w:b/>
          <w:bCs/>
          <w:sz w:val="24"/>
        </w:rPr>
        <w:t>Immunohistochemistry (IHC)</w:t>
      </w:r>
    </w:p>
    <w:p w14:paraId="47678C2D">
      <w:pPr>
        <w:spacing w:line="480" w:lineRule="auto"/>
        <w:ind w:firstLine="480" w:firstLineChars="200"/>
        <w:rPr>
          <w:rFonts w:hint="default" w:ascii="Times New Roman" w:hAnsi="Times New Roman" w:eastAsiaTheme="minorEastAsia"/>
          <w:sz w:val="24"/>
        </w:rPr>
      </w:pPr>
      <w:r>
        <w:rPr>
          <w:rFonts w:hint="default" w:ascii="Times New Roman" w:hAnsi="Times New Roman" w:eastAsiaTheme="minorEastAsia"/>
          <w:sz w:val="24"/>
        </w:rPr>
        <w:t>Paraffin sections were deparaffinized and rehydrated. Antigen retrieval was carried out in 3% citric acid buffer using high-pressure heating for 10 min, followed by natural cooling. Endogenous peroxidase activity was blocked with 3% methanol-hydrogen peroxide for 20 min. After washing with PBS, sections were blocked with 5% BSA at room temperature for 30 min. Primary antibodies against CD55 (AF5259, 1:100) and GABARAPL1 (83817-1-RR, 1:120) were applied and incubated overnight at 4°C. After PBS washing, the sections were incubated with secondary antibody (PV-6000) at 37°C for 20 min. DAB was used for visualization, and nuclei were counterstained with hematoxylin, followed by differentiation, bluing, dehydration, clearing, and mounting. Positive staining appeared brownish-yellow. The mean optical density (integrated optical density/total tissue area) was quantified using Image-Pro Plus software.</w:t>
      </w:r>
    </w:p>
    <w:p w14:paraId="3C683997">
      <w:pPr>
        <w:spacing w:line="480" w:lineRule="auto"/>
        <w:rPr>
          <w:rFonts w:hint="default" w:ascii="Times New Roman" w:hAnsi="Times New Roman" w:eastAsiaTheme="minorEastAsia"/>
          <w:b/>
          <w:bCs/>
          <w:sz w:val="24"/>
        </w:rPr>
      </w:pPr>
      <w:r>
        <w:rPr>
          <w:rFonts w:hint="default" w:ascii="Times New Roman" w:hAnsi="Times New Roman" w:eastAsiaTheme="minorEastAsia"/>
          <w:b/>
          <w:bCs/>
          <w:sz w:val="24"/>
        </w:rPr>
        <w:t>Real-Time Quantitative PCR</w:t>
      </w:r>
    </w:p>
    <w:p w14:paraId="258E3580">
      <w:pPr>
        <w:spacing w:line="480" w:lineRule="auto"/>
        <w:ind w:firstLine="480" w:firstLineChars="200"/>
        <w:rPr>
          <w:rFonts w:hint="default" w:ascii="Times New Roman" w:hAnsi="Times New Roman" w:eastAsiaTheme="minorEastAsia"/>
          <w:sz w:val="24"/>
        </w:rPr>
      </w:pPr>
      <w:r>
        <w:rPr>
          <w:rFonts w:hint="default" w:ascii="Times New Roman" w:hAnsi="Times New Roman" w:eastAsiaTheme="minorEastAsia"/>
          <w:sz w:val="24"/>
        </w:rPr>
        <w:t>Total RNA was extracted using TRIzol reagent (15596-026, Invitrogen). Briefly, 30–100 mg of tissue was ground in liquid nitrogen and lysed in 1 mL TRIzol. Chloroform was added for phase separation, and RNA was precipitated with isopropanol, washed with 75% ethanol, and dissolved in DEPC-treated water. Reverse transcription was performed with the HiFiScript cDNA First Strand Synthesis Kit (CW2582M, CWBIO). Genomic DNA was removed at 42°C for 2 min, and cDNA synthesis was carried out at 42°C for 15 min, followed by 85°C for 5 min. qPCR was performed using the SYBR Green I master mix (MQ00401S, Monad Biotech) in a 20 μL reaction containing 10 μL of 2× PreMix, 0.6 μL each of forward and reverse primers (10 μM), and 100 ng of cDNA. The cycling conditions were as follows: initial denaturation at 95°C for 15 min; 40 cycles of 95°C for 10 s, 53–58°C for 30 s, and 72°C for 30 s; followed by a melting curve analysis from 60°C to 95°C. GAPDH was used as the internal reference, and relative expression was calculated by the 2</w:t>
      </w:r>
      <w:r>
        <w:rPr>
          <w:rFonts w:hint="default" w:ascii="Times New Roman" w:hAnsi="Times New Roman" w:eastAsiaTheme="minorEastAsia"/>
          <w:sz w:val="24"/>
          <w:vertAlign w:val="superscript"/>
        </w:rPr>
        <w:t xml:space="preserve">^−ΔΔCt </w:t>
      </w:r>
      <w:r>
        <w:rPr>
          <w:rFonts w:hint="default" w:ascii="Times New Roman" w:hAnsi="Times New Roman" w:eastAsiaTheme="minorEastAsia"/>
          <w:sz w:val="24"/>
        </w:rPr>
        <w:t>method. Primer sequences are listed in Supplementary Table S3.</w:t>
      </w:r>
    </w:p>
    <w:p w14:paraId="34B9711F">
      <w:pPr>
        <w:spacing w:line="480" w:lineRule="auto"/>
        <w:rPr>
          <w:rFonts w:hint="default" w:ascii="Times New Roman" w:hAnsi="Times New Roman" w:eastAsiaTheme="minorEastAsia"/>
          <w:b/>
          <w:bCs/>
          <w:sz w:val="24"/>
        </w:rPr>
      </w:pPr>
      <w:r>
        <w:rPr>
          <w:rFonts w:hint="default" w:ascii="Times New Roman" w:hAnsi="Times New Roman" w:eastAsiaTheme="minorEastAsia"/>
          <w:b/>
          <w:bCs/>
          <w:sz w:val="24"/>
        </w:rPr>
        <w:t>Western Blot</w:t>
      </w:r>
    </w:p>
    <w:p w14:paraId="1E1EC6F1">
      <w:pPr>
        <w:spacing w:line="480" w:lineRule="auto"/>
        <w:ind w:firstLine="480" w:firstLineChars="200"/>
        <w:rPr>
          <w:rFonts w:hint="default" w:ascii="Times New Roman" w:hAnsi="Times New Roman" w:eastAsiaTheme="minorEastAsia"/>
          <w:sz w:val="24"/>
        </w:rPr>
      </w:pPr>
      <w:r>
        <w:rPr>
          <w:rFonts w:hint="default" w:ascii="Times New Roman" w:hAnsi="Times New Roman" w:eastAsiaTheme="minorEastAsia"/>
          <w:sz w:val="24"/>
        </w:rPr>
        <w:t>For tissue samples, 100 mg was homogenized on ice in 1 mL RIPA buffer (R0020, Solarbio) containing 10 μL PMSF (BL507A, Biosharp). For cell samples, 250 μL lysis buffer was added per 10⁶ cells, followed by sonication. After centrifugation at 4°C, the supernatant was collected, and protein concentration was measured with a nucleic acid/protein quantifier. A total of 20 μg of protein was mixed with loading buffer and denatured at 95°C for 10 min. Proteins were separated by SDS-PAGE (10% separating gel, 5% stacking gel) at 80 V followed by 120 V, and then transferred to PVDF membranes (IPVH00010, Millipore) by wet transfer. Membranes were blocked with 5% non-fat milk for 1 h and incubated with primary antibodies overnight at 4°C. β-Tubulin (Affinity, 1:10,000) served as the loading control for CD55, and GAPDH (Affinity, 1:10,000) for GABARAPL1. After TBST washing, membranes were incubated with HRP-conjugated secondary antibodies (goat anti-rabbit/anti-mouse, ZB2301/ZB2305, ZSGB-BIO, 1:3,000) at room temperature in the dark for 60 min. Signals were developed with ECL reagent (BMU102-CN, Abbkine) and exposed to film (SUPER RX-N, FUJIFILM). Band intensities were quantified using ImageJ.</w:t>
      </w:r>
    </w:p>
    <w:p w14:paraId="55077A40">
      <w:pPr>
        <w:spacing w:line="480" w:lineRule="auto"/>
        <w:rPr>
          <w:rFonts w:hint="default" w:ascii="Times New Roman" w:hAnsi="Times New Roman" w:eastAsiaTheme="minorEastAsia"/>
          <w:b/>
          <w:bCs/>
          <w:sz w:val="24"/>
        </w:rPr>
      </w:pPr>
      <w:r>
        <w:rPr>
          <w:rFonts w:hint="default" w:ascii="Times New Roman" w:hAnsi="Times New Roman" w:eastAsiaTheme="minorEastAsia"/>
          <w:b/>
          <w:bCs/>
          <w:sz w:val="24"/>
        </w:rPr>
        <w:t>Statistical Analysis</w:t>
      </w:r>
    </w:p>
    <w:p w14:paraId="0211A66E">
      <w:pPr>
        <w:spacing w:line="480" w:lineRule="auto"/>
        <w:ind w:firstLine="480" w:firstLineChars="200"/>
        <w:rPr>
          <w:rFonts w:ascii="Times New Roman" w:hAnsi="Times New Roman" w:eastAsiaTheme="minorEastAsia"/>
          <w:sz w:val="24"/>
        </w:rPr>
      </w:pPr>
      <w:bookmarkStart w:id="0" w:name="_GoBack"/>
      <w:bookmarkEnd w:id="0"/>
      <w:r>
        <w:rPr>
          <w:rFonts w:hint="eastAsia" w:ascii="Times New Roman" w:hAnsi="Times New Roman" w:eastAsiaTheme="minorEastAsia"/>
          <w:sz w:val="24"/>
        </w:rPr>
        <w:t>Statistical analysis of the animal experiment data was performed with SPSS 22.0. Quantitative data are presented as mean ± standard deviation (x̄ ± s). For Western blot analysis, six independent biological replicates per group (n=6 per group) were used. For all other experimental assays, at least three independent biological replicates were performed. Normality was assessed with the Shapiro-Wilk test, and homogeneity of variances was evaluated using Levene’s test. When data met the assumptions of normality and equal variance, group comparisons were made by independent samples t-test; otherwise, the Mann-Whitney U test was applied. A two-tailed P &lt; 0.05 was considered statistically significant.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KSYEGIRBOO0_20_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C128A4"/>
    <w:rsid w:val="38C128A4"/>
    <w:rsid w:val="3F5672FF"/>
    <w:rsid w:val="43544D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981</Words>
  <Characters>5338</Characters>
  <Lines>0</Lines>
  <Paragraphs>0</Paragraphs>
  <TotalTime>28</TotalTime>
  <ScaleCrop>false</ScaleCrop>
  <LinksUpToDate>false</LinksUpToDate>
  <CharactersWithSpaces>6305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2026-08-31T14:15:00Z</dcterms:created>
  <dc:creator>怀瑾</dc:creator>
  <cp:lastModifiedBy>怀瑾</cp:lastModifiedBy>
  <dcterms:modified xsi:type="dcterms:W3CDTF">2026-09-07T08:52:26Z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F6124E68ECBC4EC099DA497442A63FA9_11</vt:lpwstr>
  </property>
  <property fmtid="{D5CDD505-2E9C-101B-9397-08002B2CF9AE}" pid="4" name="KSOTemplateDocerSaveRecord">
    <vt:lpwstr>eyJoZGlkIjoiNTQxZGJlNzNjMGE2N2ExZDAyODM3YTAxZjg3ZWM1YzAiLCJ1c2VySWQiOiI2ODM2MjExNDMifQ==</vt:lpwstr>
  </property>
</Properties>
</file>