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10215" w14:textId="77777777" w:rsidR="00C16A3C" w:rsidRPr="00613D87" w:rsidRDefault="00C16A3C" w:rsidP="00C052B6">
      <w:pPr>
        <w:jc w:val="left"/>
        <w:rPr>
          <w:b/>
          <w:spacing w:val="-10"/>
          <w:kern w:val="28"/>
          <w:sz w:val="28"/>
          <w:szCs w:val="56"/>
          <w:lang w:eastAsia="zh-CN"/>
        </w:rPr>
      </w:pPr>
      <w:r w:rsidRPr="00C052B6">
        <w:rPr>
          <w:b/>
          <w:spacing w:val="-10"/>
          <w:kern w:val="28"/>
          <w:sz w:val="28"/>
          <w:szCs w:val="56"/>
          <w:lang w:eastAsia="zh-CN"/>
        </w:rPr>
        <w:t>Global satellite forest loss mapping conflates transient canopy disturbance with forest destruction</w:t>
      </w:r>
    </w:p>
    <w:p w14:paraId="58799919" w14:textId="77777777" w:rsidR="00C16A3C" w:rsidRPr="00DD5B23" w:rsidRDefault="00C16A3C" w:rsidP="00C16A3C">
      <w:pPr>
        <w:pStyle w:val="BodyText"/>
        <w:rPr>
          <w:lang w:val="en-AU" w:eastAsia="zh-CN"/>
        </w:rPr>
      </w:pPr>
    </w:p>
    <w:p w14:paraId="4BF33A22" w14:textId="77777777" w:rsidR="00C16A3C" w:rsidRDefault="00230F1E" w:rsidP="007F5317">
      <w:pPr>
        <w:pStyle w:val="Heading1"/>
        <w:rPr>
          <w:lang w:eastAsia="zh-CN"/>
        </w:rPr>
      </w:pPr>
      <w:r w:rsidRPr="00230F1E">
        <w:rPr>
          <w:lang w:val="en-GB" w:eastAsia="zh-CN"/>
        </w:rPr>
        <w:t>Supplementary Methods 1. Vegetation type and fire-loss classification</w:t>
      </w:r>
    </w:p>
    <w:p w14:paraId="4D0A1353" w14:textId="77777777" w:rsidR="00134320" w:rsidRDefault="00134320" w:rsidP="00134320">
      <w:pPr>
        <w:pStyle w:val="BodyText"/>
        <w:rPr>
          <w:lang w:val="en-AU" w:eastAsia="zh-CN"/>
        </w:rPr>
      </w:pPr>
      <w:r>
        <w:t>The NSW State Vegetation Type Map (SVTM) was used to identify vegetation types across the study area</w:t>
      </w:r>
      <w:r>
        <w:rPr>
          <w:vertAlign w:val="superscript"/>
        </w:rPr>
        <w:t>1</w:t>
      </w:r>
      <w:r>
        <w:t>. Original vegetation classes were grouped into wet sclerophyll forest, dry sclerophyll forest, other forest/woodland, non-forest native vegetation and cleared land. Other forest/woodland included wooded formations outside the target wet and dry sclerophyll forests, such as rainforest, grassy woodland and forested wetland, whereas non-forest native vegetation included heathland, shrubland, grassland and wetland. Subsequent analyses retained only wet and dry sclerophyll forests as the target eucalypt forest domain.</w:t>
      </w:r>
    </w:p>
    <w:p w14:paraId="1694435A" w14:textId="77777777" w:rsidR="00134320" w:rsidRPr="00134320" w:rsidRDefault="00134320" w:rsidP="00134320">
      <w:pPr>
        <w:pStyle w:val="BodyText"/>
        <w:rPr>
          <w:lang w:val="en-AU" w:eastAsia="zh-CN"/>
        </w:rPr>
      </w:pPr>
    </w:p>
    <w:p w14:paraId="50E89242" w14:textId="77777777" w:rsidR="00134320" w:rsidRDefault="00134320" w:rsidP="00134320">
      <w:pPr>
        <w:pStyle w:val="BodyText"/>
        <w:rPr>
          <w:lang w:val="en-AU" w:eastAsia="zh-CN"/>
        </w:rPr>
      </w:pPr>
      <w:r>
        <w:t>Fire extent and severity were obtained from the Fire Extent and Severity Mapping (FESM) dataset</w:t>
      </w:r>
      <w:r>
        <w:rPr>
          <w:vertAlign w:val="superscript"/>
        </w:rPr>
        <w:t>2</w:t>
      </w:r>
      <w:r>
        <w:t>. FESM distinguishes unburnt areas and four fire severity classes: low, moderate, high and extreme. FESM severity was used as the primary measure of fire impact. Low severity generally represents effects concentrated in surface fuels or understorey vegetation with limited canopy damage, moderate severity indicates greater understorey and canopy effects, and high and extreme severity represent progressively greater canopy scorch, consumption and structural damage</w:t>
      </w:r>
      <w:r>
        <w:rPr>
          <w:vertAlign w:val="superscript"/>
        </w:rPr>
        <w:t>2</w:t>
      </w:r>
      <w:r>
        <w:t>.</w:t>
      </w:r>
    </w:p>
    <w:p w14:paraId="053FE185" w14:textId="77777777" w:rsidR="00134320" w:rsidRPr="00134320" w:rsidRDefault="00134320" w:rsidP="00134320">
      <w:pPr>
        <w:pStyle w:val="BodyText"/>
        <w:rPr>
          <w:lang w:val="en-AU" w:eastAsia="zh-CN"/>
        </w:rPr>
      </w:pPr>
    </w:p>
    <w:p w14:paraId="7EBB623C" w14:textId="77777777" w:rsidR="00134320" w:rsidRDefault="00134320" w:rsidP="00134320">
      <w:pPr>
        <w:pStyle w:val="BodyText"/>
        <w:rPr>
          <w:lang w:val="en-AU" w:eastAsia="zh-CN"/>
        </w:rPr>
      </w:pPr>
      <w:r>
        <w:t>Fire-related forest loss was obtained from the UMD GLAD Global Forest Loss Due to Fire dataset</w:t>
      </w:r>
      <w:r>
        <w:rPr>
          <w:vertAlign w:val="superscript"/>
        </w:rPr>
        <w:t>3</w:t>
      </w:r>
      <w:r>
        <w:t>, which identifies the subset of annual forest loss in the Hansen Global Forest Change product associated with fire</w:t>
      </w:r>
      <w:r>
        <w:rPr>
          <w:vertAlign w:val="superscript"/>
        </w:rPr>
        <w:t>4</w:t>
      </w:r>
      <w:r>
        <w:t>. The original mapped period covered 2001–2019, and the annual GLAD product was subsequently extended to later years. We used the updated annual fire-related forest-loss layer and retained its medium- and high-certainty fire-loss values for 2019 and 2020 as candidate pixels for the 2019–2020 Black Summer fire season.</w:t>
      </w:r>
    </w:p>
    <w:p w14:paraId="75B49D77" w14:textId="77777777" w:rsidR="00134320" w:rsidRPr="00134320" w:rsidRDefault="00134320" w:rsidP="00134320">
      <w:pPr>
        <w:pStyle w:val="BodyText"/>
        <w:rPr>
          <w:lang w:val="en-AU" w:eastAsia="zh-CN"/>
        </w:rPr>
      </w:pPr>
    </w:p>
    <w:p w14:paraId="2D09E03C" w14:textId="77777777" w:rsidR="00134320" w:rsidRDefault="00134320" w:rsidP="00134320">
      <w:pPr>
        <w:pStyle w:val="BodyText"/>
        <w:rPr>
          <w:lang w:val="en-AU" w:eastAsia="zh-CN"/>
        </w:rPr>
      </w:pPr>
      <w:r>
        <w:t>Because the target fire season extended from 1 July 2019 to 30 June 2020, the NPWS Fire History—Wildfires and Prescribed Burns dataset</w:t>
      </w:r>
      <w:r>
        <w:rPr>
          <w:vertAlign w:val="superscript"/>
        </w:rPr>
        <w:t>5</w:t>
      </w:r>
      <w:r>
        <w:t xml:space="preserve"> was used to reduce inclusion of candidate fire-loss pixels associated with fires outside this period. Candidate 2019 pixels overlapping fires recorded between 1 January and 30 June 2019 were excluded, as were candidate 2020 pixels overlapping fires recorded between 1 July and 31 December 2020. NPWS fire-history polygons were buffered by 60 m before overlay to reduce spatial mismatch between mapped </w:t>
      </w:r>
      <w:r>
        <w:lastRenderedPageBreak/>
        <w:t>fire boundaries and raster pixels. The fire-loss raster was aligned to the approximately 10 m SVTM analysis grid using nearest-neighbour resampling.</w:t>
      </w:r>
    </w:p>
    <w:p w14:paraId="6EEC16F7" w14:textId="77777777" w:rsidR="00134320" w:rsidRPr="00134320" w:rsidRDefault="00134320" w:rsidP="00134320">
      <w:pPr>
        <w:pStyle w:val="BodyText"/>
        <w:rPr>
          <w:lang w:val="en-AU" w:eastAsia="zh-CN"/>
        </w:rPr>
      </w:pPr>
    </w:p>
    <w:p w14:paraId="7239F245" w14:textId="77777777" w:rsidR="00134320" w:rsidRPr="00134320" w:rsidRDefault="00134320" w:rsidP="00134320">
      <w:pPr>
        <w:pStyle w:val="BodyText"/>
        <w:rPr>
          <w:lang w:val="en-AU" w:eastAsia="zh-CN"/>
        </w:rPr>
      </w:pPr>
      <w:r>
        <w:t>The resulting layer represented fire-related forest impact associated with the 2019–2020 fire season rather than the complete extent of burnt forest. Within the FESM-burnt wet and dry sclerophyll forest domain, pixels retained as fire-related forest loss were classified as Global Wildfire Forest Impact Loss (GWFI</w:t>
      </w:r>
      <w:r>
        <w:rPr>
          <w:vertAlign w:val="subscript"/>
        </w:rPr>
        <w:t>L</w:t>
      </w:r>
      <w:r>
        <w:t>), while the remaining burnt forest pixels were classified as Global Wildfire Forest Impact Stable (GWFI</w:t>
      </w:r>
      <w:r>
        <w:rPr>
          <w:vertAlign w:val="subscript"/>
        </w:rPr>
        <w:t>S</w:t>
      </w:r>
      <w:r>
        <w:t>). These classes were subsequently compared using spectral, structural and field observations to evaluate the ecological meaning of mapped wildfire-related forest loss.</w:t>
      </w:r>
    </w:p>
    <w:p w14:paraId="34103A87" w14:textId="77777777" w:rsidR="00C16A3C" w:rsidRDefault="00C16A3C" w:rsidP="00C16A3C">
      <w:pPr>
        <w:pStyle w:val="BodyText"/>
        <w:rPr>
          <w:lang w:val="en-AU" w:eastAsia="zh-CN"/>
        </w:rPr>
      </w:pPr>
    </w:p>
    <w:p w14:paraId="6DA21173" w14:textId="77777777" w:rsidR="00230F1E" w:rsidRDefault="00230F1E" w:rsidP="00230F1E">
      <w:pPr>
        <w:pStyle w:val="Heading1"/>
        <w:rPr>
          <w:lang w:eastAsia="zh-CN"/>
        </w:rPr>
      </w:pPr>
      <w:r>
        <w:t>Supplementary Methods 2. Remote-sensing proxies</w:t>
      </w:r>
    </w:p>
    <w:p w14:paraId="7D8462C2" w14:textId="77777777" w:rsidR="00C16A3C" w:rsidRPr="00767C2F" w:rsidRDefault="00E41AE0" w:rsidP="00C16A3C">
      <w:pPr>
        <w:pStyle w:val="BodyText"/>
        <w:rPr>
          <w:lang w:val="en-AU" w:eastAsia="zh-CN"/>
        </w:rPr>
      </w:pPr>
      <w:r w:rsidRPr="00E41AE0">
        <w:t>Quarterly Sentinel-2 NBR2 composites were generated from the Google Earth Engine Sentinel-2 Level-2A surface reflectance collection (COPERNICUS/S2_SR_HARMONIZED).</w:t>
      </w:r>
      <w:r>
        <w:rPr>
          <w:vertAlign w:val="superscript"/>
        </w:rPr>
        <w:t>6</w:t>
      </w:r>
      <w:r>
        <w:t xml:space="preserve"> Images with more than 20% cloud cover were excluded, and cloud-affected pixels were masked using the Scene Classification Layer (SCL). NBR2 was then calculated for the remaining observations and aggregated into quarterly median </w:t>
      </w:r>
      <w:r w:rsidRPr="00E41AE0">
        <w:t>composites.</w:t>
      </w:r>
      <w:r>
        <w:rPr>
          <w:rFonts w:hint="eastAsia"/>
          <w:lang w:eastAsia="zh-CN"/>
        </w:rPr>
        <w:t xml:space="preserve"> </w:t>
      </w:r>
      <w:r w:rsidR="00C16A3C">
        <w:t>The analysis used the stored quarterly layers directly rather than rebuilding composites from scene-level imagery. NBR2 was calculated from the Sentinel-2 shortwave-infrared bands as:</w:t>
      </w:r>
    </w:p>
    <w:p w14:paraId="5ACDA197" w14:textId="77777777" w:rsidR="00C16A3C" w:rsidRDefault="00C16A3C" w:rsidP="00C16A3C">
      <w:pPr>
        <w:pStyle w:val="BodyText"/>
      </w:pPr>
      <m:oMathPara>
        <m:oMath>
          <m:r>
            <w:rPr>
              <w:rFonts w:ascii="Cambria Math" w:hAnsi="Cambria Math"/>
            </w:rPr>
            <m:t>NBR2=</m:t>
          </m:r>
          <m:f>
            <m:fPr>
              <m:ctrlPr>
                <w:rPr>
                  <w:rFonts w:ascii="Cambria Math" w:hAnsi="Cambria Math"/>
                </w:rPr>
              </m:ctrlPr>
            </m:fPr>
            <m:num>
              <m:r>
                <w:rPr>
                  <w:rFonts w:ascii="Cambria Math" w:hAnsi="Cambria Math"/>
                </w:rPr>
                <m:t>B11-B12</m:t>
              </m:r>
            </m:num>
            <m:den>
              <m:r>
                <w:rPr>
                  <w:rFonts w:ascii="Cambria Math" w:hAnsi="Cambria Math"/>
                </w:rPr>
                <m:t>B11+B12</m:t>
              </m:r>
            </m:den>
          </m:f>
        </m:oMath>
      </m:oMathPara>
    </w:p>
    <w:p w14:paraId="1DBCF41A" w14:textId="27D2F993" w:rsidR="00C16A3C" w:rsidRDefault="00134320" w:rsidP="00C16A3C">
      <w:pPr>
        <w:pStyle w:val="BodyText"/>
        <w:rPr>
          <w:lang w:eastAsia="zh-CN"/>
        </w:rPr>
      </w:pPr>
      <w:r>
        <w:t xml:space="preserve">where B11 is the Sentinel-2 SWIR1 band and B12 is the SWIR2 band. </w:t>
      </w:r>
      <w:r w:rsidR="009F64D5" w:rsidRPr="009F64D5">
        <w:t>For the main temporal analysis, three seasonally matched quarterly composites were used: April–June 2019 (pre-fire), April–June 2020 (immediate post-fire), and April–June 2025 (five years post-fire).</w:t>
      </w:r>
      <w:r>
        <w:t xml:space="preserve"> These layers were used to characterise pre-fire and post-fire spectral conditions. NBR2 is sensitive to vegetation and soil moisture, charred residues and changes in exposed post-fire surfaces, and is therefore useful for describing surface moisture and burn residues after fire</w:t>
      </w:r>
      <w:r>
        <w:rPr>
          <w:vertAlign w:val="superscript"/>
        </w:rPr>
        <w:t>7</w:t>
      </w:r>
      <w:r>
        <w:t>.</w:t>
      </w:r>
    </w:p>
    <w:p w14:paraId="74ED3F8A" w14:textId="77777777" w:rsidR="00134320" w:rsidRDefault="00134320" w:rsidP="00C16A3C">
      <w:pPr>
        <w:pStyle w:val="BodyText"/>
        <w:rPr>
          <w:lang w:val="en-AU" w:eastAsia="zh-CN"/>
        </w:rPr>
      </w:pPr>
    </w:p>
    <w:p w14:paraId="4CAB96E1" w14:textId="61AE7330" w:rsidR="00C16A3C" w:rsidRDefault="00C16A3C" w:rsidP="00C16A3C">
      <w:pPr>
        <w:pStyle w:val="BodyText"/>
        <w:rPr>
          <w:lang w:eastAsia="zh-CN"/>
        </w:rPr>
      </w:pPr>
      <w:r>
        <w:t>Global Ecosystem Dynamics Investigation (GEDI) Version 2 monthly gridded products retrieved from Google Earth Engine were used to characterise three-dimensional forest structure</w:t>
      </w:r>
      <w:r>
        <w:rPr>
          <w:vertAlign w:val="superscript"/>
        </w:rPr>
        <w:t>8</w:t>
      </w:r>
      <w:r>
        <w:t xml:space="preserve">: </w:t>
      </w:r>
      <w:r w:rsidR="00E41AE0">
        <w:rPr>
          <w:rFonts w:hint="eastAsia"/>
          <w:lang w:eastAsia="zh-CN"/>
        </w:rPr>
        <w:t>(</w:t>
      </w:r>
      <w:r>
        <w:t>LARSE/GEDI/GEDI02_A_002_MONTHLY</w:t>
      </w:r>
      <w:r w:rsidR="00E41AE0">
        <w:rPr>
          <w:rFonts w:hint="eastAsia"/>
          <w:lang w:eastAsia="zh-CN"/>
        </w:rPr>
        <w:t>)</w:t>
      </w:r>
      <w:r>
        <w:t xml:space="preserve"> for RH98, </w:t>
      </w:r>
      <w:r w:rsidR="00E41AE0">
        <w:rPr>
          <w:rFonts w:hint="eastAsia"/>
          <w:lang w:eastAsia="zh-CN"/>
        </w:rPr>
        <w:t>(</w:t>
      </w:r>
      <w:r>
        <w:t>LARSE/GEDI/GEDI02_B_002_MONTHLY</w:t>
      </w:r>
      <w:r w:rsidR="00E41AE0">
        <w:rPr>
          <w:rFonts w:hint="eastAsia"/>
          <w:lang w:eastAsia="zh-CN"/>
        </w:rPr>
        <w:t>)</w:t>
      </w:r>
      <w:r>
        <w:t xml:space="preserve"> for canopy cover and foliage height diversity (FHD), and LARSE/GEDI/GEDI04_A_002_MONTHLY for aboveground biomass density </w:t>
      </w:r>
      <w:r>
        <w:lastRenderedPageBreak/>
        <w:t>(AGBD; Mg</w:t>
      </w:r>
      <w:r w:rsidR="001E63E5">
        <w:rPr>
          <w:rFonts w:hint="eastAsia"/>
          <w:lang w:eastAsia="zh-CN"/>
        </w:rPr>
        <w:t>/ha</w:t>
      </w:r>
      <w:r>
        <w:t xml:space="preserve">). </w:t>
      </w:r>
      <w:r w:rsidR="00103AEA" w:rsidRPr="00103AEA">
        <w:t>For the April–June 2019, 2020 and 2025 structural exports</w:t>
      </w:r>
      <w:r>
        <w:t>, L2A required quality_flag = 1, degrade_flag = 0 and non-negative RH metrics; L2B required algorithmrun_flag = 1, l2b_quality_flag = 1, degrade_flag = 0, canopy cover between 0 and 1, and non-negative PAI and FHD; L4A required algorithm_run_flag = 1, l4_quality_flag = 1, l2_quality_flag = 1, degrade_flag = 0 and non-negative AGBD. Sensitivity was restricted to 0.95–1, observations on SRTM slopes greater than 20° were excluded, and the latest valid observation was selected by delta_time within each annual mosaic. No additional beam-class restriction was applied. GEDI observations represent approximately 25 m diameter footprints</w:t>
      </w:r>
      <w:r>
        <w:rPr>
          <w:vertAlign w:val="superscript"/>
        </w:rPr>
        <w:t>9,10</w:t>
      </w:r>
      <w:r>
        <w:t>.</w:t>
      </w:r>
    </w:p>
    <w:p w14:paraId="6DC8186B" w14:textId="77777777" w:rsidR="001345F0" w:rsidRDefault="001345F0" w:rsidP="00C16A3C">
      <w:pPr>
        <w:pStyle w:val="BodyText"/>
        <w:rPr>
          <w:lang w:val="en-AU" w:eastAsia="zh-CN"/>
        </w:rPr>
      </w:pPr>
    </w:p>
    <w:p w14:paraId="305DA32E" w14:textId="77777777" w:rsidR="00103FBA" w:rsidRDefault="00103FBA" w:rsidP="00103FBA">
      <w:pPr>
        <w:pStyle w:val="Heading1"/>
        <w:rPr>
          <w:lang w:eastAsia="zh-CN"/>
        </w:rPr>
      </w:pPr>
      <w:r>
        <w:t>Supplementary Methods 3. ALS and field evaluation of remote-sensing proxies</w:t>
      </w:r>
    </w:p>
    <w:p w14:paraId="1349DB2E" w14:textId="77777777" w:rsidR="00C16A3C" w:rsidRDefault="00C16A3C" w:rsidP="00C16A3C">
      <w:pPr>
        <w:pStyle w:val="BodyText"/>
        <w:rPr>
          <w:lang w:val="en-AU" w:eastAsia="zh-CN"/>
        </w:rPr>
      </w:pPr>
      <w:r>
        <w:t>Airborne lidar data were obtained from NSW Government Spatial Services airborne laser scanning (ALS) point-cloud products accessed through the ELVIS platform</w:t>
      </w:r>
      <w:r>
        <w:rPr>
          <w:vertAlign w:val="superscript"/>
        </w:rPr>
        <w:t>11</w:t>
      </w:r>
      <w:r>
        <w:t>. The acquisitions covered multiple locations within the study area and were collected between April and September 2017, before the 2019–2020 Black Summer fires. Point clouds were processed using the lidR package</w:t>
      </w:r>
      <w:r>
        <w:rPr>
          <w:vertAlign w:val="superscript"/>
        </w:rPr>
        <w:t>12</w:t>
      </w:r>
      <w:r>
        <w:t xml:space="preserve"> and height-normalised so that return heights represented vegetation height above the ground surface.</w:t>
      </w:r>
    </w:p>
    <w:p w14:paraId="136A216C" w14:textId="77777777" w:rsidR="00CB5A99" w:rsidRDefault="00CB5A99" w:rsidP="00C16A3C">
      <w:pPr>
        <w:pStyle w:val="BodyText"/>
        <w:rPr>
          <w:lang w:val="en-AU" w:eastAsia="zh-CN"/>
        </w:rPr>
      </w:pPr>
    </w:p>
    <w:p w14:paraId="6990D811" w14:textId="77777777" w:rsidR="00C16A3C" w:rsidRPr="0011477C" w:rsidRDefault="00CB5A99" w:rsidP="00C16A3C">
      <w:pPr>
        <w:pStyle w:val="BodyText"/>
        <w:rPr>
          <w:lang w:val="en-AU" w:eastAsia="zh-CN"/>
        </w:rPr>
      </w:pPr>
      <w:r>
        <w:t>Structural metrics were calculated for 10 m ALS cells. Canopy cover above 2 m was the fraction of valid returns at or above 2 m, and mean canopy height (MCH) was the mean height of returns at or above 2 m. For an approximately footprint-matched 30 × 30 m window centred on each GEDI footprint, RH98 and ALS-derived AGBD were first calculated for each valid 10 m cell and then averaged across the valid cells. FHD was calculated separately by pooling all height-normalised ALS returns across the 3 × 3 target cells, assigning returns to 1 m bins from 0 to 30 m, and calculating Shannon entropy from the proportional height distribution. ALS-derived AGBD was calculated for each valid cell using the empirical relationship:</w:t>
      </w:r>
    </w:p>
    <w:p w14:paraId="74BDE7FA" w14:textId="77777777" w:rsidR="00C16A3C" w:rsidRPr="0011477C" w:rsidRDefault="00C16A3C" w:rsidP="00C16A3C">
      <w:pPr>
        <w:pStyle w:val="BodyText"/>
        <w:rPr>
          <w:lang w:val="en-AU" w:eastAsia="zh-CN"/>
        </w:rPr>
      </w:pPr>
      <w:r w:rsidRPr="0011477C">
        <w:rPr>
          <w:lang w:val="en-AU" w:eastAsia="zh-CN"/>
        </w:rPr>
        <w:br/>
      </w:r>
      <m:oMathPara>
        <m:oMath>
          <m:r>
            <w:rPr>
              <w:rFonts w:ascii="Cambria Math" w:hAnsi="Cambria Math"/>
            </w:rPr>
            <m:t>AGB</m:t>
          </m:r>
          <m:sSub>
            <m:sSubPr>
              <m:ctrlPr>
                <w:rPr>
                  <w:rFonts w:ascii="Cambria Math" w:hAnsi="Cambria Math"/>
                </w:rPr>
              </m:ctrlPr>
            </m:sSubPr>
            <m:e>
              <m:r>
                <w:rPr>
                  <w:rFonts w:ascii="Cambria Math" w:hAnsi="Cambria Math"/>
                </w:rPr>
                <m:t>D</m:t>
              </m:r>
            </m:e>
            <m:sub>
              <m:r>
                <w:rPr>
                  <w:rFonts w:ascii="Cambria Math" w:hAnsi="Cambria Math"/>
                </w:rPr>
                <m:t>ALS</m:t>
              </m:r>
            </m:sub>
          </m:sSub>
          <m:r>
            <w:rPr>
              <w:rFonts w:ascii="Cambria Math" w:hAnsi="Cambria Math"/>
            </w:rPr>
            <m:t>=0.342×MC</m:t>
          </m:r>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+2.086×</m:t>
          </m:r>
          <m:d>
            <m:dPr>
              <m:ctrlPr>
                <w:rPr>
                  <w:rFonts w:ascii="Cambria Math" w:hAnsi="Cambria Math"/>
                </w:rPr>
              </m:ctrlPr>
            </m:dPr>
            <m:e>
              <m:r>
                <w:rPr>
                  <w:rFonts w:ascii="Cambria Math" w:hAnsi="Cambria Math"/>
                </w:rPr>
                <m:t>Cove</m:t>
              </m:r>
              <m:sSub>
                <m:sSubPr>
                  <m:ctrlPr>
                    <w:rPr>
                      <w:rFonts w:ascii="Cambria Math" w:hAnsi="Cambria Math"/>
                    </w:rPr>
                  </m:ctrlPr>
                </m:sSubPr>
                <m:e>
                  <m:r>
                    <w:rPr>
                      <w:rFonts w:ascii="Cambria Math" w:hAnsi="Cambria Math"/>
                    </w:rPr>
                    <m:t>r</m:t>
                  </m:r>
                </m:e>
                <m:sub>
                  <m:r>
                    <w:rPr>
                      <w:rFonts w:ascii="Cambria Math" w:hAnsi="Cambria Math"/>
                    </w:rPr>
                    <m:t>2m</m:t>
                  </m:r>
                </m:sub>
              </m:sSub>
              <m:r>
                <w:rPr>
                  <w:rFonts w:ascii="Cambria Math" w:hAnsi="Cambria Math"/>
                </w:rPr>
                <m:t>×MCH</m:t>
              </m:r>
            </m:e>
          </m:d>
          <m:r>
            <m:rPr>
              <m:sty m:val="p"/>
            </m:rPr>
            <w:rPr>
              <w:rFonts w:ascii="Cambria Math" w:hAnsi="Cambria Math"/>
              <w:lang w:val="en-AU" w:eastAsia="zh-CN"/>
            </w:rPr>
            <w:br/>
          </m:r>
        </m:oMath>
      </m:oMathPara>
    </w:p>
    <w:p w14:paraId="34795FED" w14:textId="77777777" w:rsidR="00E4739D" w:rsidRDefault="00E4739D" w:rsidP="00C16A3C">
      <w:pPr>
        <w:pStyle w:val="BodyText"/>
        <w:rPr>
          <w:lang w:val="en-AU" w:eastAsia="zh-CN"/>
        </w:rPr>
      </w:pPr>
      <w:r>
        <w:t>where MCH is mean canopy height and C</w:t>
      </w:r>
      <w:r>
        <w:rPr>
          <w:vertAlign w:val="subscript"/>
        </w:rPr>
        <w:t>2m</w:t>
      </w:r>
      <w:r>
        <w:t xml:space="preserve"> is canopy cover above 2 m expressed as a proportion from 0 to 1</w:t>
      </w:r>
      <w:r>
        <w:rPr>
          <w:vertAlign w:val="superscript"/>
        </w:rPr>
        <w:t>13</w:t>
      </w:r>
      <w:r>
        <w:t>. This equation provides an ALS-derived biomass proxy rather than a locally calibrated ground-truth biomass estimate; consequently, its comparison with GEDI AGBD was interpreted as an evaluation of correspondence rather than independent biomass validation.</w:t>
      </w:r>
    </w:p>
    <w:p w14:paraId="2F61D58D" w14:textId="77777777" w:rsidR="00C16A3C" w:rsidRPr="0011477C" w:rsidRDefault="00C16A3C" w:rsidP="00C16A3C">
      <w:pPr>
        <w:pStyle w:val="BodyText"/>
        <w:rPr>
          <w:lang w:val="en-AU" w:eastAsia="zh-CN"/>
        </w:rPr>
      </w:pPr>
    </w:p>
    <w:p w14:paraId="574A3C84" w14:textId="77777777" w:rsidR="00C16A3C" w:rsidRDefault="00C16A3C" w:rsidP="00C16A3C">
      <w:pPr>
        <w:pStyle w:val="BodyText"/>
        <w:rPr>
          <w:lang w:val="en-AU" w:eastAsia="zh-CN"/>
        </w:rPr>
      </w:pPr>
      <w:r>
        <w:t>Field surveys were conducted from September to December 2025, approximately 5.5–6 years after the 2019–2020 Black Summer fires. The study included 43 circular plots, each 30 m in diameter, in wet and dry sclerophyll forest. The field protocol targeted five upward-looking digital canopy photographs per plot: one at the plot centre and four at randomly selected locations toward each cardinal direction. Photograph positions were selected to avoid trunks and elevated understorey or midstorey vegetation obscuring the canopy. The photographs were processed using the R package coveR2 to calculate canopy cover for each image</w:t>
      </w:r>
      <w:r>
        <w:rPr>
          <w:vertAlign w:val="superscript"/>
        </w:rPr>
        <w:t>14</w:t>
      </w:r>
      <w:r>
        <w:t>, and image-level estimates were averaged within plots to obtain plot-scale canopy cover. Valid plot-scale estimates were available for 41 plots.</w:t>
      </w:r>
    </w:p>
    <w:p w14:paraId="560079EE" w14:textId="77777777" w:rsidR="00001C67" w:rsidRDefault="00001C67" w:rsidP="00C16A3C">
      <w:pPr>
        <w:pStyle w:val="BodyText"/>
        <w:rPr>
          <w:lang w:val="en-AU" w:eastAsia="zh-CN"/>
        </w:rPr>
      </w:pPr>
    </w:p>
    <w:p w14:paraId="6B528177" w14:textId="77777777" w:rsidR="00001C67" w:rsidRDefault="00464505" w:rsidP="00001C67">
      <w:pPr>
        <w:pStyle w:val="BodyText"/>
        <w:rPr>
          <w:lang w:val="en-AU"/>
        </w:rPr>
      </w:pPr>
      <w:r>
        <w:t>Before their use in subsequent analyses, GEDI structural metrics and Sentinel-2 NBR2 were evaluated for correspondence with independent ALS and field observations. For the pre-fire comparison, 2019 GEDI observations from months comparable to the April–September 2017 ALS acquisition period were spatially matched to the approximately footprint-sized ALS windows. A total of 1,000 valid matched GEDI footprints was randomly sampled, and GEDI RH98, AGBD and FHD were compared with the corresponding ALS-derived metrics using ordinary least-squares regression. Field-measured canopy cover was compared with Sentinel-2 NBR2 from 2025 Q4, the quarterly composite closest to the September–December field campaign. All 43 plots had an NBR2 value, but two plots lacked a valid coveR2 canopy-cover summary; the field–NBR2 comparison therefore retained 41 plots (</w:t>
      </w:r>
      <w:r>
        <w:rPr>
          <w:i/>
        </w:rPr>
        <w:t>n</w:t>
      </w:r>
      <w:r>
        <w:t xml:space="preserve"> = 41). For the field–GEDI comparison, valid archived May–September 2024 GEDI L2B canopy-cover observations within a 1 km buffer of each field plot were averaged by site; 15 plots contained at least one valid GEDI observation (</w:t>
      </w:r>
      <w:r>
        <w:rPr>
          <w:i/>
        </w:rPr>
        <w:t>n</w:t>
      </w:r>
      <w:r>
        <w:t xml:space="preserve"> = 15). Latest valid post-fire GEDI footprints for all 15 plots fell within June–September 2024. Because these GEDI observations preceded the 2025 field campaign, this panel was treated as a cross-date correspondence assessment rather than a contemporaneous validation. All comparisons used ordinary least-squares regression, with model fit assessed using </w:t>
      </w:r>
      <w:r>
        <w:rPr>
          <w:i/>
        </w:rPr>
        <w:t>R</w:t>
      </w:r>
      <w:r>
        <w:rPr>
          <w:vertAlign w:val="superscript"/>
        </w:rPr>
        <w:t>2</w:t>
      </w:r>
      <w:r>
        <w:t xml:space="preserve"> and </w:t>
      </w:r>
      <w:r>
        <w:rPr>
          <w:i/>
        </w:rPr>
        <w:t>p</w:t>
      </w:r>
      <w:r>
        <w:t xml:space="preserve"> values (Fig. 6a–e).</w:t>
      </w:r>
    </w:p>
    <w:p w14:paraId="573DA28C" w14:textId="77777777" w:rsidR="00C16A3C" w:rsidRDefault="00C16A3C" w:rsidP="00C16A3C">
      <w:pPr>
        <w:pStyle w:val="BodyText"/>
        <w:rPr>
          <w:lang w:val="en-AU" w:eastAsia="zh-CN"/>
        </w:rPr>
      </w:pPr>
    </w:p>
    <w:p w14:paraId="7291B97C" w14:textId="77777777" w:rsidR="00F31C5D" w:rsidRDefault="00F31C5D" w:rsidP="00F31C5D">
      <w:pPr>
        <w:pStyle w:val="Heading1"/>
        <w:rPr>
          <w:lang w:eastAsia="zh-CN"/>
        </w:rPr>
      </w:pPr>
      <w:r w:rsidRPr="00230F1E">
        <w:rPr>
          <w:lang w:val="en-GB" w:eastAsia="zh-CN"/>
        </w:rPr>
        <w:t xml:space="preserve">Supplementary Methods </w:t>
      </w:r>
      <w:r>
        <w:rPr>
          <w:rFonts w:hint="eastAsia"/>
          <w:lang w:val="en-GB" w:eastAsia="zh-CN"/>
        </w:rPr>
        <w:t>4</w:t>
      </w:r>
      <w:r w:rsidRPr="00230F1E">
        <w:rPr>
          <w:lang w:val="en-GB" w:eastAsia="zh-CN"/>
        </w:rPr>
        <w:t xml:space="preserve">. </w:t>
      </w:r>
      <w:r w:rsidRPr="00F31C5D">
        <w:rPr>
          <w:lang w:val="en-GB" w:eastAsia="zh-CN"/>
        </w:rPr>
        <w:t>Data preprocessing</w:t>
      </w:r>
    </w:p>
    <w:p w14:paraId="5B85C813" w14:textId="77777777" w:rsidR="00C16A3C" w:rsidRDefault="00C16A3C" w:rsidP="00C16A3C">
      <w:pPr>
        <w:pStyle w:val="BodyText"/>
        <w:rPr>
          <w:lang w:val="en-AU"/>
        </w:rPr>
      </w:pPr>
      <w:r>
        <w:t xml:space="preserve">All raster data were projected to the GDA 1994 NSW Lambert coordinate reference system (EPSG:3308) and aligned to the approximately 10 m analysis grid. Categorical rasters, including FESM fire severity and SVTM vegetation type, were aligned using nearest-neighbour resampling. Continuous rasters were handled in their dataset-specific processing steps rather </w:t>
      </w:r>
      <w:r>
        <w:lastRenderedPageBreak/>
        <w:t>than by a single universal resampling rule; the precomputed quarterly NBR2 asset was already stored on the 10 m EPSG:3308 project grid and was sampled directly for the field comparison. Each GEDI footprint overlapped multiple 10 m analysis pixels; vegetation type, fire severity and GWFI status were assigned using the dominant class within the footprint area.</w:t>
      </w:r>
    </w:p>
    <w:p w14:paraId="36596EAC" w14:textId="77777777" w:rsidR="00C16A3C" w:rsidRPr="00CB0AE1" w:rsidRDefault="00C16A3C" w:rsidP="00C16A3C">
      <w:pPr>
        <w:pStyle w:val="BodyText"/>
        <w:rPr>
          <w:lang w:val="en-AU" w:eastAsia="zh-CN"/>
        </w:rPr>
      </w:pPr>
    </w:p>
    <w:p w14:paraId="1FF79A4C" w14:textId="77777777" w:rsidR="00C16A3C" w:rsidRDefault="00C16A3C" w:rsidP="00C16A3C">
      <w:pPr>
        <w:pStyle w:val="Heading1"/>
        <w:rPr>
          <w:lang w:eastAsia="zh-CN"/>
        </w:rPr>
      </w:pPr>
      <w:r>
        <w:t>Supplementary References</w:t>
      </w:r>
    </w:p>
    <w:p w14:paraId="78E718F7" w14:textId="77777777" w:rsidR="00B02FE3" w:rsidRDefault="00000000">
      <w:pPr>
        <w:pStyle w:val="References"/>
      </w:pPr>
      <w:r>
        <w:t>1. NSW Department of Climate Change, Energy, the Environment and Water. NSW State Vegetation Type Map - SVTM. https://datasets.seed.nsw.gov.au/dataset/nsw-state-vegetation-type-map (2026).</w:t>
      </w:r>
    </w:p>
    <w:p w14:paraId="54B5C73F" w14:textId="77777777" w:rsidR="00B02FE3" w:rsidRDefault="00000000">
      <w:pPr>
        <w:pStyle w:val="References"/>
      </w:pPr>
      <w:r>
        <w:t xml:space="preserve">2. Gibson, R., Danaher, T., Hehir, W. &amp; Collins, L. A remote sensing approach to mapping fire severity in south-eastern Australia using sentinel 2 and random forest. </w:t>
      </w:r>
      <w:r>
        <w:rPr>
          <w:i/>
        </w:rPr>
        <w:t xml:space="preserve">Remote Sens. Environ. </w:t>
      </w:r>
      <w:r>
        <w:rPr>
          <w:b/>
        </w:rPr>
        <w:t>240</w:t>
      </w:r>
      <w:r>
        <w:t>, 111702 (2020).</w:t>
      </w:r>
    </w:p>
    <w:p w14:paraId="5CA99DF7" w14:textId="77777777" w:rsidR="00B02FE3" w:rsidRDefault="00000000">
      <w:pPr>
        <w:pStyle w:val="References"/>
      </w:pPr>
      <w:r>
        <w:t xml:space="preserve">3. Tyukavina, A. et al. Global Trends of Forest Loss Due to Fire From 2001 to 2019. </w:t>
      </w:r>
      <w:r>
        <w:rPr>
          <w:i/>
        </w:rPr>
        <w:t xml:space="preserve">Front. Remote Sens. </w:t>
      </w:r>
      <w:r>
        <w:rPr>
          <w:b/>
        </w:rPr>
        <w:t>3</w:t>
      </w:r>
      <w:r>
        <w:t>, 825190 (2022).</w:t>
      </w:r>
    </w:p>
    <w:p w14:paraId="721E0403" w14:textId="77777777" w:rsidR="00B02FE3" w:rsidRDefault="00000000">
      <w:pPr>
        <w:pStyle w:val="References"/>
      </w:pPr>
      <w:r>
        <w:t xml:space="preserve">4. Hansen, M. C. et al. High-Resolution Global Maps of 21st-Century Forest Cover Change. </w:t>
      </w:r>
      <w:r>
        <w:rPr>
          <w:i/>
        </w:rPr>
        <w:t xml:space="preserve">Science </w:t>
      </w:r>
      <w:r>
        <w:rPr>
          <w:b/>
        </w:rPr>
        <w:t>342</w:t>
      </w:r>
      <w:r>
        <w:t>, 850–853 (2013).</w:t>
      </w:r>
    </w:p>
    <w:p w14:paraId="048CEDE4" w14:textId="77777777" w:rsidR="00B02FE3" w:rsidRDefault="00000000">
      <w:pPr>
        <w:pStyle w:val="References"/>
      </w:pPr>
      <w:r>
        <w:t>5. NSW Department of Climate Change, Energy, the Environment and Water. NPWS Fire History - Wildfires and Prescribed Burns. https://data.nsw.gov.au/data/dataset/fire-history-wildfires-and-prescribed-burns-1e8b6 (2026).</w:t>
      </w:r>
    </w:p>
    <w:p w14:paraId="2D8EEE9D" w14:textId="77777777" w:rsidR="00B02FE3" w:rsidRDefault="00000000">
      <w:pPr>
        <w:pStyle w:val="References"/>
      </w:pPr>
      <w:r>
        <w:t xml:space="preserve">6. Gorelick, N., Hancher, M., Dixon, M., Ilyushchenko, S., Thau, D. &amp; Moore, R. Google Earth Engine: Planetary-scale geospatial analysis for everyone. </w:t>
      </w:r>
      <w:r>
        <w:rPr>
          <w:i/>
        </w:rPr>
        <w:t xml:space="preserve">Remote Sens. Environ. </w:t>
      </w:r>
      <w:r>
        <w:rPr>
          <w:b/>
        </w:rPr>
        <w:t>202</w:t>
      </w:r>
      <w:r>
        <w:t>, 18–27 (2017).</w:t>
      </w:r>
    </w:p>
    <w:p w14:paraId="5F64CC02" w14:textId="77777777" w:rsidR="004E4B61" w:rsidRDefault="00000000">
      <w:pPr>
        <w:pStyle w:val="References"/>
      </w:pPr>
      <w:r>
        <w:t xml:space="preserve">7. Zeng, Y. et al. Optical vegetation indices for monitoring terrestrial ecosystems globally. </w:t>
      </w:r>
      <w:r>
        <w:rPr>
          <w:i/>
        </w:rPr>
        <w:t xml:space="preserve">Nat. Rev. Earth Environ. </w:t>
      </w:r>
      <w:r>
        <w:rPr>
          <w:b/>
        </w:rPr>
        <w:t>3</w:t>
      </w:r>
      <w:r>
        <w:t>, 477–493 (2022).</w:t>
      </w:r>
    </w:p>
    <w:p w14:paraId="38F353CD" w14:textId="77777777" w:rsidR="00B02FE3" w:rsidRDefault="00000000">
      <w:pPr>
        <w:pStyle w:val="References"/>
      </w:pPr>
      <w:r>
        <w:t xml:space="preserve">8. </w:t>
      </w:r>
      <w:proofErr w:type="spellStart"/>
      <w:r>
        <w:t>Dubayah</w:t>
      </w:r>
      <w:proofErr w:type="spellEnd"/>
      <w:r>
        <w:t xml:space="preserve">, R. et al. GEDI launches a new era of biomass inference from space. </w:t>
      </w:r>
      <w:r>
        <w:rPr>
          <w:i/>
        </w:rPr>
        <w:t xml:space="preserve">Environ. Res. Lett. </w:t>
      </w:r>
      <w:r>
        <w:rPr>
          <w:b/>
        </w:rPr>
        <w:t>17</w:t>
      </w:r>
      <w:r>
        <w:t>, 095001 (2022).</w:t>
      </w:r>
    </w:p>
    <w:p w14:paraId="69E2A89A" w14:textId="77777777" w:rsidR="00B02FE3" w:rsidRDefault="00000000">
      <w:pPr>
        <w:pStyle w:val="References"/>
      </w:pPr>
      <w:r>
        <w:t xml:space="preserve">9. </w:t>
      </w:r>
      <w:proofErr w:type="spellStart"/>
      <w:r>
        <w:t>Dubayah</w:t>
      </w:r>
      <w:proofErr w:type="spellEnd"/>
      <w:r>
        <w:t xml:space="preserve">, R. et al. The Global Ecosystem Dynamics Investigation: High-resolution laser ranging of the Earth’s forests and topography. </w:t>
      </w:r>
      <w:r>
        <w:rPr>
          <w:i/>
        </w:rPr>
        <w:t xml:space="preserve">Sci. Remote Sens. </w:t>
      </w:r>
      <w:r>
        <w:rPr>
          <w:b/>
        </w:rPr>
        <w:t>1</w:t>
      </w:r>
      <w:r>
        <w:t>, 100002 (2020).</w:t>
      </w:r>
    </w:p>
    <w:p w14:paraId="376B0093" w14:textId="77777777" w:rsidR="00B02FE3" w:rsidRDefault="00000000">
      <w:pPr>
        <w:pStyle w:val="References"/>
      </w:pPr>
      <w:r>
        <w:t xml:space="preserve">10. Duncanson, L. et al. Aboveground biomass density models for NASA’s Global Ecosystem Dynamics Investigation (GEDI) lidar mission. </w:t>
      </w:r>
      <w:r>
        <w:rPr>
          <w:i/>
        </w:rPr>
        <w:t xml:space="preserve">Remote Sens. Environ. </w:t>
      </w:r>
      <w:r>
        <w:rPr>
          <w:b/>
        </w:rPr>
        <w:t>270</w:t>
      </w:r>
      <w:r>
        <w:t>, 112845 (2022).</w:t>
      </w:r>
    </w:p>
    <w:p w14:paraId="1F01DF12" w14:textId="77777777" w:rsidR="00B02FE3" w:rsidRDefault="00000000">
      <w:pPr>
        <w:pStyle w:val="References"/>
      </w:pPr>
      <w:r>
        <w:lastRenderedPageBreak/>
        <w:t>11. Geoscience Australia. Elvis—Elevation and Depth—Foundation Spatial Data. https://elevation.fsdf.org.au (2026).</w:t>
      </w:r>
    </w:p>
    <w:p w14:paraId="25D77CF3" w14:textId="77777777" w:rsidR="00B02FE3" w:rsidRDefault="00000000">
      <w:pPr>
        <w:pStyle w:val="References"/>
      </w:pPr>
      <w:r>
        <w:t xml:space="preserve">12. Roussel, J.-R. et al. lidR: An R package for analysis of airborne laser scanning (ALS) data. </w:t>
      </w:r>
      <w:r>
        <w:rPr>
          <w:i/>
        </w:rPr>
        <w:t xml:space="preserve">Remote Sens. Environ. </w:t>
      </w:r>
      <w:r>
        <w:rPr>
          <w:b/>
        </w:rPr>
        <w:t>251</w:t>
      </w:r>
      <w:r>
        <w:t>, 112061 (2020).</w:t>
      </w:r>
    </w:p>
    <w:p w14:paraId="56E12DB9" w14:textId="77777777" w:rsidR="00B02FE3" w:rsidRDefault="00000000">
      <w:pPr>
        <w:pStyle w:val="References"/>
      </w:pPr>
      <w:r>
        <w:t xml:space="preserve">13. Lefsky, M. A. et al. Lidar remote sensing of above-ground biomass in three biomes. </w:t>
      </w:r>
      <w:r>
        <w:rPr>
          <w:i/>
        </w:rPr>
        <w:t xml:space="preserve">Glob. Ecol. Biogeogr. </w:t>
      </w:r>
      <w:r>
        <w:rPr>
          <w:b/>
        </w:rPr>
        <w:t>11</w:t>
      </w:r>
      <w:r>
        <w:t>, 393–399 (2002).</w:t>
      </w:r>
    </w:p>
    <w:p w14:paraId="17A3FBEF" w14:textId="77777777" w:rsidR="00B02FE3" w:rsidRDefault="00000000">
      <w:pPr>
        <w:pStyle w:val="References"/>
      </w:pPr>
      <w:r>
        <w:t xml:space="preserve">14. </w:t>
      </w:r>
      <w:proofErr w:type="spellStart"/>
      <w:r>
        <w:t>Chianucci</w:t>
      </w:r>
      <w:proofErr w:type="spellEnd"/>
      <w:r>
        <w:t xml:space="preserve">, F., Ferrara, C. &amp; </w:t>
      </w:r>
      <w:proofErr w:type="spellStart"/>
      <w:r>
        <w:t>Puletti</w:t>
      </w:r>
      <w:proofErr w:type="spellEnd"/>
      <w:r>
        <w:t xml:space="preserve">, N. </w:t>
      </w:r>
      <w:proofErr w:type="spellStart"/>
      <w:r>
        <w:t>coveR</w:t>
      </w:r>
      <w:proofErr w:type="spellEnd"/>
      <w:r>
        <w:t xml:space="preserve">: An R package for processing digital cover photography images to retrieve forest canopy attributes. </w:t>
      </w:r>
      <w:r>
        <w:rPr>
          <w:i/>
        </w:rPr>
        <w:t xml:space="preserve">Trees </w:t>
      </w:r>
      <w:r>
        <w:rPr>
          <w:b/>
        </w:rPr>
        <w:t>36</w:t>
      </w:r>
      <w:r>
        <w:t>, 1933–1942 (2022).</w:t>
      </w:r>
    </w:p>
    <w:sectPr w:rsidR="00B02FE3" w:rsidSect="00C16A3C">
      <w:pgSz w:w="11906" w:h="16838"/>
      <w:pgMar w:top="1440" w:right="1440" w:bottom="1440" w:left="1440" w:header="708" w:footer="708" w:gutter="0"/>
      <w:lnNumType w:countBy="1" w:distance="360"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A0A5A" w14:textId="77777777" w:rsidR="00A042AD" w:rsidRDefault="00A042AD" w:rsidP="00FD7292">
      <w:r>
        <w:separator/>
      </w:r>
    </w:p>
  </w:endnote>
  <w:endnote w:type="continuationSeparator" w:id="0">
    <w:p w14:paraId="46C201AA" w14:textId="77777777" w:rsidR="00A042AD" w:rsidRDefault="00A042AD" w:rsidP="00FD7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34D04" w14:textId="77777777" w:rsidR="00A042AD" w:rsidRDefault="00A042AD" w:rsidP="00FD7292">
      <w:r>
        <w:separator/>
      </w:r>
    </w:p>
  </w:footnote>
  <w:footnote w:type="continuationSeparator" w:id="0">
    <w:p w14:paraId="0461E225" w14:textId="77777777" w:rsidR="00A042AD" w:rsidRDefault="00A042AD" w:rsidP="00FD7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93B8A"/>
    <w:multiLevelType w:val="hybridMultilevel"/>
    <w:tmpl w:val="20301A9C"/>
    <w:lvl w:ilvl="0" w:tplc="0C09000F">
      <w:start w:val="1"/>
      <w:numFmt w:val="decimal"/>
      <w:lvlText w:val="%1."/>
      <w:lvlJc w:val="left"/>
      <w:pPr>
        <w:ind w:left="720" w:hanging="360"/>
      </w:pPr>
      <w:rPr>
        <w:rFonts w:ascii="Arial" w:eastAsia="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7B83AD8"/>
    <w:multiLevelType w:val="hybridMultilevel"/>
    <w:tmpl w:val="3BFA5244"/>
    <w:lvl w:ilvl="0" w:tplc="AE7C3E36">
      <w:start w:val="2"/>
      <w:numFmt w:val="bullet"/>
      <w:lvlText w:val="-"/>
      <w:lvlJc w:val="left"/>
      <w:pPr>
        <w:ind w:left="778" w:hanging="360"/>
      </w:pPr>
      <w:rPr>
        <w:rFonts w:ascii="Arial" w:eastAsia="Arial" w:hAnsi="Arial" w:cs="Arial" w:hint="default"/>
      </w:rPr>
    </w:lvl>
    <w:lvl w:ilvl="1" w:tplc="08090003">
      <w:start w:val="1"/>
      <w:numFmt w:val="bullet"/>
      <w:lvlText w:val="o"/>
      <w:lvlJc w:val="left"/>
      <w:pPr>
        <w:ind w:left="1498" w:hanging="360"/>
      </w:pPr>
      <w:rPr>
        <w:rFonts w:ascii="Courier New" w:hAnsi="Courier New" w:cs="Courier New" w:hint="default"/>
      </w:rPr>
    </w:lvl>
    <w:lvl w:ilvl="2" w:tplc="08090005">
      <w:start w:val="1"/>
      <w:numFmt w:val="bullet"/>
      <w:lvlText w:val=""/>
      <w:lvlJc w:val="left"/>
      <w:pPr>
        <w:ind w:left="2218" w:hanging="360"/>
      </w:pPr>
      <w:rPr>
        <w:rFonts w:ascii="Wingdings" w:hAnsi="Wingdings" w:hint="default"/>
      </w:rPr>
    </w:lvl>
    <w:lvl w:ilvl="3" w:tplc="08090001">
      <w:start w:val="1"/>
      <w:numFmt w:val="bullet"/>
      <w:lvlText w:val=""/>
      <w:lvlJc w:val="left"/>
      <w:pPr>
        <w:ind w:left="2938" w:hanging="360"/>
      </w:pPr>
      <w:rPr>
        <w:rFonts w:ascii="Symbol" w:hAnsi="Symbol" w:hint="default"/>
      </w:rPr>
    </w:lvl>
    <w:lvl w:ilvl="4" w:tplc="08090003">
      <w:start w:val="1"/>
      <w:numFmt w:val="bullet"/>
      <w:lvlText w:val="o"/>
      <w:lvlJc w:val="left"/>
      <w:pPr>
        <w:ind w:left="3658" w:hanging="360"/>
      </w:pPr>
      <w:rPr>
        <w:rFonts w:ascii="Courier New" w:hAnsi="Courier New" w:cs="Courier New" w:hint="default"/>
      </w:rPr>
    </w:lvl>
    <w:lvl w:ilvl="5" w:tplc="08090005">
      <w:start w:val="1"/>
      <w:numFmt w:val="bullet"/>
      <w:lvlText w:val=""/>
      <w:lvlJc w:val="left"/>
      <w:pPr>
        <w:ind w:left="4378" w:hanging="360"/>
      </w:pPr>
      <w:rPr>
        <w:rFonts w:ascii="Wingdings" w:hAnsi="Wingdings" w:hint="default"/>
      </w:rPr>
    </w:lvl>
    <w:lvl w:ilvl="6" w:tplc="08090001">
      <w:start w:val="1"/>
      <w:numFmt w:val="bullet"/>
      <w:lvlText w:val=""/>
      <w:lvlJc w:val="left"/>
      <w:pPr>
        <w:ind w:left="5098" w:hanging="360"/>
      </w:pPr>
      <w:rPr>
        <w:rFonts w:ascii="Symbol" w:hAnsi="Symbol" w:hint="default"/>
      </w:rPr>
    </w:lvl>
    <w:lvl w:ilvl="7" w:tplc="08090003">
      <w:start w:val="1"/>
      <w:numFmt w:val="bullet"/>
      <w:lvlText w:val="o"/>
      <w:lvlJc w:val="left"/>
      <w:pPr>
        <w:ind w:left="5818" w:hanging="360"/>
      </w:pPr>
      <w:rPr>
        <w:rFonts w:ascii="Courier New" w:hAnsi="Courier New" w:cs="Courier New" w:hint="default"/>
      </w:rPr>
    </w:lvl>
    <w:lvl w:ilvl="8" w:tplc="08090005">
      <w:start w:val="1"/>
      <w:numFmt w:val="bullet"/>
      <w:lvlText w:val=""/>
      <w:lvlJc w:val="left"/>
      <w:pPr>
        <w:ind w:left="6538" w:hanging="360"/>
      </w:pPr>
      <w:rPr>
        <w:rFonts w:ascii="Wingdings" w:hAnsi="Wingdings" w:hint="default"/>
      </w:rPr>
    </w:lvl>
  </w:abstractNum>
  <w:abstractNum w:abstractNumId="2" w15:restartNumberingAfterBreak="0">
    <w:nsid w:val="38A72C17"/>
    <w:multiLevelType w:val="multilevel"/>
    <w:tmpl w:val="2D6C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BE7A56"/>
    <w:multiLevelType w:val="multilevel"/>
    <w:tmpl w:val="FAA2A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7743713">
    <w:abstractNumId w:val="1"/>
  </w:num>
  <w:num w:numId="2" w16cid:durableId="305816686">
    <w:abstractNumId w:val="0"/>
  </w:num>
  <w:num w:numId="3" w16cid:durableId="1580823270">
    <w:abstractNumId w:val="3"/>
  </w:num>
  <w:num w:numId="4" w16cid:durableId="726877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4D8"/>
    <w:rsid w:val="00001C67"/>
    <w:rsid w:val="00001D5A"/>
    <w:rsid w:val="00002A14"/>
    <w:rsid w:val="00005456"/>
    <w:rsid w:val="00007382"/>
    <w:rsid w:val="0001214A"/>
    <w:rsid w:val="00015225"/>
    <w:rsid w:val="000203BD"/>
    <w:rsid w:val="00021D3D"/>
    <w:rsid w:val="0003099E"/>
    <w:rsid w:val="000326EC"/>
    <w:rsid w:val="0003296A"/>
    <w:rsid w:val="0003692C"/>
    <w:rsid w:val="00043B54"/>
    <w:rsid w:val="000442E1"/>
    <w:rsid w:val="00047AE4"/>
    <w:rsid w:val="00050FF9"/>
    <w:rsid w:val="000526B7"/>
    <w:rsid w:val="000564D8"/>
    <w:rsid w:val="000601BA"/>
    <w:rsid w:val="00061BD1"/>
    <w:rsid w:val="00063D79"/>
    <w:rsid w:val="00065BB6"/>
    <w:rsid w:val="0007149B"/>
    <w:rsid w:val="00081C90"/>
    <w:rsid w:val="00082F4A"/>
    <w:rsid w:val="0008584C"/>
    <w:rsid w:val="00087F4E"/>
    <w:rsid w:val="000950C5"/>
    <w:rsid w:val="00095402"/>
    <w:rsid w:val="000A0A5A"/>
    <w:rsid w:val="000B5D11"/>
    <w:rsid w:val="000C2D3C"/>
    <w:rsid w:val="000D5A06"/>
    <w:rsid w:val="000E2561"/>
    <w:rsid w:val="000E585E"/>
    <w:rsid w:val="000F55C6"/>
    <w:rsid w:val="000F5DCE"/>
    <w:rsid w:val="000F5DD2"/>
    <w:rsid w:val="00102B5E"/>
    <w:rsid w:val="00103AEA"/>
    <w:rsid w:val="00103FBA"/>
    <w:rsid w:val="00116817"/>
    <w:rsid w:val="00122E4E"/>
    <w:rsid w:val="001233D1"/>
    <w:rsid w:val="001246BE"/>
    <w:rsid w:val="001302EB"/>
    <w:rsid w:val="001302FF"/>
    <w:rsid w:val="00134320"/>
    <w:rsid w:val="001345F0"/>
    <w:rsid w:val="001439CF"/>
    <w:rsid w:val="001446B1"/>
    <w:rsid w:val="00144814"/>
    <w:rsid w:val="00152BBB"/>
    <w:rsid w:val="00153FE2"/>
    <w:rsid w:val="001554B4"/>
    <w:rsid w:val="001614BE"/>
    <w:rsid w:val="00163A16"/>
    <w:rsid w:val="00172AFD"/>
    <w:rsid w:val="00182CAE"/>
    <w:rsid w:val="00184B3B"/>
    <w:rsid w:val="00186196"/>
    <w:rsid w:val="00197015"/>
    <w:rsid w:val="00197FCE"/>
    <w:rsid w:val="001A413A"/>
    <w:rsid w:val="001A54E6"/>
    <w:rsid w:val="001A74EF"/>
    <w:rsid w:val="001B6714"/>
    <w:rsid w:val="001C00C1"/>
    <w:rsid w:val="001C6908"/>
    <w:rsid w:val="001D3D6B"/>
    <w:rsid w:val="001E146C"/>
    <w:rsid w:val="001E2FAF"/>
    <w:rsid w:val="001E63E5"/>
    <w:rsid w:val="001E7151"/>
    <w:rsid w:val="001F1946"/>
    <w:rsid w:val="002035EF"/>
    <w:rsid w:val="002048CB"/>
    <w:rsid w:val="00205B31"/>
    <w:rsid w:val="00205CF6"/>
    <w:rsid w:val="00207956"/>
    <w:rsid w:val="0021099A"/>
    <w:rsid w:val="00222626"/>
    <w:rsid w:val="00223DAD"/>
    <w:rsid w:val="00224824"/>
    <w:rsid w:val="00230F1E"/>
    <w:rsid w:val="00232B14"/>
    <w:rsid w:val="00245B19"/>
    <w:rsid w:val="00246BDA"/>
    <w:rsid w:val="002471EC"/>
    <w:rsid w:val="00250D64"/>
    <w:rsid w:val="00251231"/>
    <w:rsid w:val="00252982"/>
    <w:rsid w:val="00253DA8"/>
    <w:rsid w:val="00255636"/>
    <w:rsid w:val="002563DE"/>
    <w:rsid w:val="00256760"/>
    <w:rsid w:val="00263D10"/>
    <w:rsid w:val="002705C1"/>
    <w:rsid w:val="002723D8"/>
    <w:rsid w:val="002779CB"/>
    <w:rsid w:val="002802DA"/>
    <w:rsid w:val="002849FB"/>
    <w:rsid w:val="00285AA9"/>
    <w:rsid w:val="00285D71"/>
    <w:rsid w:val="002870CB"/>
    <w:rsid w:val="002900E2"/>
    <w:rsid w:val="002A51AB"/>
    <w:rsid w:val="002A60A6"/>
    <w:rsid w:val="002C0754"/>
    <w:rsid w:val="002C3482"/>
    <w:rsid w:val="002D34D7"/>
    <w:rsid w:val="002D53C4"/>
    <w:rsid w:val="002D722B"/>
    <w:rsid w:val="002D7674"/>
    <w:rsid w:val="002E22CA"/>
    <w:rsid w:val="002E2C40"/>
    <w:rsid w:val="002E5097"/>
    <w:rsid w:val="002F0FA8"/>
    <w:rsid w:val="002F7F6F"/>
    <w:rsid w:val="00310CC7"/>
    <w:rsid w:val="00314889"/>
    <w:rsid w:val="003254DE"/>
    <w:rsid w:val="00325F31"/>
    <w:rsid w:val="00326E67"/>
    <w:rsid w:val="00333AC7"/>
    <w:rsid w:val="00340A3C"/>
    <w:rsid w:val="00357A97"/>
    <w:rsid w:val="003668AE"/>
    <w:rsid w:val="003772B8"/>
    <w:rsid w:val="003810B0"/>
    <w:rsid w:val="003816E5"/>
    <w:rsid w:val="0038224F"/>
    <w:rsid w:val="00384416"/>
    <w:rsid w:val="00386788"/>
    <w:rsid w:val="00391B31"/>
    <w:rsid w:val="003A115C"/>
    <w:rsid w:val="003B0B5A"/>
    <w:rsid w:val="003D360F"/>
    <w:rsid w:val="003D3E67"/>
    <w:rsid w:val="003D7B6A"/>
    <w:rsid w:val="003E047A"/>
    <w:rsid w:val="003E1105"/>
    <w:rsid w:val="003F64EF"/>
    <w:rsid w:val="003F7EC9"/>
    <w:rsid w:val="0040119A"/>
    <w:rsid w:val="00401A90"/>
    <w:rsid w:val="00404259"/>
    <w:rsid w:val="00406997"/>
    <w:rsid w:val="00412816"/>
    <w:rsid w:val="00413C4B"/>
    <w:rsid w:val="0041618B"/>
    <w:rsid w:val="00423853"/>
    <w:rsid w:val="00431531"/>
    <w:rsid w:val="00441F7C"/>
    <w:rsid w:val="00442670"/>
    <w:rsid w:val="00450316"/>
    <w:rsid w:val="00453E35"/>
    <w:rsid w:val="004570BE"/>
    <w:rsid w:val="00460182"/>
    <w:rsid w:val="004607EC"/>
    <w:rsid w:val="00463097"/>
    <w:rsid w:val="00464505"/>
    <w:rsid w:val="00477A3C"/>
    <w:rsid w:val="00484693"/>
    <w:rsid w:val="00490370"/>
    <w:rsid w:val="00493D2D"/>
    <w:rsid w:val="00494050"/>
    <w:rsid w:val="00494493"/>
    <w:rsid w:val="004958CE"/>
    <w:rsid w:val="00496933"/>
    <w:rsid w:val="004A4C6F"/>
    <w:rsid w:val="004A524D"/>
    <w:rsid w:val="004A76F7"/>
    <w:rsid w:val="004B0DF5"/>
    <w:rsid w:val="004B2FB2"/>
    <w:rsid w:val="004C740E"/>
    <w:rsid w:val="004D0F1A"/>
    <w:rsid w:val="004D19B1"/>
    <w:rsid w:val="004D3B51"/>
    <w:rsid w:val="004D5C86"/>
    <w:rsid w:val="004D6172"/>
    <w:rsid w:val="004E0A27"/>
    <w:rsid w:val="004E0A58"/>
    <w:rsid w:val="004E4326"/>
    <w:rsid w:val="004E4B61"/>
    <w:rsid w:val="004E62E9"/>
    <w:rsid w:val="004E72DE"/>
    <w:rsid w:val="004E75F2"/>
    <w:rsid w:val="004F3454"/>
    <w:rsid w:val="004F5DAC"/>
    <w:rsid w:val="00503863"/>
    <w:rsid w:val="00505BC5"/>
    <w:rsid w:val="0050768B"/>
    <w:rsid w:val="00513BE6"/>
    <w:rsid w:val="0052315D"/>
    <w:rsid w:val="00524FD5"/>
    <w:rsid w:val="005273BF"/>
    <w:rsid w:val="00535873"/>
    <w:rsid w:val="005417DC"/>
    <w:rsid w:val="00545E8A"/>
    <w:rsid w:val="00553903"/>
    <w:rsid w:val="00553F47"/>
    <w:rsid w:val="00556FA6"/>
    <w:rsid w:val="00561A0B"/>
    <w:rsid w:val="005643F9"/>
    <w:rsid w:val="005648B6"/>
    <w:rsid w:val="00570424"/>
    <w:rsid w:val="00572309"/>
    <w:rsid w:val="00576949"/>
    <w:rsid w:val="005778BC"/>
    <w:rsid w:val="00590812"/>
    <w:rsid w:val="005917BD"/>
    <w:rsid w:val="005924BE"/>
    <w:rsid w:val="00594EEC"/>
    <w:rsid w:val="00596D79"/>
    <w:rsid w:val="00597514"/>
    <w:rsid w:val="005A0EC0"/>
    <w:rsid w:val="005A1184"/>
    <w:rsid w:val="005A39C4"/>
    <w:rsid w:val="005B03E3"/>
    <w:rsid w:val="005B1048"/>
    <w:rsid w:val="005B2F0E"/>
    <w:rsid w:val="005B5D78"/>
    <w:rsid w:val="005B7C53"/>
    <w:rsid w:val="005E6E00"/>
    <w:rsid w:val="005F195C"/>
    <w:rsid w:val="006007E2"/>
    <w:rsid w:val="00605DD8"/>
    <w:rsid w:val="006074B6"/>
    <w:rsid w:val="00610250"/>
    <w:rsid w:val="006109DF"/>
    <w:rsid w:val="00613B67"/>
    <w:rsid w:val="00613D87"/>
    <w:rsid w:val="00614DDE"/>
    <w:rsid w:val="006152AE"/>
    <w:rsid w:val="006204EA"/>
    <w:rsid w:val="0062072F"/>
    <w:rsid w:val="00622438"/>
    <w:rsid w:val="00634021"/>
    <w:rsid w:val="0064356A"/>
    <w:rsid w:val="00647CF3"/>
    <w:rsid w:val="00655648"/>
    <w:rsid w:val="00655C02"/>
    <w:rsid w:val="00655D9F"/>
    <w:rsid w:val="00656219"/>
    <w:rsid w:val="006647EB"/>
    <w:rsid w:val="006707B7"/>
    <w:rsid w:val="00686EF7"/>
    <w:rsid w:val="0069117B"/>
    <w:rsid w:val="00693EB1"/>
    <w:rsid w:val="006A0F07"/>
    <w:rsid w:val="006A3956"/>
    <w:rsid w:val="006A6526"/>
    <w:rsid w:val="006A6DB1"/>
    <w:rsid w:val="006B48CB"/>
    <w:rsid w:val="006C745C"/>
    <w:rsid w:val="006D3F8D"/>
    <w:rsid w:val="006D4ABF"/>
    <w:rsid w:val="006D5629"/>
    <w:rsid w:val="006D6076"/>
    <w:rsid w:val="006D78A0"/>
    <w:rsid w:val="006D7D57"/>
    <w:rsid w:val="006E1226"/>
    <w:rsid w:val="006E40A4"/>
    <w:rsid w:val="006E4B12"/>
    <w:rsid w:val="006E5396"/>
    <w:rsid w:val="006E6D8D"/>
    <w:rsid w:val="006F3754"/>
    <w:rsid w:val="006F5D7E"/>
    <w:rsid w:val="006F73F3"/>
    <w:rsid w:val="007006CE"/>
    <w:rsid w:val="00700820"/>
    <w:rsid w:val="00705138"/>
    <w:rsid w:val="00705FE3"/>
    <w:rsid w:val="0071170C"/>
    <w:rsid w:val="00714809"/>
    <w:rsid w:val="00715FB7"/>
    <w:rsid w:val="00717CC4"/>
    <w:rsid w:val="007234F8"/>
    <w:rsid w:val="00731825"/>
    <w:rsid w:val="007409A2"/>
    <w:rsid w:val="00741C6E"/>
    <w:rsid w:val="00744AEB"/>
    <w:rsid w:val="007453ED"/>
    <w:rsid w:val="00751AEB"/>
    <w:rsid w:val="00752923"/>
    <w:rsid w:val="007535F8"/>
    <w:rsid w:val="00764CE5"/>
    <w:rsid w:val="00766C05"/>
    <w:rsid w:val="00773087"/>
    <w:rsid w:val="007823D9"/>
    <w:rsid w:val="007861C6"/>
    <w:rsid w:val="007915F8"/>
    <w:rsid w:val="00794F92"/>
    <w:rsid w:val="007A141F"/>
    <w:rsid w:val="007A37CD"/>
    <w:rsid w:val="007B3222"/>
    <w:rsid w:val="007B5B69"/>
    <w:rsid w:val="007B7C8A"/>
    <w:rsid w:val="007C046E"/>
    <w:rsid w:val="007C62CE"/>
    <w:rsid w:val="007D680E"/>
    <w:rsid w:val="007E6007"/>
    <w:rsid w:val="007F22CE"/>
    <w:rsid w:val="007F5317"/>
    <w:rsid w:val="00801768"/>
    <w:rsid w:val="00802248"/>
    <w:rsid w:val="00805706"/>
    <w:rsid w:val="00805C1D"/>
    <w:rsid w:val="00807F59"/>
    <w:rsid w:val="00827990"/>
    <w:rsid w:val="008304CF"/>
    <w:rsid w:val="008312D9"/>
    <w:rsid w:val="00831904"/>
    <w:rsid w:val="008319C5"/>
    <w:rsid w:val="00831FBE"/>
    <w:rsid w:val="00843B67"/>
    <w:rsid w:val="008444B8"/>
    <w:rsid w:val="008515E4"/>
    <w:rsid w:val="008558AF"/>
    <w:rsid w:val="008572BC"/>
    <w:rsid w:val="008574ED"/>
    <w:rsid w:val="008577DB"/>
    <w:rsid w:val="0086164E"/>
    <w:rsid w:val="008620EF"/>
    <w:rsid w:val="00863315"/>
    <w:rsid w:val="00875047"/>
    <w:rsid w:val="00884C82"/>
    <w:rsid w:val="008947F3"/>
    <w:rsid w:val="008A0363"/>
    <w:rsid w:val="008A1B8C"/>
    <w:rsid w:val="008A2782"/>
    <w:rsid w:val="008A445C"/>
    <w:rsid w:val="008A54C2"/>
    <w:rsid w:val="008B0A60"/>
    <w:rsid w:val="008B638E"/>
    <w:rsid w:val="008B6AA8"/>
    <w:rsid w:val="008C3D8A"/>
    <w:rsid w:val="008C3EA6"/>
    <w:rsid w:val="008C5412"/>
    <w:rsid w:val="008C55BE"/>
    <w:rsid w:val="008D52A4"/>
    <w:rsid w:val="008D6789"/>
    <w:rsid w:val="008D6B24"/>
    <w:rsid w:val="008E2CC8"/>
    <w:rsid w:val="008E4F66"/>
    <w:rsid w:val="008F47C6"/>
    <w:rsid w:val="008F4BEB"/>
    <w:rsid w:val="008F4E53"/>
    <w:rsid w:val="00900289"/>
    <w:rsid w:val="00900F58"/>
    <w:rsid w:val="00902E4F"/>
    <w:rsid w:val="009133E3"/>
    <w:rsid w:val="00915506"/>
    <w:rsid w:val="00915619"/>
    <w:rsid w:val="00920E66"/>
    <w:rsid w:val="009243DC"/>
    <w:rsid w:val="00930D39"/>
    <w:rsid w:val="00933E7B"/>
    <w:rsid w:val="009432E7"/>
    <w:rsid w:val="009473D5"/>
    <w:rsid w:val="00965E6C"/>
    <w:rsid w:val="00973471"/>
    <w:rsid w:val="00975294"/>
    <w:rsid w:val="00980F50"/>
    <w:rsid w:val="0098225F"/>
    <w:rsid w:val="009915AF"/>
    <w:rsid w:val="009923DB"/>
    <w:rsid w:val="0099618A"/>
    <w:rsid w:val="009972C0"/>
    <w:rsid w:val="009A44DB"/>
    <w:rsid w:val="009A52E9"/>
    <w:rsid w:val="009A797A"/>
    <w:rsid w:val="009A7B7F"/>
    <w:rsid w:val="009B25CF"/>
    <w:rsid w:val="009B6EEC"/>
    <w:rsid w:val="009C0D33"/>
    <w:rsid w:val="009C4A54"/>
    <w:rsid w:val="009C5946"/>
    <w:rsid w:val="009D014F"/>
    <w:rsid w:val="009E6820"/>
    <w:rsid w:val="009F62E8"/>
    <w:rsid w:val="009F64D5"/>
    <w:rsid w:val="009F698C"/>
    <w:rsid w:val="009F74D6"/>
    <w:rsid w:val="00A04122"/>
    <w:rsid w:val="00A042AD"/>
    <w:rsid w:val="00A06579"/>
    <w:rsid w:val="00A07B07"/>
    <w:rsid w:val="00A108A5"/>
    <w:rsid w:val="00A11379"/>
    <w:rsid w:val="00A25614"/>
    <w:rsid w:val="00A30149"/>
    <w:rsid w:val="00A311AC"/>
    <w:rsid w:val="00A34531"/>
    <w:rsid w:val="00A40D68"/>
    <w:rsid w:val="00A42D88"/>
    <w:rsid w:val="00A43937"/>
    <w:rsid w:val="00A5093D"/>
    <w:rsid w:val="00A541FA"/>
    <w:rsid w:val="00A63808"/>
    <w:rsid w:val="00A6444A"/>
    <w:rsid w:val="00A65D14"/>
    <w:rsid w:val="00A667B0"/>
    <w:rsid w:val="00A66D09"/>
    <w:rsid w:val="00A6771D"/>
    <w:rsid w:val="00A713DB"/>
    <w:rsid w:val="00A747C9"/>
    <w:rsid w:val="00A81852"/>
    <w:rsid w:val="00A83464"/>
    <w:rsid w:val="00A848C2"/>
    <w:rsid w:val="00A9241D"/>
    <w:rsid w:val="00AA7F2F"/>
    <w:rsid w:val="00AC1EC8"/>
    <w:rsid w:val="00AD0B08"/>
    <w:rsid w:val="00AD2A70"/>
    <w:rsid w:val="00AE414E"/>
    <w:rsid w:val="00AE58B7"/>
    <w:rsid w:val="00AE5E02"/>
    <w:rsid w:val="00B02FE3"/>
    <w:rsid w:val="00B1699B"/>
    <w:rsid w:val="00B20A84"/>
    <w:rsid w:val="00B2516C"/>
    <w:rsid w:val="00B26E54"/>
    <w:rsid w:val="00B337CE"/>
    <w:rsid w:val="00B3386B"/>
    <w:rsid w:val="00B3489E"/>
    <w:rsid w:val="00B34D81"/>
    <w:rsid w:val="00B36F8D"/>
    <w:rsid w:val="00B4109E"/>
    <w:rsid w:val="00B46765"/>
    <w:rsid w:val="00B47C79"/>
    <w:rsid w:val="00B53C77"/>
    <w:rsid w:val="00B54B71"/>
    <w:rsid w:val="00B618B5"/>
    <w:rsid w:val="00B623A3"/>
    <w:rsid w:val="00B657FF"/>
    <w:rsid w:val="00B7010B"/>
    <w:rsid w:val="00B80270"/>
    <w:rsid w:val="00B85962"/>
    <w:rsid w:val="00B877A7"/>
    <w:rsid w:val="00B92737"/>
    <w:rsid w:val="00B960A7"/>
    <w:rsid w:val="00B97009"/>
    <w:rsid w:val="00BA031E"/>
    <w:rsid w:val="00BA0A58"/>
    <w:rsid w:val="00BA3422"/>
    <w:rsid w:val="00BB6515"/>
    <w:rsid w:val="00BD2089"/>
    <w:rsid w:val="00BD2346"/>
    <w:rsid w:val="00BD45D7"/>
    <w:rsid w:val="00BD525D"/>
    <w:rsid w:val="00BE6C8B"/>
    <w:rsid w:val="00BE7992"/>
    <w:rsid w:val="00BF1953"/>
    <w:rsid w:val="00BF529E"/>
    <w:rsid w:val="00BF646C"/>
    <w:rsid w:val="00C0184C"/>
    <w:rsid w:val="00C052B6"/>
    <w:rsid w:val="00C07BE0"/>
    <w:rsid w:val="00C148ED"/>
    <w:rsid w:val="00C16280"/>
    <w:rsid w:val="00C16991"/>
    <w:rsid w:val="00C16A3C"/>
    <w:rsid w:val="00C17A5B"/>
    <w:rsid w:val="00C2161C"/>
    <w:rsid w:val="00C21C4C"/>
    <w:rsid w:val="00C2258D"/>
    <w:rsid w:val="00C24095"/>
    <w:rsid w:val="00C3309B"/>
    <w:rsid w:val="00C379BA"/>
    <w:rsid w:val="00C45419"/>
    <w:rsid w:val="00C52872"/>
    <w:rsid w:val="00C54F72"/>
    <w:rsid w:val="00C556C7"/>
    <w:rsid w:val="00C6449D"/>
    <w:rsid w:val="00C67D29"/>
    <w:rsid w:val="00C703F6"/>
    <w:rsid w:val="00C714A6"/>
    <w:rsid w:val="00C72E0D"/>
    <w:rsid w:val="00C76D03"/>
    <w:rsid w:val="00C83D93"/>
    <w:rsid w:val="00CA2945"/>
    <w:rsid w:val="00CA2B91"/>
    <w:rsid w:val="00CA5270"/>
    <w:rsid w:val="00CA5EA1"/>
    <w:rsid w:val="00CB0AE1"/>
    <w:rsid w:val="00CB2568"/>
    <w:rsid w:val="00CB38C2"/>
    <w:rsid w:val="00CB4244"/>
    <w:rsid w:val="00CB5918"/>
    <w:rsid w:val="00CB5A99"/>
    <w:rsid w:val="00CC7077"/>
    <w:rsid w:val="00CD07FE"/>
    <w:rsid w:val="00CD167D"/>
    <w:rsid w:val="00CD1996"/>
    <w:rsid w:val="00CD407C"/>
    <w:rsid w:val="00CE0428"/>
    <w:rsid w:val="00CE0876"/>
    <w:rsid w:val="00CE30D1"/>
    <w:rsid w:val="00CE3B3E"/>
    <w:rsid w:val="00CE72BD"/>
    <w:rsid w:val="00CF1634"/>
    <w:rsid w:val="00CF27BA"/>
    <w:rsid w:val="00CF500A"/>
    <w:rsid w:val="00CF6892"/>
    <w:rsid w:val="00CF74DB"/>
    <w:rsid w:val="00D01506"/>
    <w:rsid w:val="00D01CBC"/>
    <w:rsid w:val="00D04ECD"/>
    <w:rsid w:val="00D14BF6"/>
    <w:rsid w:val="00D17E63"/>
    <w:rsid w:val="00D229D7"/>
    <w:rsid w:val="00D22A92"/>
    <w:rsid w:val="00D23D1B"/>
    <w:rsid w:val="00D3096E"/>
    <w:rsid w:val="00D33A58"/>
    <w:rsid w:val="00D33A6C"/>
    <w:rsid w:val="00D352BA"/>
    <w:rsid w:val="00D3576A"/>
    <w:rsid w:val="00D41A75"/>
    <w:rsid w:val="00D53DEC"/>
    <w:rsid w:val="00D57756"/>
    <w:rsid w:val="00D654A7"/>
    <w:rsid w:val="00D66343"/>
    <w:rsid w:val="00D6636D"/>
    <w:rsid w:val="00D67720"/>
    <w:rsid w:val="00D7079A"/>
    <w:rsid w:val="00D70D07"/>
    <w:rsid w:val="00D71805"/>
    <w:rsid w:val="00D739AA"/>
    <w:rsid w:val="00D73E73"/>
    <w:rsid w:val="00D74077"/>
    <w:rsid w:val="00D75426"/>
    <w:rsid w:val="00D82301"/>
    <w:rsid w:val="00D82C0E"/>
    <w:rsid w:val="00D85246"/>
    <w:rsid w:val="00D87CC6"/>
    <w:rsid w:val="00D90C86"/>
    <w:rsid w:val="00D926A9"/>
    <w:rsid w:val="00D964E5"/>
    <w:rsid w:val="00DA17DA"/>
    <w:rsid w:val="00DA31E7"/>
    <w:rsid w:val="00DA37C8"/>
    <w:rsid w:val="00DA3C26"/>
    <w:rsid w:val="00DB356B"/>
    <w:rsid w:val="00DC76FF"/>
    <w:rsid w:val="00DD5B23"/>
    <w:rsid w:val="00DD7BCA"/>
    <w:rsid w:val="00DF6742"/>
    <w:rsid w:val="00E00E05"/>
    <w:rsid w:val="00E02AB5"/>
    <w:rsid w:val="00E06764"/>
    <w:rsid w:val="00E079CC"/>
    <w:rsid w:val="00E108B5"/>
    <w:rsid w:val="00E211F8"/>
    <w:rsid w:val="00E344D9"/>
    <w:rsid w:val="00E40C92"/>
    <w:rsid w:val="00E41AE0"/>
    <w:rsid w:val="00E4298B"/>
    <w:rsid w:val="00E43F9D"/>
    <w:rsid w:val="00E4739D"/>
    <w:rsid w:val="00E5035F"/>
    <w:rsid w:val="00E54EEF"/>
    <w:rsid w:val="00E562DE"/>
    <w:rsid w:val="00E56AF5"/>
    <w:rsid w:val="00E62BCA"/>
    <w:rsid w:val="00E63456"/>
    <w:rsid w:val="00E63B1E"/>
    <w:rsid w:val="00E64325"/>
    <w:rsid w:val="00E77A12"/>
    <w:rsid w:val="00E80582"/>
    <w:rsid w:val="00E83507"/>
    <w:rsid w:val="00E85E42"/>
    <w:rsid w:val="00E94774"/>
    <w:rsid w:val="00E971FA"/>
    <w:rsid w:val="00EA385C"/>
    <w:rsid w:val="00EA559A"/>
    <w:rsid w:val="00EA74AB"/>
    <w:rsid w:val="00EB002A"/>
    <w:rsid w:val="00EB4E08"/>
    <w:rsid w:val="00EC04D2"/>
    <w:rsid w:val="00EC54D0"/>
    <w:rsid w:val="00EC5B16"/>
    <w:rsid w:val="00EC5B7F"/>
    <w:rsid w:val="00ED7787"/>
    <w:rsid w:val="00EE4536"/>
    <w:rsid w:val="00EF19A1"/>
    <w:rsid w:val="00EF4677"/>
    <w:rsid w:val="00F0181D"/>
    <w:rsid w:val="00F0238F"/>
    <w:rsid w:val="00F0698C"/>
    <w:rsid w:val="00F11736"/>
    <w:rsid w:val="00F21253"/>
    <w:rsid w:val="00F22A30"/>
    <w:rsid w:val="00F26B5C"/>
    <w:rsid w:val="00F30FE2"/>
    <w:rsid w:val="00F31C5D"/>
    <w:rsid w:val="00F33211"/>
    <w:rsid w:val="00F44DB7"/>
    <w:rsid w:val="00F462A5"/>
    <w:rsid w:val="00F51EB7"/>
    <w:rsid w:val="00F56EBA"/>
    <w:rsid w:val="00F632C8"/>
    <w:rsid w:val="00F76246"/>
    <w:rsid w:val="00F879B2"/>
    <w:rsid w:val="00FA79B0"/>
    <w:rsid w:val="00FB146D"/>
    <w:rsid w:val="00FC2B1C"/>
    <w:rsid w:val="00FC3D72"/>
    <w:rsid w:val="00FC4DFF"/>
    <w:rsid w:val="00FC5EBE"/>
    <w:rsid w:val="00FD7292"/>
    <w:rsid w:val="00FE2B1A"/>
    <w:rsid w:val="00FE6DB2"/>
    <w:rsid w:val="00FF4DBD"/>
    <w:rsid w:val="00FF4FA0"/>
    <w:rsid w:val="753A833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9AB96"/>
  <w15:chartTrackingRefBased/>
  <w15:docId w15:val="{6F59EF6E-8062-4D5E-858A-77D7472E8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4C2"/>
    <w:pPr>
      <w:spacing w:after="120" w:line="360" w:lineRule="auto"/>
      <w:jc w:val="both"/>
    </w:pPr>
    <w:rPr>
      <w:kern w:val="0"/>
      <w:sz w:val="22"/>
      <w:lang w:val="en-GB" w:eastAsia="en-US"/>
      <w14:ligatures w14:val="none"/>
    </w:rPr>
  </w:style>
  <w:style w:type="paragraph" w:styleId="Heading1">
    <w:name w:val="heading 1"/>
    <w:basedOn w:val="Normal"/>
    <w:next w:val="BodyText"/>
    <w:link w:val="Heading1Char"/>
    <w:uiPriority w:val="9"/>
    <w:qFormat/>
    <w:rsid w:val="008574ED"/>
    <w:pPr>
      <w:keepNext/>
      <w:keepLines/>
      <w:spacing w:before="240" w:after="240"/>
      <w:outlineLvl w:val="0"/>
    </w:pPr>
    <w:rPr>
      <w:b/>
      <w:color w:val="000000" w:themeColor="text1"/>
      <w:sz w:val="24"/>
      <w:szCs w:val="32"/>
      <w:lang w:val="en-AU"/>
    </w:rPr>
  </w:style>
  <w:style w:type="paragraph" w:styleId="Heading2">
    <w:name w:val="heading 2"/>
    <w:basedOn w:val="Normal"/>
    <w:next w:val="BodyText"/>
    <w:link w:val="Heading2Char"/>
    <w:uiPriority w:val="9"/>
    <w:unhideWhenUsed/>
    <w:qFormat/>
    <w:rsid w:val="008574ED"/>
    <w:pPr>
      <w:keepNext/>
      <w:keepLines/>
      <w:outlineLvl w:val="1"/>
    </w:pPr>
    <w:rPr>
      <w:b/>
      <w:color w:val="000000" w:themeColor="text1"/>
      <w:szCs w:val="26"/>
    </w:rPr>
  </w:style>
  <w:style w:type="paragraph" w:styleId="Heading3">
    <w:name w:val="heading 3"/>
    <w:basedOn w:val="Normal"/>
    <w:next w:val="BodyText"/>
    <w:link w:val="Heading3Char"/>
    <w:uiPriority w:val="9"/>
    <w:unhideWhenUsed/>
    <w:qFormat/>
    <w:rsid w:val="008574ED"/>
    <w:pPr>
      <w:keepNext/>
      <w:keepLines/>
      <w:outlineLvl w:val="2"/>
    </w:pPr>
    <w:rPr>
      <w:i/>
      <w:iCs/>
      <w:color w:val="000000" w:themeColor="text1"/>
    </w:rPr>
  </w:style>
  <w:style w:type="paragraph" w:styleId="Heading4">
    <w:name w:val="heading 4"/>
    <w:basedOn w:val="Normal"/>
    <w:next w:val="Normal"/>
    <w:link w:val="Heading4Char"/>
    <w:uiPriority w:val="9"/>
    <w:semiHidden/>
    <w:unhideWhenUsed/>
    <w:qFormat/>
    <w:rsid w:val="008574ED"/>
    <w:pPr>
      <w:keepNext/>
      <w:keepLines/>
      <w:spacing w:before="80" w:after="40"/>
      <w:outlineLvl w:val="3"/>
    </w:pPr>
    <w:rPr>
      <w:i/>
      <w:iCs/>
      <w:color w:val="0F4761" w:themeColor="accent1" w:themeShade="BF"/>
    </w:rPr>
  </w:style>
  <w:style w:type="paragraph" w:styleId="Heading5">
    <w:name w:val="heading 5"/>
    <w:basedOn w:val="Normal"/>
    <w:next w:val="Normal"/>
    <w:link w:val="Heading5Char"/>
    <w:uiPriority w:val="9"/>
    <w:semiHidden/>
    <w:unhideWhenUsed/>
    <w:qFormat/>
    <w:rsid w:val="000564D8"/>
    <w:pPr>
      <w:keepNext/>
      <w:keepLines/>
      <w:spacing w:before="80" w:after="40"/>
      <w:outlineLvl w:val="4"/>
    </w:pPr>
    <w:rPr>
      <w:color w:val="0F4761" w:themeColor="accent1" w:themeShade="BF"/>
    </w:rPr>
  </w:style>
  <w:style w:type="paragraph" w:styleId="Heading6">
    <w:name w:val="heading 6"/>
    <w:basedOn w:val="Normal"/>
    <w:next w:val="Normal"/>
    <w:link w:val="Heading6Char"/>
    <w:uiPriority w:val="9"/>
    <w:semiHidden/>
    <w:unhideWhenUsed/>
    <w:qFormat/>
    <w:rsid w:val="000564D8"/>
    <w:pPr>
      <w:keepNext/>
      <w:keepLines/>
      <w:spacing w:before="40"/>
      <w:outlineLvl w:val="5"/>
    </w:pPr>
    <w:rPr>
      <w:i/>
      <w:iCs/>
      <w:color w:val="595959" w:themeColor="text1" w:themeTint="A6"/>
    </w:rPr>
  </w:style>
  <w:style w:type="paragraph" w:styleId="Heading7">
    <w:name w:val="heading 7"/>
    <w:basedOn w:val="Normal"/>
    <w:next w:val="Normal"/>
    <w:link w:val="Heading7Char"/>
    <w:uiPriority w:val="9"/>
    <w:semiHidden/>
    <w:unhideWhenUsed/>
    <w:qFormat/>
    <w:rsid w:val="000564D8"/>
    <w:pPr>
      <w:keepNext/>
      <w:keepLines/>
      <w:spacing w:before="40"/>
      <w:outlineLvl w:val="6"/>
    </w:pPr>
    <w:rPr>
      <w:color w:val="595959" w:themeColor="text1" w:themeTint="A6"/>
    </w:rPr>
  </w:style>
  <w:style w:type="paragraph" w:styleId="Heading8">
    <w:name w:val="heading 8"/>
    <w:basedOn w:val="Normal"/>
    <w:next w:val="Normal"/>
    <w:link w:val="Heading8Char"/>
    <w:uiPriority w:val="9"/>
    <w:semiHidden/>
    <w:unhideWhenUsed/>
    <w:qFormat/>
    <w:rsid w:val="000564D8"/>
    <w:pPr>
      <w:keepNext/>
      <w:keepLines/>
      <w:outlineLvl w:val="7"/>
    </w:pPr>
    <w:rPr>
      <w:i/>
      <w:iCs/>
      <w:color w:val="272727" w:themeColor="text1" w:themeTint="D8"/>
    </w:rPr>
  </w:style>
  <w:style w:type="paragraph" w:styleId="Heading9">
    <w:name w:val="heading 9"/>
    <w:basedOn w:val="Normal"/>
    <w:next w:val="Normal"/>
    <w:link w:val="Heading9Char"/>
    <w:uiPriority w:val="9"/>
    <w:semiHidden/>
    <w:unhideWhenUsed/>
    <w:qFormat/>
    <w:rsid w:val="000564D8"/>
    <w:pPr>
      <w:keepNext/>
      <w:keepLines/>
      <w:outlineLvl w:val="8"/>
    </w:pPr>
    <w:rPr>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4AEB"/>
    <w:rPr>
      <w:sz w:val="18"/>
      <w:szCs w:val="18"/>
    </w:rPr>
  </w:style>
  <w:style w:type="character" w:customStyle="1" w:styleId="BalloonTextChar">
    <w:name w:val="Balloon Text Char"/>
    <w:basedOn w:val="DefaultParagraphFont"/>
    <w:link w:val="BalloonText"/>
    <w:uiPriority w:val="99"/>
    <w:semiHidden/>
    <w:rsid w:val="00744AEB"/>
    <w:rPr>
      <w:rFonts w:ascii="Arial" w:eastAsia="Arial" w:hAnsi="Arial" w:cs="Arial"/>
      <w:kern w:val="0"/>
      <w:sz w:val="18"/>
      <w:szCs w:val="18"/>
      <w:lang w:val="en-GB" w:eastAsia="en-US"/>
      <w14:ligatures w14:val="none"/>
    </w:rPr>
  </w:style>
  <w:style w:type="paragraph" w:customStyle="1" w:styleId="Bibliography1">
    <w:name w:val="Bibliography1"/>
    <w:basedOn w:val="Normal"/>
    <w:rsid w:val="00744AEB"/>
    <w:pPr>
      <w:spacing w:line="480" w:lineRule="auto"/>
      <w:ind w:left="720" w:hanging="720"/>
    </w:pPr>
    <w:rPr>
      <w:lang w:val="en-AU" w:eastAsia="zh-CN"/>
    </w:rPr>
  </w:style>
  <w:style w:type="paragraph" w:styleId="BodyText">
    <w:name w:val="Body Text"/>
    <w:basedOn w:val="Normal"/>
    <w:link w:val="BodyTextChar"/>
    <w:uiPriority w:val="99"/>
    <w:unhideWhenUsed/>
    <w:rsid w:val="00744AEB"/>
  </w:style>
  <w:style w:type="character" w:customStyle="1" w:styleId="BodyTextChar">
    <w:name w:val="Body Text Char"/>
    <w:basedOn w:val="DefaultParagraphFont"/>
    <w:link w:val="BodyText"/>
    <w:uiPriority w:val="99"/>
    <w:rsid w:val="00744AEB"/>
    <w:rPr>
      <w:rFonts w:ascii="Arial" w:eastAsia="Arial" w:hAnsi="Arial" w:cs="Arial"/>
      <w:kern w:val="0"/>
      <w:lang w:val="en-GB" w:eastAsia="en-US"/>
      <w14:ligatures w14:val="none"/>
    </w:rPr>
  </w:style>
  <w:style w:type="paragraph" w:styleId="Caption">
    <w:name w:val="caption"/>
    <w:basedOn w:val="Normal"/>
    <w:next w:val="Normal"/>
    <w:uiPriority w:val="35"/>
    <w:unhideWhenUsed/>
    <w:qFormat/>
    <w:rsid w:val="008574ED"/>
    <w:rPr>
      <w:sz w:val="20"/>
      <w:szCs w:val="20"/>
    </w:rPr>
  </w:style>
  <w:style w:type="character" w:styleId="CommentReference">
    <w:name w:val="annotation reference"/>
    <w:basedOn w:val="DefaultParagraphFont"/>
    <w:uiPriority w:val="99"/>
    <w:semiHidden/>
    <w:unhideWhenUsed/>
    <w:rsid w:val="00744AEB"/>
    <w:rPr>
      <w:sz w:val="16"/>
      <w:szCs w:val="16"/>
    </w:rPr>
  </w:style>
  <w:style w:type="paragraph" w:styleId="CommentText">
    <w:name w:val="annotation text"/>
    <w:basedOn w:val="Normal"/>
    <w:link w:val="CommentTextChar"/>
    <w:uiPriority w:val="99"/>
    <w:unhideWhenUsed/>
    <w:rsid w:val="00744AEB"/>
    <w:rPr>
      <w:sz w:val="20"/>
      <w:szCs w:val="20"/>
    </w:rPr>
  </w:style>
  <w:style w:type="character" w:customStyle="1" w:styleId="CommentTextChar">
    <w:name w:val="Comment Text Char"/>
    <w:basedOn w:val="DefaultParagraphFont"/>
    <w:link w:val="CommentText"/>
    <w:uiPriority w:val="99"/>
    <w:rsid w:val="00744AEB"/>
    <w:rPr>
      <w:kern w:val="0"/>
      <w:sz w:val="20"/>
      <w:szCs w:val="20"/>
      <w:lang w:val="en-GB" w:eastAsia="en-US"/>
      <w14:ligatures w14:val="none"/>
    </w:rPr>
  </w:style>
  <w:style w:type="paragraph" w:styleId="CommentSubject">
    <w:name w:val="annotation subject"/>
    <w:basedOn w:val="CommentText"/>
    <w:next w:val="CommentText"/>
    <w:link w:val="CommentSubjectChar"/>
    <w:uiPriority w:val="99"/>
    <w:semiHidden/>
    <w:unhideWhenUsed/>
    <w:rsid w:val="00744AEB"/>
    <w:rPr>
      <w:b/>
      <w:bCs/>
    </w:rPr>
  </w:style>
  <w:style w:type="character" w:customStyle="1" w:styleId="CommentSubjectChar">
    <w:name w:val="Comment Subject Char"/>
    <w:basedOn w:val="CommentTextChar"/>
    <w:link w:val="CommentSubject"/>
    <w:uiPriority w:val="99"/>
    <w:semiHidden/>
    <w:rsid w:val="00744AEB"/>
    <w:rPr>
      <w:b/>
      <w:bCs/>
      <w:kern w:val="0"/>
      <w:sz w:val="20"/>
      <w:szCs w:val="20"/>
      <w:lang w:val="en-GB" w:eastAsia="en-US"/>
      <w14:ligatures w14:val="none"/>
    </w:rPr>
  </w:style>
  <w:style w:type="paragraph" w:customStyle="1" w:styleId="Figurecaption">
    <w:name w:val="Figure caption"/>
    <w:basedOn w:val="BodyText"/>
    <w:qFormat/>
    <w:rsid w:val="008A54C2"/>
    <w:rPr>
      <w:i/>
      <w:iCs/>
      <w:szCs w:val="22"/>
    </w:rPr>
  </w:style>
  <w:style w:type="paragraph" w:styleId="Footer">
    <w:name w:val="footer"/>
    <w:basedOn w:val="Normal"/>
    <w:link w:val="FooterChar"/>
    <w:uiPriority w:val="99"/>
    <w:unhideWhenUsed/>
    <w:rsid w:val="00744AEB"/>
    <w:pPr>
      <w:tabs>
        <w:tab w:val="center" w:pos="4513"/>
        <w:tab w:val="right" w:pos="9026"/>
      </w:tabs>
    </w:pPr>
  </w:style>
  <w:style w:type="character" w:customStyle="1" w:styleId="FooterChar">
    <w:name w:val="Footer Char"/>
    <w:basedOn w:val="DefaultParagraphFont"/>
    <w:link w:val="Footer"/>
    <w:uiPriority w:val="99"/>
    <w:rsid w:val="00744AEB"/>
    <w:rPr>
      <w:kern w:val="0"/>
      <w:lang w:val="en-GB" w:eastAsia="en-US"/>
      <w14:ligatures w14:val="none"/>
    </w:rPr>
  </w:style>
  <w:style w:type="paragraph" w:styleId="Header">
    <w:name w:val="header"/>
    <w:basedOn w:val="Normal"/>
    <w:link w:val="HeaderChar"/>
    <w:uiPriority w:val="99"/>
    <w:unhideWhenUsed/>
    <w:rsid w:val="00744AEB"/>
    <w:pPr>
      <w:tabs>
        <w:tab w:val="center" w:pos="4513"/>
        <w:tab w:val="right" w:pos="9026"/>
      </w:tabs>
    </w:pPr>
  </w:style>
  <w:style w:type="character" w:customStyle="1" w:styleId="HeaderChar">
    <w:name w:val="Header Char"/>
    <w:basedOn w:val="DefaultParagraphFont"/>
    <w:link w:val="Header"/>
    <w:uiPriority w:val="99"/>
    <w:rsid w:val="00744AEB"/>
    <w:rPr>
      <w:kern w:val="0"/>
      <w:lang w:val="en-GB" w:eastAsia="en-US"/>
      <w14:ligatures w14:val="none"/>
    </w:rPr>
  </w:style>
  <w:style w:type="character" w:customStyle="1" w:styleId="Heading1Char">
    <w:name w:val="Heading 1 Char"/>
    <w:basedOn w:val="DefaultParagraphFont"/>
    <w:link w:val="Heading1"/>
    <w:uiPriority w:val="9"/>
    <w:rsid w:val="008574ED"/>
    <w:rPr>
      <w:rFonts w:ascii="Arial" w:eastAsia="Arial" w:hAnsi="Arial" w:cs="Arial"/>
      <w:color w:val="000000" w:themeColor="text1"/>
      <w:kern w:val="0"/>
      <w:sz w:val="32"/>
      <w:szCs w:val="32"/>
      <w:lang w:eastAsia="en-US"/>
      <w14:ligatures w14:val="none"/>
    </w:rPr>
  </w:style>
  <w:style w:type="character" w:customStyle="1" w:styleId="Heading2Char">
    <w:name w:val="Heading 2 Char"/>
    <w:basedOn w:val="DefaultParagraphFont"/>
    <w:link w:val="Heading2"/>
    <w:uiPriority w:val="9"/>
    <w:rsid w:val="008574ED"/>
    <w:rPr>
      <w:rFonts w:ascii="Arial" w:eastAsia="Arial" w:hAnsi="Arial" w:cs="Arial"/>
      <w:color w:val="000000" w:themeColor="text1"/>
      <w:kern w:val="0"/>
      <w:sz w:val="26"/>
      <w:szCs w:val="26"/>
      <w:lang w:val="en-GB" w:eastAsia="en-US"/>
      <w14:ligatures w14:val="none"/>
    </w:rPr>
  </w:style>
  <w:style w:type="character" w:customStyle="1" w:styleId="Heading3Char">
    <w:name w:val="Heading 3 Char"/>
    <w:basedOn w:val="DefaultParagraphFont"/>
    <w:link w:val="Heading3"/>
    <w:uiPriority w:val="9"/>
    <w:rsid w:val="008574ED"/>
    <w:rPr>
      <w:rFonts w:ascii="Arial" w:eastAsia="Arial" w:hAnsi="Arial" w:cs="Arial"/>
      <w:i/>
      <w:iCs/>
      <w:color w:val="000000" w:themeColor="text1"/>
      <w:kern w:val="0"/>
      <w:lang w:val="en-GB" w:eastAsia="en-US"/>
      <w14:ligatures w14:val="none"/>
    </w:rPr>
  </w:style>
  <w:style w:type="character" w:styleId="Hyperlink">
    <w:name w:val="Hyperlink"/>
    <w:basedOn w:val="DefaultParagraphFont"/>
    <w:uiPriority w:val="99"/>
    <w:unhideWhenUsed/>
    <w:rsid w:val="00744AEB"/>
    <w:rPr>
      <w:color w:val="467886" w:themeColor="hyperlink"/>
      <w:u w:val="single"/>
    </w:rPr>
  </w:style>
  <w:style w:type="paragraph" w:styleId="ListParagraph">
    <w:name w:val="List Paragraph"/>
    <w:basedOn w:val="Normal"/>
    <w:uiPriority w:val="34"/>
    <w:qFormat/>
    <w:rsid w:val="00744AEB"/>
    <w:pPr>
      <w:spacing w:after="160" w:line="259" w:lineRule="auto"/>
      <w:ind w:left="720"/>
      <w:contextualSpacing/>
    </w:pPr>
    <w:rPr>
      <w:kern w:val="2"/>
      <w:szCs w:val="22"/>
      <w:lang w:val="en-AU"/>
      <w14:ligatures w14:val="standardContextual"/>
    </w:rPr>
  </w:style>
  <w:style w:type="paragraph" w:styleId="NormalWeb">
    <w:name w:val="Normal (Web)"/>
    <w:basedOn w:val="Normal"/>
    <w:uiPriority w:val="99"/>
    <w:unhideWhenUsed/>
    <w:rsid w:val="00744AEB"/>
    <w:pPr>
      <w:spacing w:before="100" w:beforeAutospacing="1" w:after="100" w:afterAutospacing="1"/>
    </w:pPr>
    <w:rPr>
      <w:lang w:val="en-US" w:eastAsia="zh-CN"/>
    </w:rPr>
  </w:style>
  <w:style w:type="character" w:styleId="PageNumber">
    <w:name w:val="page number"/>
    <w:basedOn w:val="DefaultParagraphFont"/>
    <w:uiPriority w:val="99"/>
    <w:semiHidden/>
    <w:unhideWhenUsed/>
    <w:rsid w:val="00744AEB"/>
  </w:style>
  <w:style w:type="table" w:styleId="PlainTable2">
    <w:name w:val="Plain Table 2"/>
    <w:basedOn w:val="TableNormal"/>
    <w:uiPriority w:val="42"/>
    <w:rsid w:val="00744AEB"/>
    <w:pPr>
      <w:spacing w:after="0" w:line="240" w:lineRule="auto"/>
    </w:pPr>
    <w:rPr>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ferences">
    <w:name w:val="References"/>
    <w:basedOn w:val="BodyText"/>
    <w:qFormat/>
    <w:rsid w:val="00744AEB"/>
    <w:pPr>
      <w:ind w:left="720" w:hanging="720"/>
    </w:pPr>
  </w:style>
  <w:style w:type="paragraph" w:customStyle="1" w:styleId="Tablecaption">
    <w:name w:val="Table caption"/>
    <w:basedOn w:val="Figurecaption"/>
    <w:qFormat/>
    <w:rsid w:val="00744AEB"/>
  </w:style>
  <w:style w:type="paragraph" w:styleId="TableofFigures">
    <w:name w:val="table of figures"/>
    <w:basedOn w:val="Normal"/>
    <w:next w:val="Normal"/>
    <w:uiPriority w:val="99"/>
    <w:unhideWhenUsed/>
    <w:rsid w:val="00744AEB"/>
    <w:pPr>
      <w:ind w:left="480" w:hanging="480"/>
    </w:pPr>
    <w:rPr>
      <w:smallCaps/>
      <w:sz w:val="20"/>
      <w:szCs w:val="20"/>
    </w:rPr>
  </w:style>
  <w:style w:type="paragraph" w:styleId="TOC1">
    <w:name w:val="toc 1"/>
    <w:basedOn w:val="Normal"/>
    <w:next w:val="Normal"/>
    <w:autoRedefine/>
    <w:uiPriority w:val="39"/>
    <w:unhideWhenUsed/>
    <w:rsid w:val="00744AEB"/>
    <w:pPr>
      <w:tabs>
        <w:tab w:val="right" w:leader="dot" w:pos="9010"/>
      </w:tabs>
    </w:pPr>
    <w:rPr>
      <w:b/>
      <w:bCs/>
      <w:caps/>
      <w:sz w:val="20"/>
      <w:szCs w:val="20"/>
    </w:rPr>
  </w:style>
  <w:style w:type="paragraph" w:styleId="TOC2">
    <w:name w:val="toc 2"/>
    <w:basedOn w:val="Normal"/>
    <w:next w:val="Normal"/>
    <w:autoRedefine/>
    <w:uiPriority w:val="39"/>
    <w:unhideWhenUsed/>
    <w:rsid w:val="00744AEB"/>
    <w:pPr>
      <w:ind w:left="240"/>
    </w:pPr>
    <w:rPr>
      <w:smallCaps/>
      <w:sz w:val="20"/>
      <w:szCs w:val="20"/>
    </w:rPr>
  </w:style>
  <w:style w:type="paragraph" w:styleId="TOC3">
    <w:name w:val="toc 3"/>
    <w:basedOn w:val="Normal"/>
    <w:next w:val="Normal"/>
    <w:autoRedefine/>
    <w:uiPriority w:val="39"/>
    <w:unhideWhenUsed/>
    <w:rsid w:val="00744AEB"/>
    <w:pPr>
      <w:ind w:left="480"/>
    </w:pPr>
    <w:rPr>
      <w:i/>
      <w:iCs/>
      <w:sz w:val="20"/>
      <w:szCs w:val="20"/>
    </w:rPr>
  </w:style>
  <w:style w:type="paragraph" w:styleId="TOC4">
    <w:name w:val="toc 4"/>
    <w:basedOn w:val="Normal"/>
    <w:next w:val="Normal"/>
    <w:autoRedefine/>
    <w:uiPriority w:val="39"/>
    <w:unhideWhenUsed/>
    <w:rsid w:val="00744AEB"/>
    <w:pPr>
      <w:ind w:left="720"/>
    </w:pPr>
    <w:rPr>
      <w:sz w:val="18"/>
      <w:szCs w:val="18"/>
    </w:rPr>
  </w:style>
  <w:style w:type="paragraph" w:styleId="TOC5">
    <w:name w:val="toc 5"/>
    <w:basedOn w:val="Normal"/>
    <w:next w:val="Normal"/>
    <w:autoRedefine/>
    <w:uiPriority w:val="39"/>
    <w:unhideWhenUsed/>
    <w:rsid w:val="00744AEB"/>
    <w:pPr>
      <w:ind w:left="960"/>
    </w:pPr>
    <w:rPr>
      <w:sz w:val="18"/>
      <w:szCs w:val="18"/>
    </w:rPr>
  </w:style>
  <w:style w:type="paragraph" w:styleId="TOC6">
    <w:name w:val="toc 6"/>
    <w:basedOn w:val="Normal"/>
    <w:next w:val="Normal"/>
    <w:autoRedefine/>
    <w:uiPriority w:val="39"/>
    <w:unhideWhenUsed/>
    <w:rsid w:val="00744AEB"/>
    <w:pPr>
      <w:ind w:left="1200"/>
    </w:pPr>
    <w:rPr>
      <w:sz w:val="18"/>
      <w:szCs w:val="18"/>
    </w:rPr>
  </w:style>
  <w:style w:type="paragraph" w:styleId="TOC7">
    <w:name w:val="toc 7"/>
    <w:basedOn w:val="Normal"/>
    <w:next w:val="Normal"/>
    <w:autoRedefine/>
    <w:uiPriority w:val="39"/>
    <w:unhideWhenUsed/>
    <w:rsid w:val="00744AEB"/>
    <w:pPr>
      <w:ind w:left="1440"/>
    </w:pPr>
    <w:rPr>
      <w:sz w:val="18"/>
      <w:szCs w:val="18"/>
    </w:rPr>
  </w:style>
  <w:style w:type="paragraph" w:styleId="TOC8">
    <w:name w:val="toc 8"/>
    <w:basedOn w:val="Normal"/>
    <w:next w:val="Normal"/>
    <w:autoRedefine/>
    <w:uiPriority w:val="39"/>
    <w:unhideWhenUsed/>
    <w:rsid w:val="00744AEB"/>
    <w:pPr>
      <w:ind w:left="1680"/>
    </w:pPr>
    <w:rPr>
      <w:sz w:val="18"/>
      <w:szCs w:val="18"/>
    </w:rPr>
  </w:style>
  <w:style w:type="paragraph" w:styleId="TOC9">
    <w:name w:val="toc 9"/>
    <w:basedOn w:val="Normal"/>
    <w:next w:val="Normal"/>
    <w:autoRedefine/>
    <w:uiPriority w:val="39"/>
    <w:unhideWhenUsed/>
    <w:rsid w:val="00744AEB"/>
    <w:pPr>
      <w:ind w:left="1920"/>
    </w:pPr>
    <w:rPr>
      <w:sz w:val="18"/>
      <w:szCs w:val="18"/>
    </w:rPr>
  </w:style>
  <w:style w:type="paragraph" w:customStyle="1" w:styleId="1">
    <w:name w:val="书目1"/>
    <w:basedOn w:val="Normal"/>
    <w:link w:val="Bibliography"/>
    <w:rsid w:val="00744AEB"/>
    <w:pPr>
      <w:spacing w:line="480" w:lineRule="auto"/>
      <w:ind w:left="720" w:hanging="720"/>
    </w:pPr>
  </w:style>
  <w:style w:type="character" w:customStyle="1" w:styleId="Bibliography">
    <w:name w:val="Bibliography 字符"/>
    <w:basedOn w:val="BodyTextChar"/>
    <w:link w:val="1"/>
    <w:rsid w:val="00744AEB"/>
    <w:rPr>
      <w:rFonts w:ascii="Arial" w:eastAsia="Arial" w:hAnsi="Arial" w:cs="Arial"/>
      <w:kern w:val="0"/>
      <w:lang w:val="en-GB" w:eastAsia="en-US"/>
      <w14:ligatures w14:val="none"/>
    </w:rPr>
  </w:style>
  <w:style w:type="character" w:customStyle="1" w:styleId="Heading4Char">
    <w:name w:val="Heading 4 Char"/>
    <w:basedOn w:val="DefaultParagraphFont"/>
    <w:link w:val="Heading4"/>
    <w:uiPriority w:val="9"/>
    <w:semiHidden/>
    <w:rsid w:val="008574ED"/>
    <w:rPr>
      <w:rFonts w:ascii="Arial" w:eastAsia="Arial" w:hAnsi="Arial" w:cs="Arial"/>
      <w:i/>
      <w:iCs/>
      <w:color w:val="0F4761" w:themeColor="accent1" w:themeShade="BF"/>
      <w:kern w:val="0"/>
      <w:lang w:val="en-GB" w:eastAsia="en-US"/>
      <w14:ligatures w14:val="none"/>
    </w:rPr>
  </w:style>
  <w:style w:type="character" w:customStyle="1" w:styleId="Heading5Char">
    <w:name w:val="Heading 5 Char"/>
    <w:basedOn w:val="DefaultParagraphFont"/>
    <w:link w:val="Heading5"/>
    <w:uiPriority w:val="9"/>
    <w:semiHidden/>
    <w:rsid w:val="000564D8"/>
    <w:rPr>
      <w:rFonts w:ascii="Arial" w:eastAsia="Arial" w:hAnsi="Arial" w:cs="Arial"/>
      <w:color w:val="0F4761" w:themeColor="accent1" w:themeShade="BF"/>
      <w:kern w:val="0"/>
      <w:lang w:val="en-GB" w:eastAsia="en-US"/>
      <w14:ligatures w14:val="none"/>
    </w:rPr>
  </w:style>
  <w:style w:type="character" w:customStyle="1" w:styleId="Heading6Char">
    <w:name w:val="Heading 6 Char"/>
    <w:basedOn w:val="DefaultParagraphFont"/>
    <w:link w:val="Heading6"/>
    <w:uiPriority w:val="9"/>
    <w:semiHidden/>
    <w:rsid w:val="000564D8"/>
    <w:rPr>
      <w:rFonts w:ascii="Arial" w:eastAsia="Arial" w:hAnsi="Arial" w:cs="Arial"/>
      <w:i/>
      <w:iCs/>
      <w:color w:val="595959" w:themeColor="text1" w:themeTint="A6"/>
      <w:kern w:val="0"/>
      <w:lang w:val="en-GB" w:eastAsia="en-US"/>
      <w14:ligatures w14:val="none"/>
    </w:rPr>
  </w:style>
  <w:style w:type="character" w:customStyle="1" w:styleId="Heading7Char">
    <w:name w:val="Heading 7 Char"/>
    <w:basedOn w:val="DefaultParagraphFont"/>
    <w:link w:val="Heading7"/>
    <w:uiPriority w:val="9"/>
    <w:semiHidden/>
    <w:rsid w:val="000564D8"/>
    <w:rPr>
      <w:rFonts w:ascii="Arial" w:eastAsia="Arial" w:hAnsi="Arial" w:cs="Arial"/>
      <w:color w:val="595959" w:themeColor="text1" w:themeTint="A6"/>
      <w:kern w:val="0"/>
      <w:lang w:val="en-GB" w:eastAsia="en-US"/>
      <w14:ligatures w14:val="none"/>
    </w:rPr>
  </w:style>
  <w:style w:type="character" w:customStyle="1" w:styleId="Heading8Char">
    <w:name w:val="Heading 8 Char"/>
    <w:basedOn w:val="DefaultParagraphFont"/>
    <w:link w:val="Heading8"/>
    <w:uiPriority w:val="9"/>
    <w:semiHidden/>
    <w:rsid w:val="000564D8"/>
    <w:rPr>
      <w:rFonts w:ascii="Arial" w:eastAsia="Arial" w:hAnsi="Arial" w:cs="Arial"/>
      <w:i/>
      <w:iCs/>
      <w:color w:val="272727" w:themeColor="text1" w:themeTint="D8"/>
      <w:kern w:val="0"/>
      <w:lang w:val="en-GB" w:eastAsia="en-US"/>
      <w14:ligatures w14:val="none"/>
    </w:rPr>
  </w:style>
  <w:style w:type="character" w:customStyle="1" w:styleId="Heading9Char">
    <w:name w:val="Heading 9 Char"/>
    <w:basedOn w:val="DefaultParagraphFont"/>
    <w:link w:val="Heading9"/>
    <w:uiPriority w:val="9"/>
    <w:semiHidden/>
    <w:rsid w:val="000564D8"/>
    <w:rPr>
      <w:rFonts w:ascii="Arial" w:eastAsia="Arial" w:hAnsi="Arial" w:cs="Arial"/>
      <w:color w:val="272727" w:themeColor="text1" w:themeTint="D8"/>
      <w:kern w:val="0"/>
      <w:lang w:val="en-GB" w:eastAsia="en-US"/>
      <w14:ligatures w14:val="none"/>
    </w:rPr>
  </w:style>
  <w:style w:type="paragraph" w:styleId="Title">
    <w:name w:val="Title"/>
    <w:basedOn w:val="Normal"/>
    <w:next w:val="Normal"/>
    <w:link w:val="TitleChar"/>
    <w:uiPriority w:val="10"/>
    <w:qFormat/>
    <w:rsid w:val="008574ED"/>
    <w:pPr>
      <w:spacing w:after="80"/>
      <w:contextualSpacing/>
    </w:pPr>
    <w:rPr>
      <w:b/>
      <w:spacing w:val="-10"/>
      <w:kern w:val="28"/>
      <w:sz w:val="28"/>
      <w:szCs w:val="56"/>
    </w:rPr>
  </w:style>
  <w:style w:type="character" w:customStyle="1" w:styleId="TitleChar">
    <w:name w:val="Title Char"/>
    <w:basedOn w:val="DefaultParagraphFont"/>
    <w:link w:val="Title"/>
    <w:uiPriority w:val="10"/>
    <w:rsid w:val="008574ED"/>
    <w:rPr>
      <w:rFonts w:ascii="Arial" w:eastAsia="Arial" w:hAnsi="Arial" w:cs="Arial"/>
      <w:spacing w:val="-10"/>
      <w:kern w:val="28"/>
      <w:sz w:val="56"/>
      <w:szCs w:val="56"/>
      <w:lang w:val="en-GB" w:eastAsia="en-US"/>
      <w14:ligatures w14:val="none"/>
    </w:rPr>
  </w:style>
  <w:style w:type="paragraph" w:styleId="Subtitle">
    <w:name w:val="Subtitle"/>
    <w:basedOn w:val="Normal"/>
    <w:next w:val="Normal"/>
    <w:link w:val="SubtitleChar"/>
    <w:uiPriority w:val="11"/>
    <w:qFormat/>
    <w:rsid w:val="000564D8"/>
    <w:pPr>
      <w:numPr>
        <w:ilvl w:val="1"/>
      </w:numPr>
      <w:spacing w:after="160"/>
    </w:pPr>
    <w:rPr>
      <w:color w:val="595959" w:themeColor="text1" w:themeTint="A6"/>
      <w:spacing w:val="15"/>
      <w:sz w:val="28"/>
      <w:szCs w:val="28"/>
    </w:rPr>
  </w:style>
  <w:style w:type="character" w:customStyle="1" w:styleId="SubtitleChar">
    <w:name w:val="Subtitle Char"/>
    <w:basedOn w:val="DefaultParagraphFont"/>
    <w:link w:val="Subtitle"/>
    <w:uiPriority w:val="11"/>
    <w:rsid w:val="000564D8"/>
    <w:rPr>
      <w:rFonts w:ascii="Arial" w:eastAsia="Arial" w:hAnsi="Arial" w:cs="Arial"/>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0564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64D8"/>
    <w:rPr>
      <w:i/>
      <w:iCs/>
      <w:color w:val="404040" w:themeColor="text1" w:themeTint="BF"/>
      <w:kern w:val="0"/>
      <w:lang w:val="en-GB" w:eastAsia="en-US"/>
      <w14:ligatures w14:val="none"/>
    </w:rPr>
  </w:style>
  <w:style w:type="character" w:styleId="IntenseEmphasis">
    <w:name w:val="Intense Emphasis"/>
    <w:basedOn w:val="DefaultParagraphFont"/>
    <w:uiPriority w:val="21"/>
    <w:qFormat/>
    <w:rsid w:val="008574ED"/>
    <w:rPr>
      <w:rFonts w:ascii="Arial" w:eastAsia="Arial" w:hAnsi="Arial" w:cs="Arial"/>
      <w:i/>
      <w:iCs/>
      <w:color w:val="0F4761" w:themeColor="accent1" w:themeShade="BF"/>
    </w:rPr>
  </w:style>
  <w:style w:type="paragraph" w:styleId="IntenseQuote">
    <w:name w:val="Intense Quote"/>
    <w:basedOn w:val="Normal"/>
    <w:next w:val="Normal"/>
    <w:link w:val="IntenseQuoteChar"/>
    <w:uiPriority w:val="30"/>
    <w:qFormat/>
    <w:rsid w:val="00857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4ED"/>
    <w:rPr>
      <w:rFonts w:ascii="Arial" w:eastAsia="Arial" w:hAnsi="Arial" w:cs="Arial"/>
      <w:i/>
      <w:iCs/>
      <w:color w:val="0F4761" w:themeColor="accent1" w:themeShade="BF"/>
      <w:kern w:val="0"/>
      <w:lang w:val="en-GB" w:eastAsia="en-US"/>
      <w14:ligatures w14:val="none"/>
    </w:rPr>
  </w:style>
  <w:style w:type="character" w:styleId="IntenseReference">
    <w:name w:val="Intense Reference"/>
    <w:basedOn w:val="DefaultParagraphFont"/>
    <w:uiPriority w:val="32"/>
    <w:qFormat/>
    <w:rsid w:val="008574ED"/>
    <w:rPr>
      <w:rFonts w:ascii="Arial" w:eastAsia="Arial" w:hAnsi="Arial" w:cs="Arial"/>
      <w:b/>
      <w:bCs/>
      <w:smallCaps/>
      <w:color w:val="0F4761" w:themeColor="accent1" w:themeShade="BF"/>
      <w:spacing w:val="5"/>
    </w:rPr>
  </w:style>
  <w:style w:type="character" w:styleId="UnresolvedMention">
    <w:name w:val="Unresolved Mention"/>
    <w:basedOn w:val="DefaultParagraphFont"/>
    <w:uiPriority w:val="99"/>
    <w:semiHidden/>
    <w:unhideWhenUsed/>
    <w:rsid w:val="00496933"/>
    <w:rPr>
      <w:color w:val="605E5C"/>
      <w:shd w:val="clear" w:color="auto" w:fill="E1DFDD"/>
    </w:rPr>
  </w:style>
  <w:style w:type="character" w:styleId="SubtleEmphasis">
    <w:name w:val="Subtle Emphasis"/>
    <w:basedOn w:val="DefaultParagraphFont"/>
    <w:uiPriority w:val="19"/>
    <w:qFormat/>
    <w:rsid w:val="008574ED"/>
    <w:rPr>
      <w:rFonts w:ascii="Arial" w:eastAsia="Arial" w:hAnsi="Arial" w:cs="Arial"/>
      <w:i/>
      <w:iCs/>
      <w:color w:val="404040" w:themeColor="text1" w:themeTint="BF"/>
    </w:rPr>
  </w:style>
  <w:style w:type="character" w:styleId="Emphasis">
    <w:name w:val="Emphasis"/>
    <w:basedOn w:val="DefaultParagraphFont"/>
    <w:uiPriority w:val="20"/>
    <w:qFormat/>
    <w:rsid w:val="008574ED"/>
    <w:rPr>
      <w:rFonts w:ascii="Arial" w:eastAsia="Arial" w:hAnsi="Arial" w:cs="Arial"/>
      <w:i/>
      <w:iCs/>
    </w:rPr>
  </w:style>
  <w:style w:type="character" w:styleId="Strong">
    <w:name w:val="Strong"/>
    <w:basedOn w:val="DefaultParagraphFont"/>
    <w:uiPriority w:val="22"/>
    <w:qFormat/>
    <w:rsid w:val="008574ED"/>
    <w:rPr>
      <w:rFonts w:ascii="Arial" w:eastAsia="Arial" w:hAnsi="Arial" w:cs="Arial"/>
      <w:b/>
      <w:bCs/>
    </w:rPr>
  </w:style>
  <w:style w:type="character" w:styleId="SubtleReference">
    <w:name w:val="Subtle Reference"/>
    <w:basedOn w:val="DefaultParagraphFont"/>
    <w:uiPriority w:val="31"/>
    <w:qFormat/>
    <w:rsid w:val="008574ED"/>
    <w:rPr>
      <w:rFonts w:ascii="Arial" w:eastAsia="Arial" w:hAnsi="Arial" w:cs="Arial"/>
      <w:smallCaps/>
      <w:color w:val="5A5A5A" w:themeColor="text1" w:themeTint="A5"/>
    </w:rPr>
  </w:style>
  <w:style w:type="character" w:styleId="BookTitle">
    <w:name w:val="Book Title"/>
    <w:basedOn w:val="DefaultParagraphFont"/>
    <w:uiPriority w:val="33"/>
    <w:qFormat/>
    <w:rsid w:val="008574ED"/>
    <w:rPr>
      <w:rFonts w:ascii="Arial" w:eastAsia="Arial" w:hAnsi="Arial" w:cs="Arial"/>
      <w:b/>
      <w:bCs/>
      <w:i/>
      <w:iCs/>
      <w:spacing w:val="5"/>
    </w:rPr>
  </w:style>
  <w:style w:type="paragraph" w:styleId="Bibliography0">
    <w:name w:val="Bibliography"/>
    <w:basedOn w:val="Normal"/>
    <w:next w:val="Normal"/>
    <w:uiPriority w:val="37"/>
    <w:unhideWhenUsed/>
    <w:rsid w:val="00A713DB"/>
  </w:style>
  <w:style w:type="paragraph" w:styleId="Revision">
    <w:name w:val="Revision"/>
    <w:hidden/>
    <w:uiPriority w:val="99"/>
    <w:semiHidden/>
    <w:rsid w:val="00EA74AB"/>
    <w:pPr>
      <w:spacing w:after="0" w:line="240" w:lineRule="auto"/>
    </w:pPr>
    <w:rPr>
      <w:kern w:val="0"/>
      <w:lang w:val="en-GB" w:eastAsia="en-US"/>
      <w14:ligatures w14:val="none"/>
    </w:rPr>
  </w:style>
  <w:style w:type="character" w:styleId="PlaceholderText">
    <w:name w:val="Placeholder Text"/>
    <w:basedOn w:val="DefaultParagraphFont"/>
    <w:uiPriority w:val="99"/>
    <w:semiHidden/>
    <w:rsid w:val="008A2782"/>
    <w:rPr>
      <w:color w:val="666666"/>
    </w:rPr>
  </w:style>
  <w:style w:type="character" w:styleId="LineNumber">
    <w:name w:val="line number"/>
    <w:basedOn w:val="DefaultParagraphFont"/>
    <w:uiPriority w:val="99"/>
    <w:semiHidden/>
    <w:unhideWhenUsed/>
    <w:rsid w:val="00081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358268">
      <w:bodyDiv w:val="1"/>
      <w:marLeft w:val="0"/>
      <w:marRight w:val="0"/>
      <w:marTop w:val="0"/>
      <w:marBottom w:val="0"/>
      <w:divBdr>
        <w:top w:val="none" w:sz="0" w:space="0" w:color="auto"/>
        <w:left w:val="none" w:sz="0" w:space="0" w:color="auto"/>
        <w:bottom w:val="none" w:sz="0" w:space="0" w:color="auto"/>
        <w:right w:val="none" w:sz="0" w:space="0" w:color="auto"/>
      </w:divBdr>
    </w:div>
    <w:div w:id="162741683">
      <w:bodyDiv w:val="1"/>
      <w:marLeft w:val="0"/>
      <w:marRight w:val="0"/>
      <w:marTop w:val="0"/>
      <w:marBottom w:val="0"/>
      <w:divBdr>
        <w:top w:val="none" w:sz="0" w:space="0" w:color="auto"/>
        <w:left w:val="none" w:sz="0" w:space="0" w:color="auto"/>
        <w:bottom w:val="none" w:sz="0" w:space="0" w:color="auto"/>
        <w:right w:val="none" w:sz="0" w:space="0" w:color="auto"/>
      </w:divBdr>
    </w:div>
    <w:div w:id="221522706">
      <w:bodyDiv w:val="1"/>
      <w:marLeft w:val="0"/>
      <w:marRight w:val="0"/>
      <w:marTop w:val="0"/>
      <w:marBottom w:val="0"/>
      <w:divBdr>
        <w:top w:val="none" w:sz="0" w:space="0" w:color="auto"/>
        <w:left w:val="none" w:sz="0" w:space="0" w:color="auto"/>
        <w:bottom w:val="none" w:sz="0" w:space="0" w:color="auto"/>
        <w:right w:val="none" w:sz="0" w:space="0" w:color="auto"/>
      </w:divBdr>
    </w:div>
    <w:div w:id="275335354">
      <w:bodyDiv w:val="1"/>
      <w:marLeft w:val="0"/>
      <w:marRight w:val="0"/>
      <w:marTop w:val="0"/>
      <w:marBottom w:val="0"/>
      <w:divBdr>
        <w:top w:val="none" w:sz="0" w:space="0" w:color="auto"/>
        <w:left w:val="none" w:sz="0" w:space="0" w:color="auto"/>
        <w:bottom w:val="none" w:sz="0" w:space="0" w:color="auto"/>
        <w:right w:val="none" w:sz="0" w:space="0" w:color="auto"/>
      </w:divBdr>
    </w:div>
    <w:div w:id="296689517">
      <w:bodyDiv w:val="1"/>
      <w:marLeft w:val="0"/>
      <w:marRight w:val="0"/>
      <w:marTop w:val="0"/>
      <w:marBottom w:val="0"/>
      <w:divBdr>
        <w:top w:val="none" w:sz="0" w:space="0" w:color="auto"/>
        <w:left w:val="none" w:sz="0" w:space="0" w:color="auto"/>
        <w:bottom w:val="none" w:sz="0" w:space="0" w:color="auto"/>
        <w:right w:val="none" w:sz="0" w:space="0" w:color="auto"/>
      </w:divBdr>
    </w:div>
    <w:div w:id="497815427">
      <w:bodyDiv w:val="1"/>
      <w:marLeft w:val="0"/>
      <w:marRight w:val="0"/>
      <w:marTop w:val="0"/>
      <w:marBottom w:val="0"/>
      <w:divBdr>
        <w:top w:val="none" w:sz="0" w:space="0" w:color="auto"/>
        <w:left w:val="none" w:sz="0" w:space="0" w:color="auto"/>
        <w:bottom w:val="none" w:sz="0" w:space="0" w:color="auto"/>
        <w:right w:val="none" w:sz="0" w:space="0" w:color="auto"/>
      </w:divBdr>
    </w:div>
    <w:div w:id="500968292">
      <w:bodyDiv w:val="1"/>
      <w:marLeft w:val="0"/>
      <w:marRight w:val="0"/>
      <w:marTop w:val="0"/>
      <w:marBottom w:val="0"/>
      <w:divBdr>
        <w:top w:val="none" w:sz="0" w:space="0" w:color="auto"/>
        <w:left w:val="none" w:sz="0" w:space="0" w:color="auto"/>
        <w:bottom w:val="none" w:sz="0" w:space="0" w:color="auto"/>
        <w:right w:val="none" w:sz="0" w:space="0" w:color="auto"/>
      </w:divBdr>
    </w:div>
    <w:div w:id="519394650">
      <w:bodyDiv w:val="1"/>
      <w:marLeft w:val="0"/>
      <w:marRight w:val="0"/>
      <w:marTop w:val="0"/>
      <w:marBottom w:val="0"/>
      <w:divBdr>
        <w:top w:val="none" w:sz="0" w:space="0" w:color="auto"/>
        <w:left w:val="none" w:sz="0" w:space="0" w:color="auto"/>
        <w:bottom w:val="none" w:sz="0" w:space="0" w:color="auto"/>
        <w:right w:val="none" w:sz="0" w:space="0" w:color="auto"/>
      </w:divBdr>
    </w:div>
    <w:div w:id="609823841">
      <w:bodyDiv w:val="1"/>
      <w:marLeft w:val="0"/>
      <w:marRight w:val="0"/>
      <w:marTop w:val="0"/>
      <w:marBottom w:val="0"/>
      <w:divBdr>
        <w:top w:val="none" w:sz="0" w:space="0" w:color="auto"/>
        <w:left w:val="none" w:sz="0" w:space="0" w:color="auto"/>
        <w:bottom w:val="none" w:sz="0" w:space="0" w:color="auto"/>
        <w:right w:val="none" w:sz="0" w:space="0" w:color="auto"/>
      </w:divBdr>
    </w:div>
    <w:div w:id="613438383">
      <w:bodyDiv w:val="1"/>
      <w:marLeft w:val="0"/>
      <w:marRight w:val="0"/>
      <w:marTop w:val="0"/>
      <w:marBottom w:val="0"/>
      <w:divBdr>
        <w:top w:val="none" w:sz="0" w:space="0" w:color="auto"/>
        <w:left w:val="none" w:sz="0" w:space="0" w:color="auto"/>
        <w:bottom w:val="none" w:sz="0" w:space="0" w:color="auto"/>
        <w:right w:val="none" w:sz="0" w:space="0" w:color="auto"/>
      </w:divBdr>
    </w:div>
    <w:div w:id="636108341">
      <w:bodyDiv w:val="1"/>
      <w:marLeft w:val="0"/>
      <w:marRight w:val="0"/>
      <w:marTop w:val="0"/>
      <w:marBottom w:val="0"/>
      <w:divBdr>
        <w:top w:val="none" w:sz="0" w:space="0" w:color="auto"/>
        <w:left w:val="none" w:sz="0" w:space="0" w:color="auto"/>
        <w:bottom w:val="none" w:sz="0" w:space="0" w:color="auto"/>
        <w:right w:val="none" w:sz="0" w:space="0" w:color="auto"/>
      </w:divBdr>
    </w:div>
    <w:div w:id="642539124">
      <w:bodyDiv w:val="1"/>
      <w:marLeft w:val="0"/>
      <w:marRight w:val="0"/>
      <w:marTop w:val="0"/>
      <w:marBottom w:val="0"/>
      <w:divBdr>
        <w:top w:val="none" w:sz="0" w:space="0" w:color="auto"/>
        <w:left w:val="none" w:sz="0" w:space="0" w:color="auto"/>
        <w:bottom w:val="none" w:sz="0" w:space="0" w:color="auto"/>
        <w:right w:val="none" w:sz="0" w:space="0" w:color="auto"/>
      </w:divBdr>
    </w:div>
    <w:div w:id="660474642">
      <w:bodyDiv w:val="1"/>
      <w:marLeft w:val="0"/>
      <w:marRight w:val="0"/>
      <w:marTop w:val="0"/>
      <w:marBottom w:val="0"/>
      <w:divBdr>
        <w:top w:val="none" w:sz="0" w:space="0" w:color="auto"/>
        <w:left w:val="none" w:sz="0" w:space="0" w:color="auto"/>
        <w:bottom w:val="none" w:sz="0" w:space="0" w:color="auto"/>
        <w:right w:val="none" w:sz="0" w:space="0" w:color="auto"/>
      </w:divBdr>
    </w:div>
    <w:div w:id="738746712">
      <w:bodyDiv w:val="1"/>
      <w:marLeft w:val="0"/>
      <w:marRight w:val="0"/>
      <w:marTop w:val="0"/>
      <w:marBottom w:val="0"/>
      <w:divBdr>
        <w:top w:val="none" w:sz="0" w:space="0" w:color="auto"/>
        <w:left w:val="none" w:sz="0" w:space="0" w:color="auto"/>
        <w:bottom w:val="none" w:sz="0" w:space="0" w:color="auto"/>
        <w:right w:val="none" w:sz="0" w:space="0" w:color="auto"/>
      </w:divBdr>
    </w:div>
    <w:div w:id="896360086">
      <w:bodyDiv w:val="1"/>
      <w:marLeft w:val="0"/>
      <w:marRight w:val="0"/>
      <w:marTop w:val="0"/>
      <w:marBottom w:val="0"/>
      <w:divBdr>
        <w:top w:val="none" w:sz="0" w:space="0" w:color="auto"/>
        <w:left w:val="none" w:sz="0" w:space="0" w:color="auto"/>
        <w:bottom w:val="none" w:sz="0" w:space="0" w:color="auto"/>
        <w:right w:val="none" w:sz="0" w:space="0" w:color="auto"/>
      </w:divBdr>
    </w:div>
    <w:div w:id="1119373153">
      <w:bodyDiv w:val="1"/>
      <w:marLeft w:val="0"/>
      <w:marRight w:val="0"/>
      <w:marTop w:val="0"/>
      <w:marBottom w:val="0"/>
      <w:divBdr>
        <w:top w:val="none" w:sz="0" w:space="0" w:color="auto"/>
        <w:left w:val="none" w:sz="0" w:space="0" w:color="auto"/>
        <w:bottom w:val="none" w:sz="0" w:space="0" w:color="auto"/>
        <w:right w:val="none" w:sz="0" w:space="0" w:color="auto"/>
      </w:divBdr>
    </w:div>
    <w:div w:id="1153063497">
      <w:bodyDiv w:val="1"/>
      <w:marLeft w:val="0"/>
      <w:marRight w:val="0"/>
      <w:marTop w:val="0"/>
      <w:marBottom w:val="0"/>
      <w:divBdr>
        <w:top w:val="none" w:sz="0" w:space="0" w:color="auto"/>
        <w:left w:val="none" w:sz="0" w:space="0" w:color="auto"/>
        <w:bottom w:val="none" w:sz="0" w:space="0" w:color="auto"/>
        <w:right w:val="none" w:sz="0" w:space="0" w:color="auto"/>
      </w:divBdr>
    </w:div>
    <w:div w:id="1186941576">
      <w:bodyDiv w:val="1"/>
      <w:marLeft w:val="0"/>
      <w:marRight w:val="0"/>
      <w:marTop w:val="0"/>
      <w:marBottom w:val="0"/>
      <w:divBdr>
        <w:top w:val="none" w:sz="0" w:space="0" w:color="auto"/>
        <w:left w:val="none" w:sz="0" w:space="0" w:color="auto"/>
        <w:bottom w:val="none" w:sz="0" w:space="0" w:color="auto"/>
        <w:right w:val="none" w:sz="0" w:space="0" w:color="auto"/>
      </w:divBdr>
    </w:div>
    <w:div w:id="1208487236">
      <w:bodyDiv w:val="1"/>
      <w:marLeft w:val="0"/>
      <w:marRight w:val="0"/>
      <w:marTop w:val="0"/>
      <w:marBottom w:val="0"/>
      <w:divBdr>
        <w:top w:val="none" w:sz="0" w:space="0" w:color="auto"/>
        <w:left w:val="none" w:sz="0" w:space="0" w:color="auto"/>
        <w:bottom w:val="none" w:sz="0" w:space="0" w:color="auto"/>
        <w:right w:val="none" w:sz="0" w:space="0" w:color="auto"/>
      </w:divBdr>
      <w:divsChild>
        <w:div w:id="470053097">
          <w:marLeft w:val="0"/>
          <w:marRight w:val="0"/>
          <w:marTop w:val="0"/>
          <w:marBottom w:val="0"/>
          <w:divBdr>
            <w:top w:val="none" w:sz="0" w:space="0" w:color="auto"/>
            <w:left w:val="none" w:sz="0" w:space="0" w:color="auto"/>
            <w:bottom w:val="none" w:sz="0" w:space="0" w:color="auto"/>
            <w:right w:val="none" w:sz="0" w:space="0" w:color="auto"/>
          </w:divBdr>
          <w:divsChild>
            <w:div w:id="9732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2689">
      <w:bodyDiv w:val="1"/>
      <w:marLeft w:val="0"/>
      <w:marRight w:val="0"/>
      <w:marTop w:val="0"/>
      <w:marBottom w:val="0"/>
      <w:divBdr>
        <w:top w:val="none" w:sz="0" w:space="0" w:color="auto"/>
        <w:left w:val="none" w:sz="0" w:space="0" w:color="auto"/>
        <w:bottom w:val="none" w:sz="0" w:space="0" w:color="auto"/>
        <w:right w:val="none" w:sz="0" w:space="0" w:color="auto"/>
      </w:divBdr>
    </w:div>
    <w:div w:id="1266885708">
      <w:bodyDiv w:val="1"/>
      <w:marLeft w:val="0"/>
      <w:marRight w:val="0"/>
      <w:marTop w:val="0"/>
      <w:marBottom w:val="0"/>
      <w:divBdr>
        <w:top w:val="none" w:sz="0" w:space="0" w:color="auto"/>
        <w:left w:val="none" w:sz="0" w:space="0" w:color="auto"/>
        <w:bottom w:val="none" w:sz="0" w:space="0" w:color="auto"/>
        <w:right w:val="none" w:sz="0" w:space="0" w:color="auto"/>
      </w:divBdr>
      <w:divsChild>
        <w:div w:id="2078045154">
          <w:marLeft w:val="0"/>
          <w:marRight w:val="0"/>
          <w:marTop w:val="0"/>
          <w:marBottom w:val="0"/>
          <w:divBdr>
            <w:top w:val="none" w:sz="0" w:space="0" w:color="auto"/>
            <w:left w:val="none" w:sz="0" w:space="0" w:color="auto"/>
            <w:bottom w:val="none" w:sz="0" w:space="0" w:color="auto"/>
            <w:right w:val="none" w:sz="0" w:space="0" w:color="auto"/>
          </w:divBdr>
          <w:divsChild>
            <w:div w:id="1344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16737">
      <w:bodyDiv w:val="1"/>
      <w:marLeft w:val="0"/>
      <w:marRight w:val="0"/>
      <w:marTop w:val="0"/>
      <w:marBottom w:val="0"/>
      <w:divBdr>
        <w:top w:val="none" w:sz="0" w:space="0" w:color="auto"/>
        <w:left w:val="none" w:sz="0" w:space="0" w:color="auto"/>
        <w:bottom w:val="none" w:sz="0" w:space="0" w:color="auto"/>
        <w:right w:val="none" w:sz="0" w:space="0" w:color="auto"/>
      </w:divBdr>
    </w:div>
    <w:div w:id="1304968291">
      <w:bodyDiv w:val="1"/>
      <w:marLeft w:val="0"/>
      <w:marRight w:val="0"/>
      <w:marTop w:val="0"/>
      <w:marBottom w:val="0"/>
      <w:divBdr>
        <w:top w:val="none" w:sz="0" w:space="0" w:color="auto"/>
        <w:left w:val="none" w:sz="0" w:space="0" w:color="auto"/>
        <w:bottom w:val="none" w:sz="0" w:space="0" w:color="auto"/>
        <w:right w:val="none" w:sz="0" w:space="0" w:color="auto"/>
      </w:divBdr>
    </w:div>
    <w:div w:id="1504472763">
      <w:bodyDiv w:val="1"/>
      <w:marLeft w:val="0"/>
      <w:marRight w:val="0"/>
      <w:marTop w:val="0"/>
      <w:marBottom w:val="0"/>
      <w:divBdr>
        <w:top w:val="none" w:sz="0" w:space="0" w:color="auto"/>
        <w:left w:val="none" w:sz="0" w:space="0" w:color="auto"/>
        <w:bottom w:val="none" w:sz="0" w:space="0" w:color="auto"/>
        <w:right w:val="none" w:sz="0" w:space="0" w:color="auto"/>
      </w:divBdr>
    </w:div>
    <w:div w:id="1525363925">
      <w:bodyDiv w:val="1"/>
      <w:marLeft w:val="0"/>
      <w:marRight w:val="0"/>
      <w:marTop w:val="0"/>
      <w:marBottom w:val="0"/>
      <w:divBdr>
        <w:top w:val="none" w:sz="0" w:space="0" w:color="auto"/>
        <w:left w:val="none" w:sz="0" w:space="0" w:color="auto"/>
        <w:bottom w:val="none" w:sz="0" w:space="0" w:color="auto"/>
        <w:right w:val="none" w:sz="0" w:space="0" w:color="auto"/>
      </w:divBdr>
    </w:div>
    <w:div w:id="1629159810">
      <w:bodyDiv w:val="1"/>
      <w:marLeft w:val="0"/>
      <w:marRight w:val="0"/>
      <w:marTop w:val="0"/>
      <w:marBottom w:val="0"/>
      <w:divBdr>
        <w:top w:val="none" w:sz="0" w:space="0" w:color="auto"/>
        <w:left w:val="none" w:sz="0" w:space="0" w:color="auto"/>
        <w:bottom w:val="none" w:sz="0" w:space="0" w:color="auto"/>
        <w:right w:val="none" w:sz="0" w:space="0" w:color="auto"/>
      </w:divBdr>
    </w:div>
    <w:div w:id="1884824835">
      <w:bodyDiv w:val="1"/>
      <w:marLeft w:val="0"/>
      <w:marRight w:val="0"/>
      <w:marTop w:val="0"/>
      <w:marBottom w:val="0"/>
      <w:divBdr>
        <w:top w:val="none" w:sz="0" w:space="0" w:color="auto"/>
        <w:left w:val="none" w:sz="0" w:space="0" w:color="auto"/>
        <w:bottom w:val="none" w:sz="0" w:space="0" w:color="auto"/>
        <w:right w:val="none" w:sz="0" w:space="0" w:color="auto"/>
      </w:divBdr>
    </w:div>
    <w:div w:id="1904877157">
      <w:bodyDiv w:val="1"/>
      <w:marLeft w:val="0"/>
      <w:marRight w:val="0"/>
      <w:marTop w:val="0"/>
      <w:marBottom w:val="0"/>
      <w:divBdr>
        <w:top w:val="none" w:sz="0" w:space="0" w:color="auto"/>
        <w:left w:val="none" w:sz="0" w:space="0" w:color="auto"/>
        <w:bottom w:val="none" w:sz="0" w:space="0" w:color="auto"/>
        <w:right w:val="none" w:sz="0" w:space="0" w:color="auto"/>
      </w:divBdr>
    </w:div>
    <w:div w:id="2047949055">
      <w:bodyDiv w:val="1"/>
      <w:marLeft w:val="0"/>
      <w:marRight w:val="0"/>
      <w:marTop w:val="0"/>
      <w:marBottom w:val="0"/>
      <w:divBdr>
        <w:top w:val="none" w:sz="0" w:space="0" w:color="auto"/>
        <w:left w:val="none" w:sz="0" w:space="0" w:color="auto"/>
        <w:bottom w:val="none" w:sz="0" w:space="0" w:color="auto"/>
        <w:right w:val="none" w:sz="0" w:space="0" w:color="auto"/>
      </w:divBdr>
    </w:div>
    <w:div w:id="2088795801">
      <w:bodyDiv w:val="1"/>
      <w:marLeft w:val="0"/>
      <w:marRight w:val="0"/>
      <w:marTop w:val="0"/>
      <w:marBottom w:val="0"/>
      <w:divBdr>
        <w:top w:val="none" w:sz="0" w:space="0" w:color="auto"/>
        <w:left w:val="none" w:sz="0" w:space="0" w:color="auto"/>
        <w:bottom w:val="none" w:sz="0" w:space="0" w:color="auto"/>
        <w:right w:val="none" w:sz="0" w:space="0" w:color="auto"/>
      </w:divBdr>
    </w:div>
    <w:div w:id="210542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7EC18-BE9F-4D76-AA2A-E7F503321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satellite forest loss mapping conflates transient canopy disturbance with forest destruction — Supplementary Information</dc:title>
  <dc:subject>Figure 6 version: panels a–e; self-contained SI references</dc:subject>
  <dc:creator>Liu Zhao</dc:creator>
  <cp:keywords/>
  <dc:description/>
  <cp:lastModifiedBy>Liu Zhao</cp:lastModifiedBy>
  <cp:revision>6</cp:revision>
  <dcterms:created xsi:type="dcterms:W3CDTF">2026-08-31T00:37:00Z</dcterms:created>
  <dcterms:modified xsi:type="dcterms:W3CDTF">2026-08-31T01:28:00Z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id="eXXEc5hp"/&gt;&lt;style id="http://www.zotero.org/styles/apa" locale="en-AU"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