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1</w:t>
      </w:r>
    </w:p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S1. Study design and dyad availability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1. Baseline characteristics, biomarker availability, event rates, and follow-up duration stratified by dyadic ECog report availability in the ADNI primary at-risk sample.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2518"/>
        <w:gridCol w:w="2518"/>
        <w:gridCol w:w="2518"/>
        <w:gridCol w:w="2518"/>
      </w:tblGrid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Cohort / Subgroup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Available dyad (Complete ECog)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Unavailable dyad (Missing ECog)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Overall primary cohort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Total 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418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1225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Age, mean (SD)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71.29 (6.04)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70.48 (7.71)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70.69 (7.33)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Female, n (%)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236 (56.5%)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755 (61.7%)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991 (60.4%)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(years), mean (SD)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16.90 (2.35)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16.35 (2.56)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16.49 (2.52)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MMSE, mean (SD)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29.16 (1.05)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28.96 (1.21)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29.01 (1.17)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carrier, n/N_obs (%)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138/417 (33.1%)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231/716 (32.3%)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369/1133 (32.6%)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missing, n (%)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 (0.2%)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509 (41.6%)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510 (31.0%)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Centiloid amyloid, mean (SD)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15.12 (28.33)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18.24 (33.18)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17.04 (31.43)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Centiloid missing, n (%)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74 (17.7%)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672 (54.9%)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746 (45.4%)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(mm³), mean (SD)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8182.28 (844.45)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7932.68 (836.67)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8027.45 (847.84)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missing, n (%)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93 (22.2%)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694 (56.7%)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787 (47.9%)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Primary MCI or AD events, n (%)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54 (12.9%)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167 (13.6%)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 (13.5%)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Follow-up duration (years), median (IQR)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7.00 (5.27–9.88)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0.26 (0.00–2.51)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1.24 (0.05–5.86)</w:t>
            </w:r>
          </w:p>
        </w:tc>
      </w:tr>
    </w:tbl>
    <w:p>
      <w:pPr>
        <w:spacing w:line="480" w:lineRule="auto"/>
        <w:jc w:val="center"/>
      </w:pPr>
      <w:r>
        <w:rPr>
          <w:rFonts w:ascii="Times New Roman" w:hAnsi="Times New Roman" w:cs="Times New Roman" w:eastAsia="Times New Roman"/>
          <w:color w:val="000000" val="000000"/>
        </w:rPr>
        <w:drawing>
          <wp:inline xmlns:a="http://schemas.openxmlformats.org/drawingml/2006/main" xmlns:pic="http://schemas.openxmlformats.org/drawingml/2006/picture">
            <wp:extent cx="6396990" cy="508103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l_figure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96990" cy="50810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Figure 1. ADNI participant flow and estimand architecture. Schematic flowchart illustrating the full at-risk cohort (N=1,643), the complete-dyad conditional subset (n=418), the primary clinical endpoint breakdown (n=221: 213 incident MCI, 8 incident AD dementia), and sensitivity endpoints.</w:t>
      </w:r>
    </w:p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S2. Cohort characteristics and missingness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2. ADNI baseline characteristics by primary event status (censored / no recorded MCI or AD diagnosis versus first recorded MCI or AD diagnosis). Continuous variables are mean (SD); categorical variables are n (%). Percentages are computed within the non-missing N for each column. Participants in the censored group had no recorded MCI or AD diagnosis during observed follow-up and may have had variable follow-up duration.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3358"/>
        <w:gridCol w:w="3358"/>
        <w:gridCol w:w="3358"/>
      </w:tblGrid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Characteristic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Censored / no recorded MCI or AD diagnosis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First recorded MCI or AD diagnosis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 (events)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1422 (0)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 (221)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Age, years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70.10 (7.27)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74.47 (6.55)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Education, years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16.53 (2.52)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16.19 (2.52)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29.03 (1.16)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28.88 (1.23)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carrier, n (%)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287 (31.4)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82 (37.6)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Centiloid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14.86 (29.36)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32.02 (40.11)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 positive, n (%)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167 (21.3)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53 (46.5)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8064.07 (845.24)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7759.71 (822.26)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ECog self total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1.36 (0.33)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1.65 (0.49)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ECog informant total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1.17 (0.24)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1.28 (0.29)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ECog dyadic mean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1.27 (0.22)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1.46 (0.31)</w:t>
            </w:r>
          </w:p>
        </w:tc>
      </w:tr>
      <w:tr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ECog dyadic gap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-0.20 (0.36)</w:t>
            </w:r>
          </w:p>
        </w:tc>
        <w:tc>
          <w:tcPr>
            <w:tcW w:type="dxa" w:w="484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-0.37 (0.52)</w:t>
            </w:r>
          </w:p>
        </w:tc>
      </w:tr>
    </w:tbl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2 (continued). Predictor missingness by landmark-year band. ADNI phase was not a curated variable in the provided data; year band is a proxy for recruitment/assessment wave. Percent missing is the proportion of participants in each band with missing values for the listed variable.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1119"/>
        <w:gridCol w:w="1119"/>
        <w:gridCol w:w="1119"/>
        <w:gridCol w:w="1119"/>
        <w:gridCol w:w="1119"/>
        <w:gridCol w:w="1119"/>
        <w:gridCol w:w="1119"/>
        <w:gridCol w:w="1119"/>
        <w:gridCol w:w="1119"/>
      </w:tblGrid>
      <w:tr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Year band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Events (%)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ECog self missing %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ECog informant missing %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Centiloid missing %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 status missing %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Hippocampus missing %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 missing %</w:t>
            </w:r>
          </w:p>
        </w:tc>
      </w:tr>
      <w:tr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2005–2010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234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76 (32.5)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85.0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85.5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99.6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99.6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99.6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</w:t>
            </w:r>
          </w:p>
        </w:tc>
      </w:tr>
      <w:tr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2011–2014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434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80 (18.4)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66.8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66.8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33.6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33.6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40.8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25.6</w:t>
            </w:r>
          </w:p>
        </w:tc>
      </w:tr>
      <w:tr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2015–2018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391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40 (10.2)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45.3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46.3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31.2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31.2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33.8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24.6</w:t>
            </w:r>
          </w:p>
        </w:tc>
      </w:tr>
      <w:tr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2019–2022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154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 (10.4)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79.2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79.2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42.9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42.9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42.9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26.0</w:t>
            </w:r>
          </w:p>
        </w:tc>
      </w:tr>
      <w:tr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2023–2025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430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9 (2.1)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100.0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100.0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41.6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50.7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41.6</w:t>
            </w:r>
          </w:p>
        </w:tc>
        <w:tc>
          <w:tcPr>
            <w:tcW w:type="dxa" w:w="161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61.2</w:t>
            </w:r>
          </w:p>
        </w:tc>
      </w:tr>
    </w:tbl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S3. Exploratory post-hoc risk stratification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The figures in this section are descriptive post-hoc summaries of the locked out-of-fold risk scores. They are not primary performance estimates, are not used for clinical-utility or net-benefit claims, and should not be interpreted as formal probability calibration or decision-analytic support. Because hippocampal volume showed non-proportional hazards (Supplemental Table 7), post-hoc predicted probabilities and net-benefit curves are especially vulnerable to over-interpretation and are therefore not included. These analyses are illustrative only and should not be interpreted as evidence of clinical utility. As a purely descriptive illustration within the complete-dyad subset, referring the top-ranked 25% under the non-biomarker model (M0 plus dyadic ECog mean and dyad-availability indicator, excluding APOE4, amyloid-PET Centiloid values, and hippocampal volume) would have captured 48% of eventual progressors versus 33% under M2; these operating characteristics are derived from the locked complete-dyad analysis in this section. Top-percentile capture and the global C-index measure different quantities and can diverge in small selected subsets; these ranking statistics are uncalibrated, derive from a highly selected research cohort, and should not be extrapolated as expected screening yields. This is a mathematical description of ranking, not a validated screening threshold, and should not be interpreted as clinical benefit.</w:t>
      </w: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color w:val="000000" val="000000"/>
        </w:rPr>
        <w:drawing>
          <wp:inline xmlns:a="http://schemas.openxmlformats.org/drawingml/2006/main" xmlns:pic="http://schemas.openxmlformats.org/drawingml/2006/picture">
            <wp:extent cx="5029200" cy="35204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m_overal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520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</w:pPr>
      <w:r>
        <w:rPr>
          <w:rFonts w:ascii="Times New Roman" w:hAnsi="Times New Roman" w:cs="Times New Roman" w:eastAsia="Times New Roman"/>
          <w:color w:val="000000" val="000000"/>
        </w:rPr>
        <w:t>Supplemental Figure 2. Overall cumulative event rate in the ADNI primary sample. Shaded band: 95% confidence interval.</w:t>
      </w: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color w:val="000000" val="000000"/>
        </w:rPr>
        <w:drawing>
          <wp:inline xmlns:a="http://schemas.openxmlformats.org/drawingml/2006/main" xmlns:pic="http://schemas.openxmlformats.org/drawingml/2006/picture">
            <wp:extent cx="5943600" cy="542545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m_quartiles_by_horiz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254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</w:pPr>
      <w:r>
        <w:rPr>
          <w:rFonts w:ascii="Times New Roman" w:hAnsi="Times New Roman" w:cs="Times New Roman" w:eastAsia="Times New Roman"/>
          <w:color w:val="000000" val="000000"/>
        </w:rPr>
        <w:t>Supplemental Figure 3. Observed cumulative event rate by predicted-risk quartile at 1, 2, 3 and 5 years. For each horizon, quartiles are based on the predicted event probability from a post-hoc univariate Cox model fitted to the OOF risk score; higher quartiles correspond to higher predicted risk.</w:t>
      </w:r>
    </w:p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S4. Sensitivity analyses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3. Sensitivity analyses (reproduces main Table 3; provided for cross-reference during peer review). Minimum-follow-up analyses included participants with at least the specified duration of observed follow-up or an observed primary event before that threshold. The primary model hierarchy and M3-M2 contrast were prespecified; sensitivity analyses evaluating follow-up duration, protocol era, and dyad availability were conducted to assess the internal stability of the primary estimates. The M2-without-missingness row tests whether the conventional baseline is already influenced by biomarker missingness indicators. The M2-plus-availability row quantifies the increment from adding only the dyad-availability indicator to the conventional model. The ECog-beyond-availability row reports the increment from adding observed ECog scale scores to the availability-only model. The score-only row separates the ECog scale-score increment from the dyad-availability indicator. The IPCW row reports a censoring-robust analogue of the primary contrast. The complete-dyad M2-versus-M3 row has weak baseline models (M0 C-index 0.452, M2 C-index 0.535); an M0 C-index below 0.5 indicates that the small, highly selected complete-dyad subset is too atypical for the baseline model to reproduce its usual ranking, so those estimates are unstable and shown for completeness only.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1679"/>
        <w:gridCol w:w="1679"/>
        <w:gridCol w:w="1679"/>
        <w:gridCol w:w="1679"/>
        <w:gridCol w:w="1679"/>
        <w:gridCol w:w="1679"/>
      </w:tblGrid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Sensitivity / analysis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Events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Reference C-index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Extended-model C-index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Extended–Ref ΔC (95% CI)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Primary (raw, full sample)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0.680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0.758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0.078 (0.050 to 0.106)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 plus dyad-availability indicator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0.680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0.733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0.052 (0.023 to 0.082)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ECog scale-score contribution beyond dyad availability (M3 vs M2 + dyad availability)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0.733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0.758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0.026 (0.007 to 0.045)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 without missingness indicators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0.649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0.680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0.032 (0.008 to 0.058)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Score-only model (M3 without dyad-availability indicator vs M2)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0.680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0.690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0.010 (-0.004 to 0.024)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Uno's IPCW C-index (M3 vs M2)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0.687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0.792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0.105 (0.050 to 0.174)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Complete-dyad subset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418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54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0.535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0.725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0.190 (0.091 to 0.293)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Minimum follow-up ≥0.5 years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971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0.761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0.080 (0.051 to 0.109)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Protocol-era (landmark-year band) candidate variables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0.694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0.775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0.081 (0.052 to 0.113)</w:t>
            </w:r>
          </w:p>
        </w:tc>
      </w:tr>
    </w:tbl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S5. Interval-censoring sensitivity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4. Interval-censoring sensitivity (first-event, midpoint, last-known-normal).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1679"/>
        <w:gridCol w:w="1679"/>
        <w:gridCol w:w="1679"/>
        <w:gridCol w:w="1679"/>
        <w:gridCol w:w="1679"/>
        <w:gridCol w:w="1679"/>
      </w:tblGrid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Analysis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Events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Reference C-index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 C-index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M3–Ref ΔC (95% CI)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Interval-censoring: first-event endpoint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0.680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0.758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0.078 (0.050 to 0.106)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Interval-censoring: midpoint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0.675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0.749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0.073 (0.047 to 0.100)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Interval-censoring: last-known-normal endpoint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1643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0.698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0.752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0.054 (0.028 to 0.077)</w:t>
            </w:r>
          </w:p>
        </w:tc>
      </w:tr>
    </w:tbl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S6. Hippocampal volume (MRI) availability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5. Hippocampal volume (MRI) availability and event rate in the ADNI primary sample. Hippocampal volume was derived from structural T1-weighted MRI, so MRI availability proxies hippocampal volume availability here. Availability was coded as 0 = unavailable/missing and 1 = available.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2518"/>
        <w:gridCol w:w="2518"/>
        <w:gridCol w:w="2518"/>
        <w:gridCol w:w="2518"/>
      </w:tblGrid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(MRI) availability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n_events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event_rate_pct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787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118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15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856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103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12</w:t>
            </w:r>
          </w:p>
        </w:tc>
      </w:tr>
    </w:tbl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S7. Repeated nested-CV split stability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6. Repeat-level out-of-fold discrimination and incremental C-index contrasts across 10 independently generated stratified 5-fold outer partitions. Each repetition re-estimated preprocessing and inner 3-fold penalty selection; the contrasts are descriptive stability summaries, not independent hypothesis tests.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Repeat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Seed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 C-index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 C-index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 C-index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M3–M2 ΔC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M4–M3 ΔC</w:t>
            </w:r>
          </w:p>
        </w:tc>
      </w:tr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0.681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0.756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0.758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0.074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0.002</w:t>
            </w:r>
          </w:p>
        </w:tc>
      </w:tr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142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0.681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0.757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0.757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0.076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242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0.679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0.755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0.755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0.076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342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0.687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0.755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0.754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0.068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-0.001</w:t>
            </w:r>
          </w:p>
        </w:tc>
      </w:tr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442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0.680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0.758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0.755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0.079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-0.003</w:t>
            </w:r>
          </w:p>
        </w:tc>
      </w:tr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6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542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0.679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0.756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0.756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0.076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642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0.692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0.758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0.758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0.066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742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0.759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0.757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0.078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-0.002</w:t>
            </w:r>
          </w:p>
        </w:tc>
      </w:tr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9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842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0.677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0.751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0.748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0.075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-0.003</w:t>
            </w:r>
          </w:p>
        </w:tc>
      </w:tr>
      <w:tr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10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942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0.682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0.758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0.757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0.076</w:t>
            </w:r>
          </w:p>
        </w:tc>
        <w:tc>
          <w:tcPr>
            <w:tcW w:type="dxa" w:w="2078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-0.001</w:t>
            </w:r>
          </w:p>
        </w:tc>
      </w:tr>
    </w:tbl>
    <w:p>
      <w:pPr>
        <w:spacing w:line="480" w:lineRule="auto"/>
        <w:jc w:val="center"/>
      </w:pPr>
      <w:r>
        <w:rPr>
          <w:rFonts w:ascii="Times New Roman" w:hAnsi="Times New Roman" w:cs="Times New Roman" w:eastAsia="Times New Roman"/>
          <w:color w:val="000000" val="000000"/>
        </w:rPr>
        <w:drawing>
          <wp:inline xmlns:a="http://schemas.openxmlformats.org/drawingml/2006/main" xmlns:pic="http://schemas.openxmlformats.org/drawingml/2006/picture">
            <wp:extent cx="5303520" cy="35501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lit_stability_10repeat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550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Figure 4. Split stability of incremental discrimination across repeated nested cross-validation partitions. Points and connecting lines show repeat-level pooled out-of-fold ΔC estimates for M3–M2 and M4–M3; the dashed horizontal line denotes no incremental discrimination.</w:t>
      </w:r>
    </w:p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S8. Proportional-hazards diagnostics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7. Schoenfeld tests using the M3 and M4 predictor specifications (descriptive full-sample ridge-stabilized Cox fit). These are exploratory post-fit diagnostics from a descriptive full-sample Cox model with the same predictor specification, imputation, and coding as the primary elastic-net models; they are not a formal proof that the penalized nested-CV models satisfy proportional hazards.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1679"/>
        <w:gridCol w:w="1679"/>
        <w:gridCol w:w="1679"/>
        <w:gridCol w:w="1679"/>
        <w:gridCol w:w="1679"/>
      </w:tblGrid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model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Variable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test_statistic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degrees_of_freedom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0.820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0.365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2.272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0.132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0.122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0.726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2.730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0.098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0.002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0.962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 availability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2.197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0.138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0.650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0.420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0.015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0.902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3.988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0.046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0.006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0.937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Dyadic ECog mean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1.932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0.165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1.124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0.289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 sex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2.212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0.137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0.753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0.386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2.363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0.124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0.120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0.729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2.677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0.102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0.005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0.945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 availability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2.093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0.148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0.618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0.432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0.015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0.902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Self–informant gap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0.185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0.667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3.879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0.049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0.008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0.930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Dyadic ECog mean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1.229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0.268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1.145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0.285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 missingness indicator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</w:tr>
      <w:tr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 sex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2.249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2909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0.134</w:t>
            </w:r>
          </w:p>
        </w:tc>
      </w:tr>
    </w:tbl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7 (continued). Global proportional-hazards test.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1679"/>
        <w:gridCol w:w="1679"/>
        <w:gridCol w:w="1679"/>
        <w:gridCol w:w="1679"/>
        <w:gridCol w:w="1679"/>
        <w:gridCol w:w="1679"/>
      </w:tblGrid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test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test_statistic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degrees_of_freedom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p_value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n_events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n_variables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proportional_hazard_test (rank) — M3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18.071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15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0.259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15</w:t>
            </w:r>
          </w:p>
        </w:tc>
      </w:tr>
      <w:tr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proportional_hazard_test (rank) — M4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17.340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0.364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221</w:t>
            </w:r>
          </w:p>
        </w:tc>
        <w:tc>
          <w:tcPr>
            <w:tcW w:type="dxa" w:w="2424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</w:t>
            </w:r>
          </w:p>
        </w:tc>
      </w:tr>
    </w:tbl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color w:val="000000" val="000000"/>
        </w:rPr>
        <w:drawing>
          <wp:inline xmlns:a="http://schemas.openxmlformats.org/drawingml/2006/main" xmlns:pic="http://schemas.openxmlformats.org/drawingml/2006/picture">
            <wp:extent cx="5486400" cy="31350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oenfeld_mean_plo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</w:pPr>
      <w:r>
        <w:rPr>
          <w:rFonts w:ascii="Times New Roman" w:hAnsi="Times New Roman" w:cs="Times New Roman" w:eastAsia="Times New Roman"/>
          <w:color w:val="000000" val="000000"/>
        </w:rPr>
        <w:t>Supplemental Figure 5. Scaled Schoenfeld residual mean trajectory for the dyadic mean in the primary M3 model. A flat smooth line would support proportional hazards; a systematic trend suggests time-varying effects.</w:t>
      </w:r>
    </w:p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S9. Model and predictor dictionary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8. Model and predictor dictionary for the prespecified model hierarchy. Each model nests the preceding model. Continuous and binary predictors subject to missingness were median-imputed within the outer-training fold. Missingness indicators were included for age, education, MMSE, APOE4 carrier status, amyloid-PET Centiloid, and hippocampal volume. Female sex had one missing value and was median-imputed without a separate missingness indicator because of its negligible missingness. Dyadic ECog mean and self–informant gap were median-imputed when unavailable and accompanied by a dyad-availability indicator; no separate ECog score-missingness indicators were included.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2518"/>
        <w:gridCol w:w="2518"/>
        <w:gridCol w:w="2518"/>
        <w:gridCol w:w="2518"/>
      </w:tblGrid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model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feature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role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imputation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 sex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no separate missingness indicator included (negligible missingness)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 sex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no separate missingness indicator included (negligible missingness)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 sex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no separate missingness indicator included (negligible missingness)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Dyadic ECog mean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observed when a complete dyad is available; median-imputed score accompanied by the dyad-availability indicator (no separate score-missingness indicator)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 availability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observed indicator (1 when both ECog reports are available, 0 otherwise); not imputed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 sex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no separate missingness indicator included (negligible missingness)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 imputed within outer-training fold; missingness flag added automatically if missing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Dyadic ECog mean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observed when a complete dyad is available; median-imputed score accompanied by the dyad-availability indicator (no separate score-missingness indicator)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Self–informant gap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observed when a complete dyad is available; median-imputed score accompanied by the dyad-availability indicator (no separate score-missingness indicator)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 availability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observed indicator (1 when both ECog reports are available, 0 otherwise); not imputed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missingness indicator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missingness flag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indicator set to 1 when base variable is missing; median-imputed base used in base variable</w:t>
            </w:r>
          </w:p>
        </w:tc>
      </w:tr>
    </w:tbl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S10. Coefficient selection frequencies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9. Cross-fold elastic-net coefficient summary for the primary analysis.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916"/>
        <w:gridCol w:w="916"/>
        <w:gridCol w:w="916"/>
        <w:gridCol w:w="916"/>
        <w:gridCol w:w="916"/>
        <w:gridCol w:w="916"/>
        <w:gridCol w:w="916"/>
        <w:gridCol w:w="916"/>
        <w:gridCol w:w="916"/>
        <w:gridCol w:w="916"/>
        <w:gridCol w:w="916"/>
      </w:tblGrid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model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predictor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n_folds_selected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n_folds_positive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n_folds_negative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median_std_coef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min_std_coef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max_std_coef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median_orig_coef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min_orig_coef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max_orig_coef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0.372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0.317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0.394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0.051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0.043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0.053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-0.190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-0.245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-0.178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-0.075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-0.098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-0.071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-0.155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-0.226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-0.110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-0.132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-0.198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-0.094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 sex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-0.373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-0.445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-0.333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-0.373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-0.445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-0.333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0.165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0.156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0.211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0.023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0.021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0.029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0.182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0.136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0.367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0.182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0.136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0.367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0.652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0.652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0.212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0.168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0.248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0.007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0.011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0.193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0.050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0.272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0.193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0.050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0.272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-0.158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-0.198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-0.145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-0.062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-0.080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-0.058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-0.236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-0.293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-0.112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0.506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0.351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0.611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0.506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0.351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0.611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-0.105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-0.202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-0.099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-0.090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-0.176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-0.085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 sex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-0.486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-0.659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-0.366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-0.486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-0.659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-0.366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0.096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0.068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0.138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0.013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0.019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0.172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0.289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0.172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0.289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0.144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0.111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0.196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0.008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0.027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0.059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0.027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0.059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 availability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-1.665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-1.794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-1.317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-1.665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-1.794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-1.317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-0.074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-0.120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-0.055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-0.029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-0.047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-0.022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-0.181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-0.231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-0.079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0.244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0.165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0.311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0.244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0.165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0.311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Dyadic ECog mean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0.258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0.215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0.308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2.015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1.715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2.339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-0.098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-0.139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-0.058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-0.084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-0.121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-0.049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 sex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-0.418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-0.470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-0.257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-0.418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-0.470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-0.257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0.094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0.073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0.140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0.013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0.010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0.019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Age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0.094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0.384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0.094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0.384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APOE4 carrier status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0.373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0.373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0.144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0.112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0.209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0.009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Amyloid-PET Centiloid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0.035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0.105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0.035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0.105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 availability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-1.504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-2.000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-1.320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-1.504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-2.000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-1.320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-0.073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-0.140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-0.044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-0.029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-0.055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-0.017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Education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Self–informant gap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-0.021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-0.030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-0.108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-0.148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-0.158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-0.259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-0.058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Hippocampal volume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0.220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0.122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0.296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0.220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0.122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0.296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Dyadic ECog mean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0.207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0.172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0.301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1.658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1.342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2.358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-0.112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-0.139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-0.053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-0.096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-0.121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-0.044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MMSE missingness indicator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0.000</w:t>
            </w:r>
          </w:p>
        </w:tc>
      </w:tr>
      <w:tr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Female sex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0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-0.312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-0.571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-0.254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-0.312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-0.571</w:t>
            </w:r>
          </w:p>
        </w:tc>
        <w:tc>
          <w:tcPr>
            <w:tcW w:type="dxa" w:w="1322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-0.254</w:t>
            </w:r>
          </w:p>
        </w:tc>
      </w:tr>
    </w:tbl>
    <w:p>
      <w:pPr>
        <w:pStyle w:val="Heading2"/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S11. TRIPOD checklist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This study follows the Transparent Reporting of a multivariable prediction model for Individual Prognosis Or Diagnosis (TRIPOD) Statement. The completed checklist below maps each TRIPOD item to the relevant section or explains why it is not applicable. [39]</w:t>
      </w:r>
    </w:p>
    <w:p>
      <w:pPr>
        <w:spacing w:line="480" w:lineRule="auto"/>
      </w:pPr>
      <w:r>
        <w:rPr>
          <w:rFonts w:ascii="Times New Roman" w:hAnsi="Times New Roman" w:cs="Times New Roman" w:eastAsia="Times New Roman"/>
          <w:color w:val="000000" val="000000"/>
        </w:rPr>
        <w:t>Supplemental Table 10. TRIPOD checklist for the ADNI prognostic model development and internal validation.</w:t>
      </w:r>
    </w:p>
    <w:tbl>
      <w:tblPr>
        <w:tblStyle w:val="TableGrid"/>
        <w:tblW w:type="dxa" w:w="9235440"/>
        <w:tblLayout w:type="autofit"/>
        <w:tblLook w:firstColumn="1" w:firstRow="1" w:lastColumn="0" w:lastRow="0" w:noHBand="0" w:noVBand="1" w:val="04A0"/>
      </w:tblPr>
      <w:tblGrid>
        <w:gridCol w:w="2518"/>
        <w:gridCol w:w="2518"/>
        <w:gridCol w:w="2518"/>
        <w:gridCol w:w="2518"/>
      </w:tblGrid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Item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Section / topic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Checklist item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Location / comment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Title and abstract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Title: exploratory prognostic modelling study in cognitively unimpaired ADNI participants; outcome: first recorded clinical diagnosis of MCI or AD dementia.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Title and abstract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Provide a summary of objectives, study design, setting, participants, sample size, predictors, outcome, statistical analysis, results, and conclusions.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Structured Abstract.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3a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Introduction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Explain the medical context (diagnostic or prognostic) and rationale for developing or validating the multivariable prediction model, including references to existing models.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Introduction, paragraphs 1–2.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3b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Introduction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Specify the objectives, including whether the study describes the development or validation of the model or both.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Introduction, paragraph 2: internal development/validation in ADNI; no external validation.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4a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Methods/Study design: ADNI multi-site observational cohort.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4b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Specify the key study dates, including start of accrual; end of accrual; and, if applicable, end of follow-up.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Methods/Study design: ADNI data files were downloaded on 31 January 2026 and all available follow-up records in the snapshot through 3 November 2025 were eligible for analysis. Landmark visits were participant-specific and are reported in the ADNI data dictionary.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5a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Methods/Study design: multi-site ADNI cohort in North America.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5b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Describe eligibility criteria for participants.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Methods/Study design: cognitively unimpaired at baseline, no prevalent MCI or AD; MMSE ≥24 and CDR=0 applied only to participants with recorded values.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5c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Give details of treatments received, if relevant.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N/A; observational cohort, no treatment assignment.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6a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Clearly define the outcome that is predicted by the prediction model, including how and when assessed.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Methods/Study design: first recorded clinical diagnosis of MCI or AD dementia after the landmark visit.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6b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Report any actions to blind assessment of the outcome to be predicted.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N/A; diagnoses are clinical assignments in ADNI.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7a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Methods/Predictors; Supplemental Table 8.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7b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Report any actions to blind assessment of predictors for the outcome and other predictors.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N/A; demographic and cognitive predictors were measured at the landmark visit. Biomarker predictors were selected as the closest available pre-event measurement within ±180 days of the landmark; therefore, they were temporally anchored to, but not necessarily measured exactly at, the landmark visit.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8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Explain how the study size was arrived at.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Methods/Study design: n=1,643 determined by ADNI availability and prespecified inclusion criteria.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9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Describe how missing data were handled (e.g., complete-case analysis, single imputation, multiple imputation) with details of any imputation method.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Methods/Predictors and Statistical analysis: fold-wise median imputation, missingness indicators.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10a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Describe how predictors were handled in the analyses.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Methods/Predictors and Statistical analysis: standardization, fold-wise imputation, penalty selection.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10b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Methods/Statistical analysis: elastic-net Cox, l1_ratio=0.5, lambda grid, nested 5x3 CV.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10c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For validation, describe how the predictions were calculated.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N/A for external validation; internal validation uses out-of-fold predictions (Methods/Statistical analysis).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10d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Specify all measures used to assess model performance and, if relevant, to compare multiple models.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Methods/Statistical analysis: C-index, paired bootstrap ΔC contrasts.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10e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Describe any model updating (e.g., recalibration) arising from the validation, if done.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N/A.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11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Provide details on how risk groups were created, if done.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Supplemental Figure 3: quartiles of the predicted event probability from a post-hoc univariate Cox model fitted to the OOF risk score (descriptive).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Methods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For validation, identify any differences from the development data in setting, eligibility criteria, outcome, and predictors.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N/A: no external validation; this is an ADNI internal cross-validation study.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13a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Results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Describe the flow of participants through the study, including the number of participants with and without the outcome.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Results/Supplemental Figure 1 and Table 1.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13b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Results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Describe the characteristics of the development data set and validation data set.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Table 1 reports the single ADNI sample used for internal development/validation.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14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Results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Specify the final prediction model (e.g., regression formula or coefficients).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Not applicable as a single deployable model: this study reports internally validated out-of-fold performance from nested cross-validation rather than a single final clinical prediction equation. Supplemental Table 9 reports cross-fold coefficient-selection frequencies and coefficient ranges for transparency.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15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Results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Report the prediction model performance measures.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Table 2, Figure 1, and primary results.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16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Results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Report the results from any model updating (e.g., recalibration).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N/A.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17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Results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Report the results of any evaluations of model performance in subgroups or sensitivity analyses.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Table 3 and Supplemental Tables.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18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Discussion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Discuss the practical usefulness of the model in the intended population.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Discussion, paragraphs 1 and 3: clinical utility and deployment were not established.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19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Discussion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Discuss the implications of the study for research and practice.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Discussion/Conclusion.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20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Other information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Provide information about the availability of supplemental resources, such as study protocol, statistical code, and datasets.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Data and code availability; public repository; link provided on the title page; Supplemental 1.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21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Other information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Describe sources of funding and other support and the role of funders.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Funding.</w:t>
            </w:r>
          </w:p>
        </w:tc>
      </w:tr>
      <w:tr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22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Other information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Declare any conflicts of interest.</w:t>
            </w:r>
          </w:p>
        </w:tc>
        <w:tc>
          <w:tcPr>
            <w:tcW w:type="dxa" w:w="3636"/>
          </w:tcPr>
          <w:p>
            <w:r>
              <w:rPr>
                <w:rFonts w:ascii="Times New Roman" w:hAnsi="Times New Roman" w:cs="Times New Roman" w:eastAsia="Times New Roman"/>
                <w:color w:val="000000" val="000000"/>
              </w:rPr>
              <w:t>Conflicts of interest.</w:t>
            </w:r>
          </w:p>
        </w:tc>
      </w:tr>
    </w:tbl>
    <w:sectPr w:rsidR="00FC693F" w:rsidRPr="0006063C" w:rsidSect="00034616">
      <w:headerReference w:type="default" r:id="rId14"/>
      <w:footerReference w:type="default" r:id="rId15"/>
      <w:headerReference w:type="first" r:id="rId16"/>
      <w:footerReference w:type="first" r:id="rId17"/>
      <w:headerReference w:type="even" r:id="rId18"/>
      <w:footerReference w:type="even" r:id="rId19"/>
      <w:pgSz w:w="15840" w:h="12240" w:orient="landscape"/>
      <w:pgMar w:top="720" w:right="648" w:bottom="720" w:left="648" w:header="720" w:footer="720" w:gutter="0"/>
      <w:cols w:space="720"/>
      <w:docGrid w:linePitch="360"/>
      <w:lnNumType w:countBy="1" w:start="0" w:restart="continuou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 w:color="000000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 w:color="000000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 w:color="000000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 w:color="000000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 w:color="000000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 w:color="000000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 w:color="000000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 w:color="000000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 w:color="000000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cs="Times New Roman" w:eastAsia="Times New Roman"/>
      <w:b/>
      <w:bCs/>
      <w:color w:val="000000" 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cs="Times New Roman" w:eastAsia="Times New Roman"/>
      <w:b/>
      <w:bCs/>
      <w:color w:val="000000" 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cs="Times New Roman" w:eastAsia="Times New Roman"/>
      <w:b/>
      <w:bCs/>
      <w:color w:val="000000" 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cs="Times New Roman" w:eastAsia="Times New Roman"/>
      <w:b/>
      <w:bCs/>
      <w:i/>
      <w:iCs/>
      <w:color w:val="000000" 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cs="Times New Roman" w:eastAsia="Times New Roman"/>
      <w:color w:val="000000" 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cs="Times New Roman" w:eastAsia="Times New Roman"/>
      <w:i/>
      <w:iCs/>
      <w:color w:val="000000" 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cs="Times New Roman" w:eastAsia="Times New Roman"/>
      <w:i/>
      <w:iCs/>
      <w:color w:val="000000" 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cs="Times New Roman" w:eastAsia="Times New Roman"/>
      <w:color w:val="000000" 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cs="Times New Roman" w:eastAsia="Times New Roman"/>
      <w:i/>
      <w:iCs/>
      <w:color w:val="000000" 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cs="Times New Roman" w:eastAsia="Times New Roman"/>
      <w:b/>
      <w:bCs/>
      <w:color w:val="000000" 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cs="Times New Roman" w:eastAsia="Times New Roman"/>
      <w:b/>
      <w:bCs/>
      <w:color w:val="000000" 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cs="Times New Roman" w:eastAsia="Times New Roman"/>
      <w:b/>
      <w:bCs/>
      <w:color w:val="000000" 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0000" w:themeColor="accent1"/>
      </w:pBdr>
      <w:spacing w:after="300" w:line="240" w:lineRule="auto"/>
      <w:contextualSpacing/>
    </w:pPr>
    <w:rPr>
      <w:rFonts w:ascii="Times New Roman" w:hAnsi="Times New Roman" w:cs="Times New Roman" w:eastAsia="Times New Roman"/>
      <w:color w:val="000000" 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cs="Times New Roman" w:eastAsia="Times New Roman"/>
      <w:color w:val="000000" 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cs="Times New Roman" w:eastAsia="Times New Roman"/>
      <w:i/>
      <w:iCs/>
      <w:color w:val="000000" 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cs="Times New Roman" w:eastAsia="Times New Roman"/>
      <w:i/>
      <w:iCs/>
      <w:color w:val="000000" 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cs="Times New Roman" w:eastAsia="Times New Roman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cs="Times New Roman" w:eastAsia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cs="Times New Roman" w:eastAsia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cs="Times New Roman" w:eastAsia="Times New Roman"/>
      <w:i/>
      <w:iCs/>
      <w:color w:val="000000" 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cs="Times New Roman" w:eastAsia="Times New Roman"/>
      <w:i/>
      <w:iCs/>
      <w:color w:val="000000" 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cs="Times New Roman" w:eastAsia="Times New Roman"/>
      <w:b/>
      <w:bCs/>
      <w:i/>
      <w:iCs/>
      <w:color w:val="000000" 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cs="Times New Roman" w:eastAsia="Times New Roman"/>
      <w:color w:val="000000" 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cs="Times New Roman" w:eastAsia="Times New Roman"/>
      <w:i/>
      <w:iCs/>
      <w:color w:val="000000" 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cs="Times New Roman" w:eastAsia="Times New Roman"/>
      <w:i/>
      <w:iCs/>
      <w:color w:val="000000" 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cs="Times New Roman" w:eastAsia="Times New Roman"/>
      <w:color w:val="000000" 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cs="Times New Roman" w:eastAsia="Times New Roman"/>
      <w:i/>
      <w:iCs/>
      <w:color w:val="000000" 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/>
      <w:bCs/>
      <w:color w:val="000000" 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cs="Times New Roman" w:eastAsia="Times New Roman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cs="Times New Roman" w:eastAsia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0000" w:themeColor="accent1"/>
      </w:pBdr>
      <w:spacing w:before="200" w:after="280"/>
      <w:ind w:left="936" w:right="936"/>
    </w:pPr>
    <w:rPr>
      <w:rFonts w:ascii="Times New Roman" w:hAnsi="Times New Roman" w:cs="Times New Roman" w:eastAsia="Times New Roman"/>
      <w:b/>
      <w:bCs/>
      <w:i/>
      <w:iCs/>
      <w:color w:val="000000" 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cs="Times New Roman" w:eastAsia="Times New Roman"/>
      <w:b/>
      <w:bCs/>
      <w:i/>
      <w:iCs/>
      <w:color w:val="000000" 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cs="Times New Roman" w:eastAsia="Times New Roman"/>
      <w:i/>
      <w:iCs/>
      <w:color w:val="000000" 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cs="Times New Roman" w:eastAsia="Times New Roman"/>
      <w:b/>
      <w:bCs/>
      <w:i/>
      <w:iCs/>
      <w:color w:val="000000" 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cs="Times New Roman" w:eastAsia="Times New Roman"/>
      <w:smallCaps/>
      <w:color w:val="000000" 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cs="Times New Roman" w:eastAsia="Times New Roman"/>
      <w:b/>
      <w:bCs/>
      <w:smallCaps/>
      <w:color w:val="000000" 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cs="Times New Roman" w:eastAsia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nil" w:color="000000"/>
          <w:bottom w:val="single" w:sz="8" w:space="0" w:color="000000" w:themeColor="text1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nil" w:color="000000"/>
          <w:bottom w:val="single" w:sz="8" w:space="0" w:color="000000" w:themeColor="text1"/>
          <w:right w:val="nil" w:color="000000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1"/>
          <w:left w:val="nil" w:color="000000"/>
          <w:bottom w:val="single" w:sz="8" w:space="0" w:color="000000" w:themeColor="accent1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1"/>
          <w:left w:val="nil" w:color="000000"/>
          <w:bottom w:val="single" w:sz="8" w:space="0" w:color="000000" w:themeColor="accent1"/>
          <w:right w:val="nil" w:color="000000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2"/>
          <w:left w:val="nil" w:color="000000"/>
          <w:bottom w:val="single" w:sz="8" w:space="0" w:color="000000" w:themeColor="accent2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2"/>
          <w:left w:val="nil" w:color="000000"/>
          <w:bottom w:val="single" w:sz="8" w:space="0" w:color="000000" w:themeColor="accent2"/>
          <w:right w:val="nil" w:color="000000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3"/>
          <w:left w:val="nil" w:color="000000"/>
          <w:bottom w:val="single" w:sz="8" w:space="0" w:color="000000" w:themeColor="accent3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3"/>
          <w:left w:val="nil" w:color="000000"/>
          <w:bottom w:val="single" w:sz="8" w:space="0" w:color="000000" w:themeColor="accent3"/>
          <w:right w:val="nil" w:color="000000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4"/>
          <w:left w:val="nil" w:color="000000"/>
          <w:bottom w:val="single" w:sz="8" w:space="0" w:color="000000" w:themeColor="accent4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4"/>
          <w:left w:val="nil" w:color="000000"/>
          <w:bottom w:val="single" w:sz="8" w:space="0" w:color="000000" w:themeColor="accent4"/>
          <w:right w:val="nil" w:color="000000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5"/>
          <w:left w:val="nil" w:color="000000"/>
          <w:bottom w:val="single" w:sz="8" w:space="0" w:color="000000" w:themeColor="accent5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5"/>
          <w:left w:val="nil" w:color="000000"/>
          <w:bottom w:val="single" w:sz="8" w:space="0" w:color="000000" w:themeColor="accent5"/>
          <w:right w:val="nil" w:color="000000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6"/>
          <w:left w:val="nil" w:color="000000"/>
          <w:bottom w:val="single" w:sz="8" w:space="0" w:color="000000" w:themeColor="accent6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6"/>
          <w:left w:val="nil" w:color="000000"/>
          <w:bottom w:val="single" w:sz="8" w:space="0" w:color="000000" w:themeColor="accent6"/>
          <w:right w:val="nil" w:color="000000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 w:color="000000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 w:color="000000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0000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0000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 w:color="000000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 w:color="000000"/>
          <w:insideV w:val="single" w:sz="8" w:space="0" w:color="000000" w:themeColor="accen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000000" w:themeFill="accent1" w:themeFillTint="3F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000000" w:themeFill="accent1" w:themeFillTint="3F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 w:color="000000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 w:color="000000"/>
          <w:insideV w:val="single" w:sz="8" w:space="0" w:color="000000" w:themeColor="accent2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000000" w:themeFill="accent2" w:themeFillTint="3F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000000" w:themeFill="accent2" w:themeFillTint="3F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 w:color="000000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 w:color="000000"/>
          <w:insideV w:val="single" w:sz="8" w:space="0" w:color="000000" w:themeColor="accent3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000000" w:themeFill="accent3" w:themeFillTint="3F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000000" w:themeFill="accent3" w:themeFillTint="3F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 w:color="000000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 w:color="000000"/>
          <w:insideV w:val="single" w:sz="8" w:space="0" w:color="000000" w:themeColor="accent4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000000" w:themeFill="accent4" w:themeFillTint="3F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000000" w:themeFill="accent4" w:themeFillTint="3F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 w:color="000000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 w:color="000000"/>
          <w:insideV w:val="single" w:sz="8" w:space="0" w:color="000000" w:themeColor="accent5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00000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00000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 w:color="000000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 w:color="000000"/>
          <w:insideV w:val="single" w:sz="8" w:space="0" w:color="000000" w:themeColor="accent6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000000" w:themeFill="accent6" w:themeFillTint="3F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000000" w:themeFill="accent6" w:themeFillTint="3F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text1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text1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 w:color="000000"/>
          <w:insideV w:val="nil" w:color="000000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1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1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 w:color="000000"/>
          <w:insideV w:val="nil" w:color="000000"/>
        </w:tcBorders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2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2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 w:color="000000"/>
          <w:insideV w:val="nil" w:color="000000"/>
        </w:tcBorders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3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3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 w:color="000000"/>
          <w:insideV w:val="nil" w:color="000000"/>
        </w:tcBorders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4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4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 w:color="000000"/>
          <w:insideV w:val="nil" w:color="000000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5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5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 w:color="000000"/>
          <w:insideV w:val="nil" w:color="000000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 w:color="000000"/>
          <w:insideV w:val="nil" w:color="000000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6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6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1"/>
      </w:tcPr>
    </w:tblStylePr>
    <w:tblStylePr w:type="la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2"/>
      </w:tcPr>
    </w:tblStylePr>
    <w:tblStylePr w:type="la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3"/>
      </w:tcPr>
    </w:tblStylePr>
    <w:tblStylePr w:type="la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4"/>
      </w:tcPr>
    </w:tblStylePr>
    <w:tblStylePr w:type="la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5"/>
      </w:tcPr>
    </w:tblStylePr>
    <w:tblStylePr w:type="la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6"/>
      </w:tcPr>
    </w:tblStylePr>
    <w:tblStylePr w:type="la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 w:color="000000"/>
          <w:bottom w:val="single" w:sz="8" w:space="0" w:color="000000" w:themeColor="text1"/>
        </w:tcBorders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00000" w:themeFill="text1" w:themeFillTint="3F"/>
      </w:tcPr>
    </w:tblStylePr>
    <w:tblStylePr w:type="band1Horz">
      <w:tblPr/>
      <w:tcPr>
        <w:shd w:val="clear" w:color="auto" w:fill="00000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 w:color="000000"/>
          <w:bottom w:val="single" w:sz="8" w:space="0" w:color="000000" w:themeColor="accent1"/>
        </w:tcBorders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000000" w:themeFill="accent1" w:themeFillTint="3F"/>
      </w:tcPr>
    </w:tblStylePr>
    <w:tblStylePr w:type="band1Horz">
      <w:tblPr/>
      <w:tcPr>
        <w:shd w:val="clear" w:color="auto" w:fill="00000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 w:color="000000"/>
          <w:bottom w:val="single" w:sz="8" w:space="0" w:color="000000" w:themeColor="accent2"/>
        </w:tcBorders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000000" w:themeFill="accent2" w:themeFillTint="3F"/>
      </w:tcPr>
    </w:tblStylePr>
    <w:tblStylePr w:type="band1Horz">
      <w:tblPr/>
      <w:tcPr>
        <w:shd w:val="clear" w:color="auto" w:fill="000000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 w:color="000000"/>
          <w:bottom w:val="single" w:sz="8" w:space="0" w:color="000000" w:themeColor="accent3"/>
        </w:tcBorders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000000" w:themeFill="accent3" w:themeFillTint="3F"/>
      </w:tcPr>
    </w:tblStylePr>
    <w:tblStylePr w:type="band1Horz">
      <w:tblPr/>
      <w:tcPr>
        <w:shd w:val="clear" w:color="auto" w:fill="000000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 w:color="000000"/>
          <w:bottom w:val="single" w:sz="8" w:space="0" w:color="000000" w:themeColor="accent4"/>
        </w:tcBorders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000000" w:themeFill="accent4" w:themeFillTint="3F"/>
      </w:tcPr>
    </w:tblStylePr>
    <w:tblStylePr w:type="band1Horz">
      <w:tblPr/>
      <w:tcPr>
        <w:shd w:val="clear" w:color="auto" w:fill="00000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 w:color="000000"/>
          <w:bottom w:val="single" w:sz="8" w:space="0" w:color="000000" w:themeColor="accent5"/>
        </w:tcBorders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000000" w:themeFill="accent5" w:themeFillTint="3F"/>
      </w:tcPr>
    </w:tblStylePr>
    <w:tblStylePr w:type="band1Horz">
      <w:tblPr/>
      <w:tcPr>
        <w:shd w:val="clear" w:color="auto" w:fill="00000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 w:color="000000"/>
          <w:bottom w:val="single" w:sz="8" w:space="0" w:color="000000" w:themeColor="accent6"/>
        </w:tcBorders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000000" w:themeFill="accent6" w:themeFillTint="3F"/>
      </w:tcPr>
    </w:tblStylePr>
    <w:tblStylePr w:type="band1Horz">
      <w:tblPr/>
      <w:tcPr>
        <w:shd w:val="clear" w:color="auto" w:fill="00000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text1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text1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text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text1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1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1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1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2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2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2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2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2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3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3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3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3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3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4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4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4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4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4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5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5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5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5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5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="Times New Roman" w:hAnsi="Times New Roman" w:cs="Times New Roman" w:eastAsia="Times New Roman"/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6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6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6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6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6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3F"/>
    </w:tcPr>
    <w:tblStylePr w:type="firstRow">
      <w:rPr>
        <w:rFonts w:ascii="Times New Roman" w:hAnsi="Times New Roman" w:cs="Times New Roman" w:eastAsia="Times New Roman"/>
        <w:b/>
        <w:bCs/>
      </w:rPr>
    </w:tblStylePr>
    <w:tblStylePr w:type="lastRow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text1" w:themeFillTint="7F"/>
      </w:tcPr>
    </w:tblStylePr>
    <w:tblStylePr w:type="band1Horz">
      <w:tblPr/>
      <w:tcPr>
        <w:shd w:val="clear" w:color="auto" w:fill="00000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3F"/>
    </w:tcPr>
    <w:tblStylePr w:type="firstRow">
      <w:rPr>
        <w:rFonts w:ascii="Times New Roman" w:hAnsi="Times New Roman" w:cs="Times New Roman" w:eastAsia="Times New Roman"/>
        <w:b/>
        <w:bCs/>
      </w:rPr>
    </w:tblStylePr>
    <w:tblStylePr w:type="lastRow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1" w:themeFillTint="7F"/>
      </w:tcPr>
    </w:tblStylePr>
    <w:tblStylePr w:type="band1Horz">
      <w:tblPr/>
      <w:tcPr>
        <w:shd w:val="clear" w:color="auto" w:fill="000000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3F"/>
    </w:tcPr>
    <w:tblStylePr w:type="firstRow">
      <w:rPr>
        <w:rFonts w:ascii="Times New Roman" w:hAnsi="Times New Roman" w:cs="Times New Roman" w:eastAsia="Times New Roman"/>
        <w:b/>
        <w:bCs/>
      </w:rPr>
    </w:tblStylePr>
    <w:tblStylePr w:type="lastRow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2" w:themeFillTint="7F"/>
      </w:tcPr>
    </w:tblStylePr>
    <w:tblStylePr w:type="band1Horz">
      <w:tblPr/>
      <w:tcPr>
        <w:shd w:val="clear" w:color="auto" w:fill="000000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3F"/>
    </w:tcPr>
    <w:tblStylePr w:type="firstRow">
      <w:rPr>
        <w:rFonts w:ascii="Times New Roman" w:hAnsi="Times New Roman" w:cs="Times New Roman" w:eastAsia="Times New Roman"/>
        <w:b/>
        <w:bCs/>
      </w:rPr>
    </w:tblStylePr>
    <w:tblStylePr w:type="lastRow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3" w:themeFillTint="7F"/>
      </w:tcPr>
    </w:tblStylePr>
    <w:tblStylePr w:type="band1Horz">
      <w:tblPr/>
      <w:tcPr>
        <w:shd w:val="clear" w:color="auto" w:fill="00000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3F"/>
    </w:tcPr>
    <w:tblStylePr w:type="firstRow">
      <w:rPr>
        <w:rFonts w:ascii="Times New Roman" w:hAnsi="Times New Roman" w:cs="Times New Roman" w:eastAsia="Times New Roman"/>
        <w:b/>
        <w:bCs/>
      </w:rPr>
    </w:tblStylePr>
    <w:tblStylePr w:type="lastRow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4" w:themeFillTint="7F"/>
      </w:tcPr>
    </w:tblStylePr>
    <w:tblStylePr w:type="band1Horz">
      <w:tblPr/>
      <w:tcPr>
        <w:shd w:val="clear" w:color="auto" w:fill="00000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3F"/>
    </w:tcPr>
    <w:tblStylePr w:type="firstRow">
      <w:rPr>
        <w:rFonts w:ascii="Times New Roman" w:hAnsi="Times New Roman" w:cs="Times New Roman" w:eastAsia="Times New Roman"/>
        <w:b/>
        <w:bCs/>
      </w:rPr>
    </w:tblStylePr>
    <w:tblStylePr w:type="lastRow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5" w:themeFillTint="7F"/>
      </w:tcPr>
    </w:tblStylePr>
    <w:tblStylePr w:type="band1Horz">
      <w:tblPr/>
      <w:tcPr>
        <w:shd w:val="clear" w:color="auto" w:fill="000000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3F"/>
    </w:tcPr>
    <w:tblStylePr w:type="firstRow">
      <w:rPr>
        <w:rFonts w:ascii="Times New Roman" w:hAnsi="Times New Roman" w:cs="Times New Roman" w:eastAsia="Times New Roman"/>
        <w:b/>
        <w:bCs/>
      </w:rPr>
    </w:tblStylePr>
    <w:tblStylePr w:type="lastRow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shd w:val="clear" w:color="auto" w:fill="000000" w:themeFill="accent6" w:themeFillTint="7F"/>
      </w:tcPr>
    </w:tblStylePr>
    <w:tblStylePr w:type="band1Horz">
      <w:tblPr/>
      <w:tcPr>
        <w:shd w:val="clear" w:color="auto" w:fill="00000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3F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text1" w:themeFillTint="19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rFonts w:ascii="Times New Roman" w:hAnsi="Times New Roman" w:cs="Times New Roman" w:eastAsia="Times New Roman"/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Tint="33"/>
      </w:tcPr>
    </w:tblStylePr>
    <w:tblStylePr w:type="band1Vert">
      <w:tblPr/>
      <w:tcPr>
        <w:shd w:val="clear" w:color="auto" w:fill="00000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00000" w:themeFill="text1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3F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1" w:themeFillTint="19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rFonts w:ascii="Times New Roman" w:hAnsi="Times New Roman" w:cs="Times New Roman" w:eastAsia="Times New Roman"/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Tint="33"/>
      </w:tcPr>
    </w:tblStylePr>
    <w:tblStylePr w:type="band1Vert">
      <w:tblPr/>
      <w:tcPr>
        <w:shd w:val="clear" w:color="auto" w:fill="000000" w:themeFill="accent1" w:themeFillTint="7F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000000" w:themeFill="accent1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3F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2" w:themeFillTint="19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rFonts w:ascii="Times New Roman" w:hAnsi="Times New Roman" w:cs="Times New Roman" w:eastAsia="Times New Roman"/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Tint="33"/>
      </w:tcPr>
    </w:tblStylePr>
    <w:tblStylePr w:type="band1Vert">
      <w:tblPr/>
      <w:tcPr>
        <w:shd w:val="clear" w:color="auto" w:fill="000000" w:themeFill="accent2" w:themeFillTint="7F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000000" w:themeFill="accent2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3F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3" w:themeFillTint="19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rFonts w:ascii="Times New Roman" w:hAnsi="Times New Roman" w:cs="Times New Roman" w:eastAsia="Times New Roman"/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Tint="33"/>
      </w:tcPr>
    </w:tblStylePr>
    <w:tblStylePr w:type="band1Vert">
      <w:tblPr/>
      <w:tcPr>
        <w:shd w:val="clear" w:color="auto" w:fill="000000" w:themeFill="accent3" w:themeFillTint="7F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000000" w:themeFill="accent3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3F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4" w:themeFillTint="19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rFonts w:ascii="Times New Roman" w:hAnsi="Times New Roman" w:cs="Times New Roman" w:eastAsia="Times New Roman"/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Tint="33"/>
      </w:tcPr>
    </w:tblStylePr>
    <w:tblStylePr w:type="band1Vert">
      <w:tblPr/>
      <w:tcPr>
        <w:shd w:val="clear" w:color="auto" w:fill="000000" w:themeFill="accent4" w:themeFillTint="7F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000000" w:themeFill="accent4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3F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5" w:themeFillTint="19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rFonts w:ascii="Times New Roman" w:hAnsi="Times New Roman" w:cs="Times New Roman" w:eastAsia="Times New Roman"/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Tint="33"/>
      </w:tcPr>
    </w:tblStylePr>
    <w:tblStylePr w:type="band1Vert">
      <w:tblPr/>
      <w:tcPr>
        <w:shd w:val="clear" w:color="auto" w:fill="00000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000000" w:themeFill="accent5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3F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6" w:themeFillTint="19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rFonts w:ascii="Times New Roman" w:hAnsi="Times New Roman" w:cs="Times New Roman" w:eastAsia="Times New Roman"/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Tint="33"/>
      </w:tcPr>
    </w:tblStylePr>
    <w:tblStylePr w:type="band1Vert">
      <w:tblPr/>
      <w:tcPr>
        <w:shd w:val="clear" w:color="auto" w:fill="000000" w:themeFill="accent6" w:themeFillTint="7F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000000" w:themeFill="accent6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3F"/>
    </w:tcPr>
    <w:tblStylePr w:type="fir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text1"/>
      </w:tcPr>
    </w:tblStylePr>
    <w:tblStylePr w:type="la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text1"/>
      </w:tcPr>
    </w:tblStylePr>
    <w:tblStylePr w:type="fir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text1"/>
      </w:tcPr>
    </w:tblStylePr>
    <w:tblStylePr w:type="la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text1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3F"/>
    </w:tcPr>
    <w:tblStylePr w:type="fir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1"/>
      </w:tcPr>
    </w:tblStylePr>
    <w:tblStylePr w:type="la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1"/>
      </w:tcPr>
    </w:tblStylePr>
    <w:tblStylePr w:type="fir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1"/>
      </w:tcPr>
    </w:tblStylePr>
    <w:tblStylePr w:type="la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1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3F"/>
    </w:tcPr>
    <w:tblStylePr w:type="fir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2"/>
      </w:tcPr>
    </w:tblStylePr>
    <w:tblStylePr w:type="la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2"/>
      </w:tcPr>
    </w:tblStylePr>
    <w:tblStylePr w:type="fir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2"/>
      </w:tcPr>
    </w:tblStylePr>
    <w:tblStylePr w:type="la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2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3F"/>
    </w:tcPr>
    <w:tblStylePr w:type="fir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3"/>
      </w:tcPr>
    </w:tblStylePr>
    <w:tblStylePr w:type="la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3"/>
      </w:tcPr>
    </w:tblStylePr>
    <w:tblStylePr w:type="fir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3"/>
      </w:tcPr>
    </w:tblStylePr>
    <w:tblStylePr w:type="la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3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3F"/>
    </w:tcPr>
    <w:tblStylePr w:type="fir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4"/>
      </w:tcPr>
    </w:tblStylePr>
    <w:tblStylePr w:type="la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4"/>
      </w:tcPr>
    </w:tblStylePr>
    <w:tblStylePr w:type="fir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4"/>
      </w:tcPr>
    </w:tblStylePr>
    <w:tblStylePr w:type="la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4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3F"/>
    </w:tcPr>
    <w:tblStylePr w:type="fir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5"/>
      </w:tcPr>
    </w:tblStylePr>
    <w:tblStylePr w:type="la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5"/>
      </w:tcPr>
    </w:tblStylePr>
    <w:tblStylePr w:type="fir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5"/>
      </w:tcPr>
    </w:tblStylePr>
    <w:tblStylePr w:type="la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5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3F"/>
    </w:tcPr>
    <w:tblStylePr w:type="fir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6"/>
      </w:tcPr>
    </w:tblStylePr>
    <w:tblStylePr w:type="lastRow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6"/>
      </w:tcPr>
    </w:tblStylePr>
    <w:tblStylePr w:type="fir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6"/>
      </w:tcPr>
    </w:tblStylePr>
    <w:tblStylePr w:type="lastCol">
      <w:rPr>
        <w:rFonts w:ascii="Times New Roman" w:hAnsi="Times New Roman" w:cs="Times New Roman" w:eastAsia="Times New Roman"/>
        <w:b/>
        <w:bCs/>
        <w:i w:val="0"/>
        <w:iCs w:val="0"/>
        <w:color w:val="000000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6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1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2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3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4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6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19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2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text1" w:themeFillShade="99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text1" w:themeShade="99"/>
          <w:insideV w:val="nil" w:color="000000"/>
        </w:tcBorders>
        <w:shd w:val="clear" w:color="auto" w:fill="000000" w:themeFill="text1" w:themeFillShade="99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00000" w:themeFill="text1" w:themeFillTint="66"/>
      </w:tcPr>
    </w:tblStylePr>
    <w:tblStylePr w:type="band1Horz">
      <w:tblPr/>
      <w:tcPr>
        <w:shd w:val="clear" w:color="auto" w:fill="000000" w:themeFill="text1" w:themeFillTint="7F"/>
      </w:tcPr>
    </w:tblStylePr>
    <w:tblStylePr w:type="neCell">
      <w:rPr>
        <w:rFonts w:ascii="Times New Roman" w:hAnsi="Times New Roman" w:cs="Times New Roman" w:eastAsia="Times New Roman"/>
        <w:color w:val="000000" val="000000"/>
      </w:rPr>
    </w:tblStylePr>
    <w:tblStylePr w:type="nwCell">
      <w:rPr>
        <w:rFonts w:ascii="Times New Roman" w:hAnsi="Times New Roman" w:cs="Times New Roman" w:eastAsia="Times New Roman"/>
        <w:color w:val="000000" 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19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2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1" w:themeFillShade="99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1" w:themeShade="99"/>
          <w:insideV w:val="nil" w:color="000000"/>
        </w:tcBorders>
        <w:shd w:val="clear" w:color="auto" w:fill="000000" w:themeFill="accent1" w:themeFillShade="99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Shade="99"/>
      </w:tcPr>
    </w:tblStylePr>
    <w:tblStylePr w:type="band1Vert">
      <w:tblPr/>
      <w:tcPr>
        <w:shd w:val="clear" w:color="auto" w:fill="000000" w:themeFill="accent1" w:themeFillTint="66"/>
      </w:tcPr>
    </w:tblStylePr>
    <w:tblStylePr w:type="band1Horz">
      <w:tblPr/>
      <w:tcPr>
        <w:shd w:val="clear" w:color="auto" w:fill="000000" w:themeFill="accent1" w:themeFillTint="7F"/>
      </w:tcPr>
    </w:tblStylePr>
    <w:tblStylePr w:type="neCell">
      <w:rPr>
        <w:rFonts w:ascii="Times New Roman" w:hAnsi="Times New Roman" w:cs="Times New Roman" w:eastAsia="Times New Roman"/>
        <w:color w:val="000000" val="000000"/>
      </w:rPr>
    </w:tblStylePr>
    <w:tblStylePr w:type="nwCell">
      <w:rPr>
        <w:rFonts w:ascii="Times New Roman" w:hAnsi="Times New Roman" w:cs="Times New Roman" w:eastAsia="Times New Roman"/>
        <w:color w:val="000000" 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19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2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2" w:themeFillShade="99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2" w:themeShade="99"/>
          <w:insideV w:val="nil" w:color="000000"/>
        </w:tcBorders>
        <w:shd w:val="clear" w:color="auto" w:fill="000000" w:themeFill="accent2" w:themeFillShade="99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Shade="99"/>
      </w:tcPr>
    </w:tblStylePr>
    <w:tblStylePr w:type="band1Vert">
      <w:tblPr/>
      <w:tcPr>
        <w:shd w:val="clear" w:color="auto" w:fill="000000" w:themeFill="accent2" w:themeFillTint="66"/>
      </w:tcPr>
    </w:tblStylePr>
    <w:tblStylePr w:type="band1Horz">
      <w:tblPr/>
      <w:tcPr>
        <w:shd w:val="clear" w:color="auto" w:fill="000000" w:themeFill="accent2" w:themeFillTint="7F"/>
      </w:tcPr>
    </w:tblStylePr>
    <w:tblStylePr w:type="neCell">
      <w:rPr>
        <w:rFonts w:ascii="Times New Roman" w:hAnsi="Times New Roman" w:cs="Times New Roman" w:eastAsia="Times New Roman"/>
        <w:color w:val="000000" val="000000"/>
      </w:rPr>
    </w:tblStylePr>
    <w:tblStylePr w:type="nwCell">
      <w:rPr>
        <w:rFonts w:ascii="Times New Roman" w:hAnsi="Times New Roman" w:cs="Times New Roman" w:eastAsia="Times New Roman"/>
        <w:color w:val="000000" 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19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4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3" w:themeFillShade="99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3" w:themeShade="99"/>
          <w:insideV w:val="nil" w:color="000000"/>
        </w:tcBorders>
        <w:shd w:val="clear" w:color="auto" w:fill="000000" w:themeFill="accent3" w:themeFillShade="99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Shade="99"/>
      </w:tcPr>
    </w:tblStylePr>
    <w:tblStylePr w:type="band1Vert">
      <w:tblPr/>
      <w:tcPr>
        <w:shd w:val="clear" w:color="auto" w:fill="000000" w:themeFill="accent3" w:themeFillTint="66"/>
      </w:tcPr>
    </w:tblStylePr>
    <w:tblStylePr w:type="band1Horz">
      <w:tblPr/>
      <w:tcPr>
        <w:shd w:val="clear" w:color="auto" w:fill="00000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19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3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4" w:themeFillShade="99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4" w:themeShade="99"/>
          <w:insideV w:val="nil" w:color="000000"/>
        </w:tcBorders>
        <w:shd w:val="clear" w:color="auto" w:fill="000000" w:themeFill="accent4" w:themeFillShade="99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Shade="99"/>
      </w:tcPr>
    </w:tblStylePr>
    <w:tblStylePr w:type="band1Vert">
      <w:tblPr/>
      <w:tcPr>
        <w:shd w:val="clear" w:color="auto" w:fill="000000" w:themeFill="accent4" w:themeFillTint="66"/>
      </w:tcPr>
    </w:tblStylePr>
    <w:tblStylePr w:type="band1Horz">
      <w:tblPr/>
      <w:tcPr>
        <w:shd w:val="clear" w:color="auto" w:fill="000000" w:themeFill="accent4" w:themeFillTint="7F"/>
      </w:tcPr>
    </w:tblStylePr>
    <w:tblStylePr w:type="neCell">
      <w:rPr>
        <w:rFonts w:ascii="Times New Roman" w:hAnsi="Times New Roman" w:cs="Times New Roman" w:eastAsia="Times New Roman"/>
        <w:color w:val="000000" val="000000"/>
      </w:rPr>
    </w:tblStylePr>
    <w:tblStylePr w:type="nwCell">
      <w:rPr>
        <w:rFonts w:ascii="Times New Roman" w:hAnsi="Times New Roman" w:cs="Times New Roman" w:eastAsia="Times New Roman"/>
        <w:color w:val="000000" 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19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6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5" w:themeFillShade="99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5" w:themeShade="99"/>
          <w:insideV w:val="nil" w:color="000000"/>
        </w:tcBorders>
        <w:shd w:val="clear" w:color="auto" w:fill="000000" w:themeFill="accent5" w:themeFillShade="99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000000" w:themeFill="accent5" w:themeFillTint="66"/>
      </w:tcPr>
    </w:tblStylePr>
    <w:tblStylePr w:type="band1Horz">
      <w:tblPr/>
      <w:tcPr>
        <w:shd w:val="clear" w:color="auto" w:fill="000000" w:themeFill="accent5" w:themeFillTint="7F"/>
      </w:tcPr>
    </w:tblStylePr>
    <w:tblStylePr w:type="neCell">
      <w:rPr>
        <w:rFonts w:ascii="Times New Roman" w:hAnsi="Times New Roman" w:cs="Times New Roman" w:eastAsia="Times New Roman"/>
        <w:color w:val="000000" val="000000"/>
      </w:rPr>
    </w:tblStylePr>
    <w:tblStylePr w:type="nwCell">
      <w:rPr>
        <w:rFonts w:ascii="Times New Roman" w:hAnsi="Times New Roman" w:cs="Times New Roman" w:eastAsia="Times New Roman"/>
        <w:color w:val="000000" 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19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5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6" w:themeFillShade="99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6" w:themeShade="99"/>
          <w:insideV w:val="nil" w:color="000000"/>
        </w:tcBorders>
        <w:shd w:val="clear" w:color="auto" w:fill="000000" w:themeFill="accent6" w:themeFillShade="99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Shade="99"/>
      </w:tcPr>
    </w:tblStylePr>
    <w:tblStylePr w:type="band1Vert">
      <w:tblPr/>
      <w:tcPr>
        <w:shd w:val="clear" w:color="auto" w:fill="000000" w:themeFill="accent6" w:themeFillTint="66"/>
      </w:tcPr>
    </w:tblStylePr>
    <w:tblStylePr w:type="band1Horz">
      <w:tblPr/>
      <w:tcPr>
        <w:shd w:val="clear" w:color="auto" w:fill="000000" w:themeFill="accent6" w:themeFillTint="7F"/>
      </w:tcPr>
    </w:tblStylePr>
    <w:tblStylePr w:type="neCell">
      <w:rPr>
        <w:rFonts w:ascii="Times New Roman" w:hAnsi="Times New Roman" w:cs="Times New Roman" w:eastAsia="Times New Roman"/>
        <w:color w:val="000000" val="000000"/>
      </w:rPr>
    </w:tblStylePr>
    <w:tblStylePr w:type="nwCell">
      <w:rPr>
        <w:rFonts w:ascii="Times New Roman" w:hAnsi="Times New Roman" w:cs="Times New Roman" w:eastAsia="Times New Roman"/>
        <w:color w:val="000000" 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19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2" w:themeFillShade="CC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Tint="3F"/>
      </w:tcPr>
    </w:tblStylePr>
    <w:tblStylePr w:type="band1Horz">
      <w:tblPr/>
      <w:tcPr>
        <w:shd w:val="clear" w:color="auto" w:fill="000000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19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2" w:themeFillShade="CC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Tint="3F"/>
      </w:tcPr>
    </w:tblStylePr>
    <w:tblStylePr w:type="band1Horz">
      <w:tblPr/>
      <w:tcPr>
        <w:shd w:val="clear" w:color="auto" w:fill="000000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19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2" w:themeFillShade="CC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Tint="3F"/>
      </w:tcPr>
    </w:tblStylePr>
    <w:tblStylePr w:type="band1Horz">
      <w:tblPr/>
      <w:tcPr>
        <w:shd w:val="clear" w:color="auto" w:fill="000000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19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4" w:themeFillShade="CC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Tint="3F"/>
      </w:tcPr>
    </w:tblStylePr>
    <w:tblStylePr w:type="band1Horz">
      <w:tblPr/>
      <w:tcPr>
        <w:shd w:val="clear" w:color="auto" w:fill="000000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19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3" w:themeFillShade="CC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Tint="3F"/>
      </w:tcPr>
    </w:tblStylePr>
    <w:tblStylePr w:type="band1Horz">
      <w:tblPr/>
      <w:tcPr>
        <w:shd w:val="clear" w:color="auto" w:fill="000000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19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6" w:themeFillShade="CC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Tint="3F"/>
      </w:tcPr>
    </w:tblStylePr>
    <w:tblStylePr w:type="band1Horz">
      <w:tblPr/>
      <w:tcPr>
        <w:shd w:val="clear" w:color="auto" w:fill="000000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19"/>
    </w:tcPr>
    <w:tblStylePr w:type="fir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5" w:themeFillShade="CC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Tint="3F"/>
      </w:tcPr>
    </w:tblStylePr>
    <w:tblStylePr w:type="band1Horz">
      <w:tblPr/>
      <w:tcPr>
        <w:shd w:val="clear" w:color="auto" w:fill="00000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33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shd w:val="clear" w:color="auto" w:fill="000000" w:themeFill="text1" w:themeFillTint="66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text1" w:themeFillTint="66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text1" w:themeFillShade="BF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00000" w:themeFill="text1" w:themeFillTint="7F"/>
      </w:tcPr>
    </w:tblStylePr>
    <w:tblStylePr w:type="band1Horz">
      <w:tblPr/>
      <w:tcPr>
        <w:shd w:val="clear" w:color="auto" w:fill="00000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33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shd w:val="clear" w:color="auto" w:fill="000000" w:themeFill="accent1" w:themeFillTint="66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1" w:themeFillTint="66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1" w:themeFillShade="BF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1" w:themeFillShade="BF"/>
      </w:tcPr>
    </w:tblStylePr>
    <w:tblStylePr w:type="band1Vert">
      <w:tblPr/>
      <w:tcPr>
        <w:shd w:val="clear" w:color="auto" w:fill="000000" w:themeFill="accent1" w:themeFillTint="7F"/>
      </w:tcPr>
    </w:tblStylePr>
    <w:tblStylePr w:type="band1Horz">
      <w:tblPr/>
      <w:tcPr>
        <w:shd w:val="clear" w:color="auto" w:fill="000000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33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shd w:val="clear" w:color="auto" w:fill="000000" w:themeFill="accent2" w:themeFillTint="66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2" w:themeFillTint="66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2" w:themeFillShade="BF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2" w:themeFillShade="BF"/>
      </w:tcPr>
    </w:tblStylePr>
    <w:tblStylePr w:type="band1Vert">
      <w:tblPr/>
      <w:tcPr>
        <w:shd w:val="clear" w:color="auto" w:fill="000000" w:themeFill="accent2" w:themeFillTint="7F"/>
      </w:tcPr>
    </w:tblStylePr>
    <w:tblStylePr w:type="band1Horz">
      <w:tblPr/>
      <w:tcPr>
        <w:shd w:val="clear" w:color="auto" w:fill="000000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33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shd w:val="clear" w:color="auto" w:fill="000000" w:themeFill="accent3" w:themeFillTint="66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3" w:themeFillTint="66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3" w:themeFillShade="BF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3" w:themeFillShade="BF"/>
      </w:tcPr>
    </w:tblStylePr>
    <w:tblStylePr w:type="band1Vert">
      <w:tblPr/>
      <w:tcPr>
        <w:shd w:val="clear" w:color="auto" w:fill="000000" w:themeFill="accent3" w:themeFillTint="7F"/>
      </w:tcPr>
    </w:tblStylePr>
    <w:tblStylePr w:type="band1Horz">
      <w:tblPr/>
      <w:tcPr>
        <w:shd w:val="clear" w:color="auto" w:fill="000000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33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shd w:val="clear" w:color="auto" w:fill="000000" w:themeFill="accent4" w:themeFillTint="66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4" w:themeFillTint="66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4" w:themeFillShade="BF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4" w:themeFillShade="BF"/>
      </w:tcPr>
    </w:tblStylePr>
    <w:tblStylePr w:type="band1Vert">
      <w:tblPr/>
      <w:tcPr>
        <w:shd w:val="clear" w:color="auto" w:fill="000000" w:themeFill="accent4" w:themeFillTint="7F"/>
      </w:tcPr>
    </w:tblStylePr>
    <w:tblStylePr w:type="band1Horz">
      <w:tblPr/>
      <w:tcPr>
        <w:shd w:val="clear" w:color="auto" w:fill="00000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33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shd w:val="clear" w:color="auto" w:fill="000000" w:themeFill="accent5" w:themeFillTint="66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5" w:themeFillTint="66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5" w:themeFillShade="BF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000000" w:themeFill="accent5" w:themeFillTint="7F"/>
      </w:tcPr>
    </w:tblStylePr>
    <w:tblStylePr w:type="band1Horz">
      <w:tblPr/>
      <w:tcPr>
        <w:shd w:val="clear" w:color="auto" w:fill="000000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33"/>
    </w:tcPr>
    <w:tblStylePr w:type="firstRow">
      <w:rPr>
        <w:rFonts w:ascii="Times New Roman" w:hAnsi="Times New Roman" w:cs="Times New Roman" w:eastAsia="Times New Roman"/>
        <w:b/>
        <w:bCs/>
      </w:rPr>
      <w:tblPr/>
      <w:tcPr>
        <w:shd w:val="clear" w:color="auto" w:fill="000000" w:themeFill="accent6" w:themeFillTint="66"/>
      </w:tcPr>
    </w:tblStylePr>
    <w:tblStylePr w:type="lastRow">
      <w:rPr>
        <w:rFonts w:ascii="Times New Roman" w:hAnsi="Times New Roman" w:cs="Times New Roman" w:eastAsia="Times New Roman"/>
        <w:b/>
        <w:bCs/>
        <w:color w:val="000000" val="000000"/>
      </w:rPr>
      <w:tblPr/>
      <w:tcPr>
        <w:shd w:val="clear" w:color="auto" w:fill="000000" w:themeFill="accent6" w:themeFillTint="66"/>
      </w:tcPr>
    </w:tblStylePr>
    <w:tblStylePr w:type="fir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6" w:themeFillShade="BF"/>
      </w:tcPr>
    </w:tblStylePr>
    <w:tblStylePr w:type="lastCol">
      <w:rPr>
        <w:rFonts w:ascii="Times New Roman" w:hAnsi="Times New Roman" w:cs="Times New Roman" w:eastAsia="Times New Roman"/>
        <w:color w:val="000000" val="000000"/>
      </w:rPr>
      <w:tblPr/>
      <w:tcPr>
        <w:shd w:val="clear" w:color="auto" w:fill="000000" w:themeFill="accent6" w:themeFillShade="BF"/>
      </w:tcPr>
    </w:tblStylePr>
    <w:tblStylePr w:type="band1Vert">
      <w:tblPr/>
      <w:tcPr>
        <w:shd w:val="clear" w:color="auto" w:fill="000000" w:themeFill="accent6" w:themeFillTint="7F"/>
      </w:tcPr>
    </w:tblStylePr>
    <w:tblStylePr w:type="band1Horz">
      <w:tblPr/>
      <w:tcPr>
        <w:shd w:val="clear" w:color="auto" w:fill="000000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0000" w:themeColor="accent1"/>
      </w:pBdr>
      <w:spacing w:before="200" w:after="280"/>
      <w:ind w:left="936" w:right="936"/>
    </w:pPr>
    <w:rPr>
      <w:b/>
      <w:bCs/>
      <w:i/>
      <w:iCs/>
      <w:color w:val="4F81BD" 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 w:color="000000"/>
          <w:bottom w:val="single" w:sz="8" w:space="0" w:color="000000" w:themeColor="text1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 w:color="000000"/>
          <w:bottom w:val="single" w:sz="8" w:space="0" w:color="000000" w:themeColor="text1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 w:color="000000"/>
          <w:bottom w:val="single" w:sz="8" w:space="0" w:color="000000" w:themeColor="accent1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 w:color="000000"/>
          <w:bottom w:val="single" w:sz="8" w:space="0" w:color="000000" w:themeColor="accent1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 w:color="000000"/>
          <w:bottom w:val="single" w:sz="8" w:space="0" w:color="000000" w:themeColor="accent2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 w:color="000000"/>
          <w:bottom w:val="single" w:sz="8" w:space="0" w:color="000000" w:themeColor="accent2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 w:color="000000"/>
          <w:bottom w:val="single" w:sz="8" w:space="0" w:color="000000" w:themeColor="accent3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 w:color="000000"/>
          <w:bottom w:val="single" w:sz="8" w:space="0" w:color="000000" w:themeColor="accent3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 w:color="000000"/>
          <w:bottom w:val="single" w:sz="8" w:space="0" w:color="000000" w:themeColor="accent4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 w:color="000000"/>
          <w:bottom w:val="single" w:sz="8" w:space="0" w:color="000000" w:themeColor="accent4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 w:color="000000"/>
          <w:bottom w:val="single" w:sz="8" w:space="0" w:color="000000" w:themeColor="accent5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 w:color="000000"/>
          <w:bottom w:val="single" w:sz="8" w:space="0" w:color="000000" w:themeColor="accent5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 w:color="000000"/>
          <w:bottom w:val="single" w:sz="8" w:space="0" w:color="000000" w:themeColor="accent6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 w:color="000000"/>
          <w:bottom w:val="single" w:sz="8" w:space="0" w:color="000000" w:themeColor="accent6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Tint="3F"/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 w:color="000000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 w:color="000000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0000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0000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 w:color="000000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 w:color="000000"/>
          <w:insideV w:val="single" w:sz="8" w:space="0" w:color="00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000000" w:themeFill="accent1" w:themeFillTint="3F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000000" w:themeFill="accent1" w:themeFillTint="3F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 w:color="000000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 w:color="000000"/>
          <w:insideV w:val="single" w:sz="8" w:space="0" w:color="0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000000" w:themeFill="accent2" w:themeFillTint="3F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000000" w:themeFill="accent2" w:themeFillTint="3F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 w:color="000000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 w:color="000000"/>
          <w:insideV w:val="single" w:sz="8" w:space="0" w:color="00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000000" w:themeFill="accent3" w:themeFillTint="3F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000000" w:themeFill="accent3" w:themeFillTint="3F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 w:color="000000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 w:color="000000"/>
          <w:insideV w:val="single" w:sz="8" w:space="0" w:color="000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000000" w:themeFill="accent4" w:themeFillTint="3F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000000" w:themeFill="accent4" w:themeFillTint="3F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 w:color="000000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 w:color="000000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00000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00000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 w:color="000000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 w:color="000000"/>
          <w:insideV w:val="single" w:sz="8" w:space="0" w:color="0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000000" w:themeFill="accent6" w:themeFillTint="3F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000000" w:themeFill="accent6" w:themeFillTint="3F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text1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text1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 w:color="000000"/>
          <w:insideV w:val="nil" w:color="000000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1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1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 w:color="000000"/>
          <w:insideV w:val="nil" w:color="000000"/>
        </w:tcBorders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2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2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 w:color="000000"/>
          <w:insideV w:val="nil" w:color="000000"/>
        </w:tcBorders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3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3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 w:color="000000"/>
          <w:insideV w:val="nil" w:color="000000"/>
        </w:tcBorders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4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4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 w:color="000000"/>
          <w:insideV w:val="nil" w:color="000000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5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5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 w:color="000000"/>
          <w:insideV w:val="nil" w:color="000000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6" w:themeFillTint="3F"/>
      </w:tcPr>
    </w:tblStylePr>
    <w:tblStylePr w:type="band1Horz">
      <w:tblPr/>
      <w:tcPr>
        <w:tcBorders>
          <w:insideH w:val="nil" w:color="000000"/>
          <w:insideV w:val="nil" w:color="000000"/>
        </w:tcBorders>
        <w:shd w:val="clear" w:color="auto" w:fill="000000" w:themeFill="accent6" w:themeFillTint="3F"/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FFFFFF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Col">
      <w:rPr>
        <w:b/>
        <w:bCs/>
        <w:color w:val="FFFFFF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FFFFFF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1"/>
      </w:tcPr>
    </w:tblStylePr>
    <w:tblStylePr w:type="lastCol">
      <w:rPr>
        <w:b/>
        <w:bCs/>
        <w:color w:val="FFFFFF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FFFFFF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2"/>
      </w:tcPr>
    </w:tblStylePr>
    <w:tblStylePr w:type="lastCol">
      <w:rPr>
        <w:b/>
        <w:bCs/>
        <w:color w:val="FFFFFF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FFFFFF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3"/>
      </w:tcPr>
    </w:tblStylePr>
    <w:tblStylePr w:type="lastCol">
      <w:rPr>
        <w:b/>
        <w:bCs/>
        <w:color w:val="FFFFFF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FFFFFF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4"/>
      </w:tcPr>
    </w:tblStylePr>
    <w:tblStylePr w:type="lastCol">
      <w:rPr>
        <w:b/>
        <w:bCs/>
        <w:color w:val="FFFFFF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FFFFFF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5"/>
      </w:tcPr>
    </w:tblStylePr>
    <w:tblStylePr w:type="lastCol">
      <w:rPr>
        <w:b/>
        <w:bCs/>
        <w:color w:val="FFFFFF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pPr>
        <w:spacing w:before="0" w:after="0" w:line="240" w:lineRule="auto"/>
      </w:pPr>
      <w:rPr>
        <w:b/>
        <w:bCs/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color w:val="auto" 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FFFFFF" 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  <w:shd w:val="clear" w:color="auto" w:fill="000000" w:themeFill="accent6"/>
      </w:tcPr>
    </w:tblStylePr>
    <w:tblStylePr w:type="lastCol">
      <w:rPr>
        <w:b/>
        <w:bCs/>
        <w:color w:val="FFFFFF" 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 w:themeFillShade="D8"/>
      </w:tcPr>
    </w:tblStylePr>
    <w:tblStylePr w:type="band1Horz">
      <w:tblPr/>
      <w:tcPr>
        <w:shd w:val="clear" w:color="auto" w:fill="000000" w:themeFill="background1" w:themeFillShade="D8"/>
      </w:tcPr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FFFFFF" 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00000" w:themeFill="text1" w:themeFillTint="3F"/>
      </w:tcPr>
    </w:tblStylePr>
    <w:tblStylePr w:type="band1Horz">
      <w:tblPr/>
      <w:tcPr>
        <w:shd w:val="clear" w:color="auto" w:fill="00000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 w:themeColor="accent1"/>
        </w:tcBorders>
      </w:tcPr>
    </w:tblStylePr>
    <w:tblStylePr w:type="lastRow">
      <w:rPr>
        <w:b/>
        <w:bCs/>
        <w:color w:val="1F497D" 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000000" w:themeFill="accent1" w:themeFillTint="3F"/>
      </w:tcPr>
    </w:tblStylePr>
    <w:tblStylePr w:type="band1Horz">
      <w:tblPr/>
      <w:tcPr>
        <w:shd w:val="clear" w:color="auto" w:fill="00000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 w:themeColor="accent2"/>
        </w:tcBorders>
      </w:tcPr>
    </w:tblStylePr>
    <w:tblStylePr w:type="lastRow">
      <w:rPr>
        <w:b/>
        <w:bCs/>
        <w:color w:val="1F497D" 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000000" w:themeFill="accent2" w:themeFillTint="3F"/>
      </w:tcPr>
    </w:tblStylePr>
    <w:tblStylePr w:type="band1Horz">
      <w:tblPr/>
      <w:tcPr>
        <w:shd w:val="clear" w:color="auto" w:fill="000000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 w:themeColor="accent3"/>
        </w:tcBorders>
      </w:tcPr>
    </w:tblStylePr>
    <w:tblStylePr w:type="lastRow">
      <w:rPr>
        <w:b/>
        <w:bCs/>
        <w:color w:val="1F497D" 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000000" w:themeFill="accent3" w:themeFillTint="3F"/>
      </w:tcPr>
    </w:tblStylePr>
    <w:tblStylePr w:type="band1Horz">
      <w:tblPr/>
      <w:tcPr>
        <w:shd w:val="clear" w:color="auto" w:fill="000000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 w:themeColor="accent4"/>
        </w:tcBorders>
      </w:tcPr>
    </w:tblStylePr>
    <w:tblStylePr w:type="lastRow">
      <w:rPr>
        <w:b/>
        <w:bCs/>
        <w:color w:val="1F497D" 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000000" w:themeFill="accent4" w:themeFillTint="3F"/>
      </w:tcPr>
    </w:tblStylePr>
    <w:tblStylePr w:type="band1Horz">
      <w:tblPr/>
      <w:tcPr>
        <w:shd w:val="clear" w:color="auto" w:fill="00000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 w:themeColor="accent5"/>
        </w:tcBorders>
      </w:tcPr>
    </w:tblStylePr>
    <w:tblStylePr w:type="lastRow">
      <w:rPr>
        <w:b/>
        <w:bCs/>
        <w:color w:val="1F497D" 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000000" w:themeFill="accent5" w:themeFillTint="3F"/>
      </w:tcPr>
    </w:tblStylePr>
    <w:tblStylePr w:type="band1Horz">
      <w:tblPr/>
      <w:tcPr>
        <w:shd w:val="clear" w:color="auto" w:fill="00000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 w:themeColor="accent6"/>
        </w:tcBorders>
      </w:tcPr>
    </w:tblStylePr>
    <w:tblStylePr w:type="lastRow">
      <w:rPr>
        <w:b/>
        <w:bCs/>
        <w:color w:val="1F497D" 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000000" w:themeFill="accent6" w:themeFillTint="3F"/>
      </w:tcPr>
    </w:tblStylePr>
    <w:tblStylePr w:type="band1Horz">
      <w:tblPr/>
      <w:tcPr>
        <w:shd w:val="clear" w:color="auto" w:fill="00000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text1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text1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text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text1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1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1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1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2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2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2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2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2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3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3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3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3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3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4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4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4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4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4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5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5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5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5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5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 w:themeColor="accent6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6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 w:themeColor="accent6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tblPr/>
      <w:tcPr>
        <w:tcBorders>
          <w:top w:val="nil" w:color="000000"/>
          <w:left w:val="single" w:sz="8" w:space="0" w:color="000000" w:themeColor="accent6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Tint="3F"/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  <w:shd w:val="clear" w:color="auto" w:fill="000000" w:themeFill="accent6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 w:color="000000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text1" w:themeFillTint="7F"/>
      </w:tcPr>
    </w:tblStylePr>
    <w:tblStylePr w:type="band1Horz">
      <w:tblPr/>
      <w:tcPr>
        <w:shd w:val="clear" w:color="auto" w:fill="00000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1" w:themeFillTint="7F"/>
      </w:tcPr>
    </w:tblStylePr>
    <w:tblStylePr w:type="band1Horz">
      <w:tblPr/>
      <w:tcPr>
        <w:shd w:val="clear" w:color="auto" w:fill="000000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2" w:themeFillTint="7F"/>
      </w:tcPr>
    </w:tblStylePr>
    <w:tblStylePr w:type="band1Horz">
      <w:tblPr/>
      <w:tcPr>
        <w:shd w:val="clear" w:color="auto" w:fill="000000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3" w:themeFillTint="7F"/>
      </w:tcPr>
    </w:tblStylePr>
    <w:tblStylePr w:type="band1Horz">
      <w:tblPr/>
      <w:tcPr>
        <w:shd w:val="clear" w:color="auto" w:fill="00000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4" w:themeFillTint="7F"/>
      </w:tcPr>
    </w:tblStylePr>
    <w:tblStylePr w:type="band1Horz">
      <w:tblPr/>
      <w:tcPr>
        <w:shd w:val="clear" w:color="auto" w:fill="00000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5" w:themeFillTint="7F"/>
      </w:tcPr>
    </w:tblStylePr>
    <w:tblStylePr w:type="band1Horz">
      <w:tblPr/>
      <w:tcPr>
        <w:shd w:val="clear" w:color="auto" w:fill="000000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accent6" w:themeFillTint="7F"/>
      </w:tcPr>
    </w:tblStylePr>
    <w:tblStylePr w:type="band1Horz">
      <w:tblPr/>
      <w:tcPr>
        <w:shd w:val="clear" w:color="auto" w:fill="00000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3F"/>
    </w:tcPr>
    <w:tblStylePr w:type="firstRow">
      <w:rPr>
        <w:b/>
        <w:bCs/>
        <w:color w:val="000000" val="000000"/>
      </w:rPr>
      <w:tblPr/>
      <w:tcPr>
        <w:shd w:val="clear" w:color="auto" w:fill="000000" w:themeFill="text1" w:themeFillTint="19"/>
      </w:tcPr>
    </w:tblStylePr>
    <w:tblStylePr w:type="lastRow">
      <w:rPr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Tint="33"/>
      </w:tcPr>
    </w:tblStylePr>
    <w:tblStylePr w:type="band1Vert">
      <w:tblPr/>
      <w:tcPr>
        <w:shd w:val="clear" w:color="auto" w:fill="00000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00000" w:themeFill="text1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3F"/>
    </w:tcPr>
    <w:tblStylePr w:type="firstRow">
      <w:rPr>
        <w:b/>
        <w:bCs/>
        <w:color w:val="000000" val="000000"/>
      </w:rPr>
      <w:tblPr/>
      <w:tcPr>
        <w:shd w:val="clear" w:color="auto" w:fill="000000" w:themeFill="accent1" w:themeFillTint="19"/>
      </w:tcPr>
    </w:tblStylePr>
    <w:tblStylePr w:type="lastRow">
      <w:rPr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Tint="33"/>
      </w:tcPr>
    </w:tblStylePr>
    <w:tblStylePr w:type="band1Vert">
      <w:tblPr/>
      <w:tcPr>
        <w:shd w:val="clear" w:color="auto" w:fill="000000" w:themeFill="accent1" w:themeFillTint="7F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000000" w:themeFill="accent1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3F"/>
    </w:tcPr>
    <w:tblStylePr w:type="firstRow">
      <w:rPr>
        <w:b/>
        <w:bCs/>
        <w:color w:val="000000" val="000000"/>
      </w:rPr>
      <w:tblPr/>
      <w:tcPr>
        <w:shd w:val="clear" w:color="auto" w:fill="000000" w:themeFill="accent2" w:themeFillTint="19"/>
      </w:tcPr>
    </w:tblStylePr>
    <w:tblStylePr w:type="lastRow">
      <w:rPr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Tint="33"/>
      </w:tcPr>
    </w:tblStylePr>
    <w:tblStylePr w:type="band1Vert">
      <w:tblPr/>
      <w:tcPr>
        <w:shd w:val="clear" w:color="auto" w:fill="000000" w:themeFill="accent2" w:themeFillTint="7F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000000" w:themeFill="accent2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3F"/>
    </w:tcPr>
    <w:tblStylePr w:type="firstRow">
      <w:rPr>
        <w:b/>
        <w:bCs/>
        <w:color w:val="000000" val="000000"/>
      </w:rPr>
      <w:tblPr/>
      <w:tcPr>
        <w:shd w:val="clear" w:color="auto" w:fill="000000" w:themeFill="accent3" w:themeFillTint="19"/>
      </w:tcPr>
    </w:tblStylePr>
    <w:tblStylePr w:type="lastRow">
      <w:rPr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Tint="33"/>
      </w:tcPr>
    </w:tblStylePr>
    <w:tblStylePr w:type="band1Vert">
      <w:tblPr/>
      <w:tcPr>
        <w:shd w:val="clear" w:color="auto" w:fill="000000" w:themeFill="accent3" w:themeFillTint="7F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000000" w:themeFill="accent3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3F"/>
    </w:tcPr>
    <w:tblStylePr w:type="firstRow">
      <w:rPr>
        <w:b/>
        <w:bCs/>
        <w:color w:val="000000" val="000000"/>
      </w:rPr>
      <w:tblPr/>
      <w:tcPr>
        <w:shd w:val="clear" w:color="auto" w:fill="000000" w:themeFill="accent4" w:themeFillTint="19"/>
      </w:tcPr>
    </w:tblStylePr>
    <w:tblStylePr w:type="lastRow">
      <w:rPr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Tint="33"/>
      </w:tcPr>
    </w:tblStylePr>
    <w:tblStylePr w:type="band1Vert">
      <w:tblPr/>
      <w:tcPr>
        <w:shd w:val="clear" w:color="auto" w:fill="000000" w:themeFill="accent4" w:themeFillTint="7F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000000" w:themeFill="accent4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3F"/>
    </w:tcPr>
    <w:tblStylePr w:type="firstRow">
      <w:rPr>
        <w:b/>
        <w:bCs/>
        <w:color w:val="000000" val="000000"/>
      </w:rPr>
      <w:tblPr/>
      <w:tcPr>
        <w:shd w:val="clear" w:color="auto" w:fill="000000" w:themeFill="accent5" w:themeFillTint="19"/>
      </w:tcPr>
    </w:tblStylePr>
    <w:tblStylePr w:type="lastRow">
      <w:rPr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Tint="33"/>
      </w:tcPr>
    </w:tblStylePr>
    <w:tblStylePr w:type="band1Vert">
      <w:tblPr/>
      <w:tcPr>
        <w:shd w:val="clear" w:color="auto" w:fill="00000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000000" w:themeFill="accent5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3F"/>
    </w:tcPr>
    <w:tblStylePr w:type="firstRow">
      <w:rPr>
        <w:b/>
        <w:bCs/>
        <w:color w:val="000000" val="000000"/>
      </w:rPr>
      <w:tblPr/>
      <w:tcPr>
        <w:shd w:val="clear" w:color="auto" w:fill="000000" w:themeFill="accent6" w:themeFillTint="19"/>
      </w:tcPr>
    </w:tblStylePr>
    <w:tblStylePr w:type="lastRow">
      <w:rPr>
        <w:b/>
        <w:bCs/>
        <w:color w:val="000000" val="000000"/>
      </w:rPr>
      <w:tblPr/>
      <w:tcPr>
        <w:tcBorders>
          <w:top w:val="single" w:sz="12" w:space="0" w:color="000000" w:themeColor="text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firstCol">
      <w:rPr>
        <w:b/>
        <w:bCs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Col">
      <w:rPr>
        <w:b w:val="0"/>
        <w:bCs w:val="0"/>
        <w:color w:val="000000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Tint="33"/>
      </w:tcPr>
    </w:tblStylePr>
    <w:tblStylePr w:type="band1Vert">
      <w:tblPr/>
      <w:tcPr>
        <w:shd w:val="clear" w:color="auto" w:fill="000000" w:themeFill="accent6" w:themeFillTint="7F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000000" w:themeFill="accent6" w:themeFillTint="7F"/>
      </w:tcPr>
    </w:tblStylePr>
    <w:tblStylePr w:type="nwCell">
      <w:tblPr/>
      <w:tcPr>
        <w:shd w:val="clear" w:color="auto" w:fill="000000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3F"/>
    </w:tcPr>
    <w:tblStylePr w:type="firstRow">
      <w:rPr>
        <w:b/>
        <w:bCs/>
        <w:i w:val="0"/>
        <w:iCs w:val="0"/>
        <w:color w:val="FFFFFF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text1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3F"/>
    </w:tcPr>
    <w:tblStylePr w:type="firstRow">
      <w:rPr>
        <w:b/>
        <w:bCs/>
        <w:i w:val="0"/>
        <w:iCs w:val="0"/>
        <w:color w:val="FFFFFF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1"/>
      </w:tcPr>
    </w:tblStylePr>
    <w:tblStylePr w:type="lastRow">
      <w:rPr>
        <w:b/>
        <w:bCs/>
        <w:i w:val="0"/>
        <w:iCs w:val="0"/>
        <w:color w:val="FFFFFF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1"/>
      </w:tcPr>
    </w:tblStylePr>
    <w:tblStylePr w:type="firstCol">
      <w:rPr>
        <w:b/>
        <w:bCs/>
        <w:i w:val="0"/>
        <w:iCs w:val="0"/>
        <w:color w:val="FFFFFF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1"/>
      </w:tcPr>
    </w:tblStylePr>
    <w:tblStylePr w:type="lastCol">
      <w:rPr>
        <w:b/>
        <w:bCs/>
        <w:i w:val="0"/>
        <w:iCs w:val="0"/>
        <w:color w:val="FFFFFF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1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3F"/>
    </w:tcPr>
    <w:tblStylePr w:type="firstRow">
      <w:rPr>
        <w:b/>
        <w:bCs/>
        <w:i w:val="0"/>
        <w:iCs w:val="0"/>
        <w:color w:val="FFFFFF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2"/>
      </w:tcPr>
    </w:tblStylePr>
    <w:tblStylePr w:type="lastRow">
      <w:rPr>
        <w:b/>
        <w:bCs/>
        <w:i w:val="0"/>
        <w:iCs w:val="0"/>
        <w:color w:val="FFFFFF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2"/>
      </w:tcPr>
    </w:tblStylePr>
    <w:tblStylePr w:type="firstCol">
      <w:rPr>
        <w:b/>
        <w:bCs/>
        <w:i w:val="0"/>
        <w:iCs w:val="0"/>
        <w:color w:val="FFFFFF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2"/>
      </w:tcPr>
    </w:tblStylePr>
    <w:tblStylePr w:type="lastCol">
      <w:rPr>
        <w:b/>
        <w:bCs/>
        <w:i w:val="0"/>
        <w:iCs w:val="0"/>
        <w:color w:val="FFFFFF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2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3F"/>
    </w:tcPr>
    <w:tblStylePr w:type="firstRow">
      <w:rPr>
        <w:b/>
        <w:bCs/>
        <w:i w:val="0"/>
        <w:iCs w:val="0"/>
        <w:color w:val="FFFFFF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3"/>
      </w:tcPr>
    </w:tblStylePr>
    <w:tblStylePr w:type="lastRow">
      <w:rPr>
        <w:b/>
        <w:bCs/>
        <w:i w:val="0"/>
        <w:iCs w:val="0"/>
        <w:color w:val="FFFFFF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3"/>
      </w:tcPr>
    </w:tblStylePr>
    <w:tblStylePr w:type="firstCol">
      <w:rPr>
        <w:b/>
        <w:bCs/>
        <w:i w:val="0"/>
        <w:iCs w:val="0"/>
        <w:color w:val="FFFFFF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3"/>
      </w:tcPr>
    </w:tblStylePr>
    <w:tblStylePr w:type="lastCol">
      <w:rPr>
        <w:b/>
        <w:bCs/>
        <w:i w:val="0"/>
        <w:iCs w:val="0"/>
        <w:color w:val="FFFFFF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3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3F"/>
    </w:tcPr>
    <w:tblStylePr w:type="firstRow">
      <w:rPr>
        <w:b/>
        <w:bCs/>
        <w:i w:val="0"/>
        <w:iCs w:val="0"/>
        <w:color w:val="FFFFFF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4"/>
      </w:tcPr>
    </w:tblStylePr>
    <w:tblStylePr w:type="lastRow">
      <w:rPr>
        <w:b/>
        <w:bCs/>
        <w:i w:val="0"/>
        <w:iCs w:val="0"/>
        <w:color w:val="FFFFFF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4"/>
      </w:tcPr>
    </w:tblStylePr>
    <w:tblStylePr w:type="firstCol">
      <w:rPr>
        <w:b/>
        <w:bCs/>
        <w:i w:val="0"/>
        <w:iCs w:val="0"/>
        <w:color w:val="FFFFFF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4"/>
      </w:tcPr>
    </w:tblStylePr>
    <w:tblStylePr w:type="lastCol">
      <w:rPr>
        <w:b/>
        <w:bCs/>
        <w:i w:val="0"/>
        <w:iCs w:val="0"/>
        <w:color w:val="FFFFFF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4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3F"/>
    </w:tcPr>
    <w:tblStylePr w:type="firstRow">
      <w:rPr>
        <w:b/>
        <w:bCs/>
        <w:i w:val="0"/>
        <w:iCs w:val="0"/>
        <w:color w:val="FFFFFF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5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3F"/>
    </w:tcPr>
    <w:tblStylePr w:type="firstRow">
      <w:rPr>
        <w:b/>
        <w:bCs/>
        <w:i w:val="0"/>
        <w:iCs w:val="0"/>
        <w:color w:val="FFFFFF" 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6"/>
      </w:tcPr>
    </w:tblStylePr>
    <w:tblStylePr w:type="lastRow">
      <w:rPr>
        <w:b/>
        <w:bCs/>
        <w:i w:val="0"/>
        <w:iCs w:val="0"/>
        <w:color w:val="FFFFFF" 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single" w:sz="8" w:space="0" w:color="000000" w:themeColor="background1"/>
        </w:tcBorders>
        <w:shd w:val="clear" w:color="auto" w:fill="000000" w:themeFill="accent6"/>
      </w:tcPr>
    </w:tblStylePr>
    <w:tblStylePr w:type="firstCol">
      <w:rPr>
        <w:b/>
        <w:bCs/>
        <w:i w:val="0"/>
        <w:iCs w:val="0"/>
        <w:color w:val="FFFFFF" 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 w:color="000000"/>
          <w:insideV w:val="nil" w:color="000000"/>
        </w:tcBorders>
        <w:shd w:val="clear" w:color="auto" w:fill="000000" w:themeFill="accent6"/>
      </w:tcPr>
    </w:tblStylePr>
    <w:tblStylePr w:type="lastCol">
      <w:rPr>
        <w:b/>
        <w:bCs/>
        <w:i w:val="0"/>
        <w:iCs w:val="0"/>
        <w:color w:val="FFFFFF" val="000000"/>
      </w:rPr>
      <w:tblPr/>
      <w:tcPr>
        <w:tcBorders>
          <w:top w:val="nil" w:color="000000"/>
          <w:left w:val="single" w:sz="24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 w:color="000000"/>
          <w:insideV w:val="nil" w:color="000000"/>
        </w:tcBorders>
        <w:shd w:val="clear" w:color="auto" w:fill="000000" w:themeFill="accent6" w:themeFillTint="7F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00000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1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2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3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4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 w:themeColor="background1"/>
          <w:right w:val="nil" w:color="000000"/>
          <w:insideH w:val="nil" w:color="000000"/>
          <w:insideV w:val="nil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0000" w:themeColor="background1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Shade="7F"/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 w:themeColor="background1"/>
          <w:insideH w:val="nil" w:color="000000"/>
          <w:insideV w:val="nil" w:color="000000"/>
        </w:tcBorders>
        <w:shd w:val="clear" w:color="auto" w:fill="000000" w:themeFill="accent6" w:themeFillShade="BF"/>
      </w:tcPr>
    </w:tblStylePr>
    <w:tblStylePr w:type="lastCol">
      <w:tblPr/>
      <w:tcPr>
        <w:tcBorders>
          <w:top w:val="nil" w:color="000000"/>
          <w:left w:val="single" w:sz="18" w:space="0" w:color="000000" w:themeColor="background1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Shade="BF"/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Shade="BF"/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19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2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b/>
        <w:bCs/>
        <w:color w:val="FFFFFF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text1" w:themeFillShade="99"/>
      </w:tcPr>
    </w:tblStylePr>
    <w:tblStylePr w:type="fir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text1" w:themeShade="99"/>
          <w:insideV w:val="nil" w:color="000000"/>
        </w:tcBorders>
        <w:shd w:val="clear" w:color="auto" w:fill="000000" w:themeFill="text1" w:themeFillShade="99"/>
      </w:tcPr>
    </w:tblStylePr>
    <w:tblStylePr w:type="la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00000" w:themeFill="text1" w:themeFillTint="66"/>
      </w:tcPr>
    </w:tblStylePr>
    <w:tblStylePr w:type="band1Horz">
      <w:tblPr/>
      <w:tcPr>
        <w:shd w:val="clear" w:color="auto" w:fill="000000" w:themeFill="text1" w:themeFillTint="7F"/>
      </w:tcPr>
    </w:tblStylePr>
    <w:tblStylePr w:type="neCell">
      <w:rPr>
        <w:color w:val="000000" val="000000"/>
      </w:rPr>
    </w:tblStylePr>
    <w:tblStylePr w:type="nwCell">
      <w:rPr>
        <w:color w:val="000000" 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19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2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b/>
        <w:bCs/>
        <w:color w:val="FFFFFF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1" w:themeFillShade="99"/>
      </w:tcPr>
    </w:tblStylePr>
    <w:tblStylePr w:type="fir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1" w:themeShade="99"/>
          <w:insideV w:val="nil" w:color="000000"/>
        </w:tcBorders>
        <w:shd w:val="clear" w:color="auto" w:fill="000000" w:themeFill="accent1" w:themeFillShade="99"/>
      </w:tcPr>
    </w:tblStylePr>
    <w:tblStylePr w:type="la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Shade="99"/>
      </w:tcPr>
    </w:tblStylePr>
    <w:tblStylePr w:type="band1Vert">
      <w:tblPr/>
      <w:tcPr>
        <w:shd w:val="clear" w:color="auto" w:fill="000000" w:themeFill="accent1" w:themeFillTint="66"/>
      </w:tcPr>
    </w:tblStylePr>
    <w:tblStylePr w:type="band1Horz">
      <w:tblPr/>
      <w:tcPr>
        <w:shd w:val="clear" w:color="auto" w:fill="000000" w:themeFill="accent1" w:themeFillTint="7F"/>
      </w:tcPr>
    </w:tblStylePr>
    <w:tblStylePr w:type="neCell">
      <w:rPr>
        <w:color w:val="000000" val="000000"/>
      </w:rPr>
    </w:tblStylePr>
    <w:tblStylePr w:type="nwCell">
      <w:rPr>
        <w:color w:val="000000" 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19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2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b/>
        <w:bCs/>
        <w:color w:val="FFFFFF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2" w:themeFillShade="99"/>
      </w:tcPr>
    </w:tblStylePr>
    <w:tblStylePr w:type="fir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2" w:themeShade="99"/>
          <w:insideV w:val="nil" w:color="000000"/>
        </w:tcBorders>
        <w:shd w:val="clear" w:color="auto" w:fill="000000" w:themeFill="accent2" w:themeFillShade="99"/>
      </w:tcPr>
    </w:tblStylePr>
    <w:tblStylePr w:type="la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Shade="99"/>
      </w:tcPr>
    </w:tblStylePr>
    <w:tblStylePr w:type="band1Vert">
      <w:tblPr/>
      <w:tcPr>
        <w:shd w:val="clear" w:color="auto" w:fill="000000" w:themeFill="accent2" w:themeFillTint="66"/>
      </w:tcPr>
    </w:tblStylePr>
    <w:tblStylePr w:type="band1Horz">
      <w:tblPr/>
      <w:tcPr>
        <w:shd w:val="clear" w:color="auto" w:fill="000000" w:themeFill="accent2" w:themeFillTint="7F"/>
      </w:tcPr>
    </w:tblStylePr>
    <w:tblStylePr w:type="neCell">
      <w:rPr>
        <w:color w:val="000000" val="000000"/>
      </w:rPr>
    </w:tblStylePr>
    <w:tblStylePr w:type="nwCell">
      <w:rPr>
        <w:color w:val="000000" 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19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4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b/>
        <w:bCs/>
        <w:color w:val="FFFFFF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3" w:themeFillShade="99"/>
      </w:tcPr>
    </w:tblStylePr>
    <w:tblStylePr w:type="fir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3" w:themeShade="99"/>
          <w:insideV w:val="nil" w:color="000000"/>
        </w:tcBorders>
        <w:shd w:val="clear" w:color="auto" w:fill="000000" w:themeFill="accent3" w:themeFillShade="99"/>
      </w:tcPr>
    </w:tblStylePr>
    <w:tblStylePr w:type="la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Shade="99"/>
      </w:tcPr>
    </w:tblStylePr>
    <w:tblStylePr w:type="band1Vert">
      <w:tblPr/>
      <w:tcPr>
        <w:shd w:val="clear" w:color="auto" w:fill="000000" w:themeFill="accent3" w:themeFillTint="66"/>
      </w:tcPr>
    </w:tblStylePr>
    <w:tblStylePr w:type="band1Horz">
      <w:tblPr/>
      <w:tcPr>
        <w:shd w:val="clear" w:color="auto" w:fill="00000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19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3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b/>
        <w:bCs/>
        <w:color w:val="FFFFFF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4" w:themeFillShade="99"/>
      </w:tcPr>
    </w:tblStylePr>
    <w:tblStylePr w:type="fir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4" w:themeShade="99"/>
          <w:insideV w:val="nil" w:color="000000"/>
        </w:tcBorders>
        <w:shd w:val="clear" w:color="auto" w:fill="000000" w:themeFill="accent4" w:themeFillShade="99"/>
      </w:tcPr>
    </w:tblStylePr>
    <w:tblStylePr w:type="la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Shade="99"/>
      </w:tcPr>
    </w:tblStylePr>
    <w:tblStylePr w:type="band1Vert">
      <w:tblPr/>
      <w:tcPr>
        <w:shd w:val="clear" w:color="auto" w:fill="000000" w:themeFill="accent4" w:themeFillTint="66"/>
      </w:tcPr>
    </w:tblStylePr>
    <w:tblStylePr w:type="band1Horz">
      <w:tblPr/>
      <w:tcPr>
        <w:shd w:val="clear" w:color="auto" w:fill="000000" w:themeFill="accent4" w:themeFillTint="7F"/>
      </w:tcPr>
    </w:tblStylePr>
    <w:tblStylePr w:type="neCell">
      <w:rPr>
        <w:color w:val="000000" val="000000"/>
      </w:rPr>
    </w:tblStylePr>
    <w:tblStylePr w:type="nwCell">
      <w:rPr>
        <w:color w:val="000000" 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19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6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b/>
        <w:bCs/>
        <w:color w:val="FFFFFF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5" w:themeFillShade="99"/>
      </w:tcPr>
    </w:tblStylePr>
    <w:tblStylePr w:type="fir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5" w:themeShade="99"/>
          <w:insideV w:val="nil" w:color="000000"/>
        </w:tcBorders>
        <w:shd w:val="clear" w:color="auto" w:fill="000000" w:themeFill="accent5" w:themeFillShade="99"/>
      </w:tcPr>
    </w:tblStylePr>
    <w:tblStylePr w:type="la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000000" w:themeFill="accent5" w:themeFillTint="66"/>
      </w:tcPr>
    </w:tblStylePr>
    <w:tblStylePr w:type="band1Horz">
      <w:tblPr/>
      <w:tcPr>
        <w:shd w:val="clear" w:color="auto" w:fill="000000" w:themeFill="accent5" w:themeFillTint="7F"/>
      </w:tcPr>
    </w:tblStylePr>
    <w:tblStylePr w:type="neCell">
      <w:rPr>
        <w:color w:val="000000" val="000000"/>
      </w:rPr>
    </w:tblStylePr>
    <w:tblStylePr w:type="nwCell">
      <w:rPr>
        <w:color w:val="000000" 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19"/>
    </w:tcPr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 w:themeColor="accent5"/>
          <w:right w:val="nil" w:color="000000"/>
          <w:insideH w:val="nil" w:color="000000"/>
          <w:insideV w:val="nil" w:color="000000"/>
        </w:tcBorders>
        <w:shd w:val="clear" w:color="auto" w:fill="000000" w:themeFill="background1"/>
      </w:tcPr>
    </w:tblStylePr>
    <w:tblStylePr w:type="lastRow">
      <w:rPr>
        <w:b/>
        <w:bCs/>
        <w:color w:val="FFFFFF" val="000000"/>
      </w:rPr>
      <w:tblPr/>
      <w:tcPr>
        <w:tcBorders>
          <w:top w:val="single" w:sz="6" w:space="0" w:color="000000" w:themeColor="background1"/>
        </w:tcBorders>
        <w:shd w:val="clear" w:color="auto" w:fill="000000" w:themeFill="accent6" w:themeFillShade="99"/>
      </w:tcPr>
    </w:tblStylePr>
    <w:tblStylePr w:type="fir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 w:themeColor="accent6" w:themeShade="99"/>
          <w:insideV w:val="nil" w:color="000000"/>
        </w:tcBorders>
        <w:shd w:val="clear" w:color="auto" w:fill="000000" w:themeFill="accent6" w:themeFillShade="99"/>
      </w:tcPr>
    </w:tblStylePr>
    <w:tblStylePr w:type="lastCol">
      <w:rPr>
        <w:color w:val="FFFFFF" 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Shade="99"/>
      </w:tcPr>
    </w:tblStylePr>
    <w:tblStylePr w:type="band1Vert">
      <w:tblPr/>
      <w:tcPr>
        <w:shd w:val="clear" w:color="auto" w:fill="000000" w:themeFill="accent6" w:themeFillTint="66"/>
      </w:tcPr>
    </w:tblStylePr>
    <w:tblStylePr w:type="band1Horz">
      <w:tblPr/>
      <w:tcPr>
        <w:shd w:val="clear" w:color="auto" w:fill="000000" w:themeFill="accent6" w:themeFillTint="7F"/>
      </w:tcPr>
    </w:tblStylePr>
    <w:tblStylePr w:type="neCell">
      <w:rPr>
        <w:color w:val="000000" val="000000"/>
      </w:rPr>
    </w:tblStylePr>
    <w:tblStylePr w:type="nwCell">
      <w:rPr>
        <w:color w:val="000000" 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19"/>
    </w:tcPr>
    <w:tblStylePr w:type="firstRow">
      <w:rPr>
        <w:b/>
        <w:bCs/>
        <w:color w:val="FFFFFF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9E3A38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text1" w:themeFillTint="3F"/>
      </w:tcPr>
    </w:tblStylePr>
    <w:tblStylePr w:type="band1Horz">
      <w:tblPr/>
      <w:tcPr>
        <w:shd w:val="clear" w:color="auto" w:fill="000000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19"/>
    </w:tcPr>
    <w:tblStylePr w:type="firstRow">
      <w:rPr>
        <w:b/>
        <w:bCs/>
        <w:color w:val="FFFFFF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9E3A38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1" w:themeFillTint="3F"/>
      </w:tcPr>
    </w:tblStylePr>
    <w:tblStylePr w:type="band1Horz">
      <w:tblPr/>
      <w:tcPr>
        <w:shd w:val="clear" w:color="auto" w:fill="000000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19"/>
    </w:tcPr>
    <w:tblStylePr w:type="firstRow">
      <w:rPr>
        <w:b/>
        <w:bCs/>
        <w:color w:val="FFFFFF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9E3A38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2" w:themeFillTint="3F"/>
      </w:tcPr>
    </w:tblStylePr>
    <w:tblStylePr w:type="band1Horz">
      <w:tblPr/>
      <w:tcPr>
        <w:shd w:val="clear" w:color="auto" w:fill="000000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19"/>
    </w:tcPr>
    <w:tblStylePr w:type="firstRow">
      <w:rPr>
        <w:b/>
        <w:bCs/>
        <w:color w:val="FFFFFF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4" w:themeFillShade="CC"/>
      </w:tcPr>
    </w:tblStylePr>
    <w:tblStylePr w:type="lastRow">
      <w:rPr>
        <w:b/>
        <w:bCs/>
        <w:color w:val="664E82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3" w:themeFillTint="3F"/>
      </w:tcPr>
    </w:tblStylePr>
    <w:tblStylePr w:type="band1Horz">
      <w:tblPr/>
      <w:tcPr>
        <w:shd w:val="clear" w:color="auto" w:fill="000000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19"/>
    </w:tcPr>
    <w:tblStylePr w:type="firstRow">
      <w:rPr>
        <w:b/>
        <w:bCs/>
        <w:color w:val="FFFFFF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3" w:themeFillShade="CC"/>
      </w:tcPr>
    </w:tblStylePr>
    <w:tblStylePr w:type="lastRow">
      <w:rPr>
        <w:b/>
        <w:bCs/>
        <w:color w:val="7E9C40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4" w:themeFillTint="3F"/>
      </w:tcPr>
    </w:tblStylePr>
    <w:tblStylePr w:type="band1Horz">
      <w:tblPr/>
      <w:tcPr>
        <w:shd w:val="clear" w:color="auto" w:fill="000000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19"/>
    </w:tcPr>
    <w:tblStylePr w:type="firstRow">
      <w:rPr>
        <w:b/>
        <w:bCs/>
        <w:color w:val="FFFFFF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6" w:themeFillShade="CC"/>
      </w:tcPr>
    </w:tblStylePr>
    <w:tblStylePr w:type="lastRow">
      <w:rPr>
        <w:b/>
        <w:bCs/>
        <w:color w:val="F2730A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5" w:themeFillTint="3F"/>
      </w:tcPr>
    </w:tblStylePr>
    <w:tblStylePr w:type="band1Horz">
      <w:tblPr/>
      <w:tcPr>
        <w:shd w:val="clear" w:color="auto" w:fill="000000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19"/>
    </w:tcPr>
    <w:tblStylePr w:type="firstRow">
      <w:rPr>
        <w:b/>
        <w:bCs/>
        <w:color w:val="FFFFFF" val="000000"/>
      </w:rPr>
      <w:tblPr/>
      <w:tcPr>
        <w:tcBorders>
          <w:bottom w:val="single" w:sz="12" w:space="0" w:color="000000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348DA5" val="000000"/>
      </w:rPr>
      <w:tblPr/>
      <w:tcPr>
        <w:tcBorders>
          <w:top w:val="single" w:sz="12" w:space="0" w:color="000000" w:themeColor="text1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  <w:shd w:val="clear" w:color="auto" w:fill="000000" w:themeFill="accent6" w:themeFillTint="3F"/>
      </w:tcPr>
    </w:tblStylePr>
    <w:tblStylePr w:type="band1Horz">
      <w:tblPr/>
      <w:tcPr>
        <w:shd w:val="clear" w:color="auto" w:fill="00000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text1" w:themeFillTint="33"/>
    </w:tcPr>
    <w:tblStylePr w:type="firstRow">
      <w:rPr>
        <w:b/>
        <w:bCs/>
      </w:rPr>
      <w:tblPr/>
      <w:tcPr>
        <w:shd w:val="clear" w:color="auto" w:fill="000000" w:themeFill="text1" w:themeFillTint="66"/>
      </w:tcPr>
    </w:tblStylePr>
    <w:tblStylePr w:type="lastRow">
      <w:rPr>
        <w:b/>
        <w:bCs/>
        <w:color w:val="000000" val="000000"/>
      </w:rPr>
      <w:tblPr/>
      <w:tcPr>
        <w:shd w:val="clear" w:color="auto" w:fill="000000" w:themeFill="text1" w:themeFillTint="66"/>
      </w:tcPr>
    </w:tblStylePr>
    <w:tblStylePr w:type="firstCol">
      <w:rPr>
        <w:color w:val="FFFFFF" val="000000"/>
      </w:rPr>
      <w:tblPr/>
      <w:tcPr>
        <w:shd w:val="clear" w:color="auto" w:fill="000000" w:themeFill="text1" w:themeFillShade="BF"/>
      </w:tcPr>
    </w:tblStylePr>
    <w:tblStylePr w:type="lastCol">
      <w:rPr>
        <w:color w:val="FFFFFF" 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00000" w:themeFill="text1" w:themeFillTint="7F"/>
      </w:tcPr>
    </w:tblStylePr>
    <w:tblStylePr w:type="band1Horz">
      <w:tblPr/>
      <w:tcPr>
        <w:shd w:val="clear" w:color="auto" w:fill="00000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1" w:themeFillTint="33"/>
    </w:tcPr>
    <w:tblStylePr w:type="firstRow">
      <w:rPr>
        <w:b/>
        <w:bCs/>
      </w:rPr>
      <w:tblPr/>
      <w:tcPr>
        <w:shd w:val="clear" w:color="auto" w:fill="000000" w:themeFill="accent1" w:themeFillTint="66"/>
      </w:tcPr>
    </w:tblStylePr>
    <w:tblStylePr w:type="lastRow">
      <w:rPr>
        <w:b/>
        <w:bCs/>
        <w:color w:val="000000" val="000000"/>
      </w:rPr>
      <w:tblPr/>
      <w:tcPr>
        <w:shd w:val="clear" w:color="auto" w:fill="000000" w:themeFill="accent1" w:themeFillTint="66"/>
      </w:tcPr>
    </w:tblStylePr>
    <w:tblStylePr w:type="firstCol">
      <w:rPr>
        <w:color w:val="FFFFFF" val="000000"/>
      </w:rPr>
      <w:tblPr/>
      <w:tcPr>
        <w:shd w:val="clear" w:color="auto" w:fill="000000" w:themeFill="accent1" w:themeFillShade="BF"/>
      </w:tcPr>
    </w:tblStylePr>
    <w:tblStylePr w:type="lastCol">
      <w:rPr>
        <w:color w:val="FFFFFF" val="000000"/>
      </w:rPr>
      <w:tblPr/>
      <w:tcPr>
        <w:shd w:val="clear" w:color="auto" w:fill="000000" w:themeFill="accent1" w:themeFillShade="BF"/>
      </w:tcPr>
    </w:tblStylePr>
    <w:tblStylePr w:type="band1Vert">
      <w:tblPr/>
      <w:tcPr>
        <w:shd w:val="clear" w:color="auto" w:fill="000000" w:themeFill="accent1" w:themeFillTint="7F"/>
      </w:tcPr>
    </w:tblStylePr>
    <w:tblStylePr w:type="band1Horz">
      <w:tblPr/>
      <w:tcPr>
        <w:shd w:val="clear" w:color="auto" w:fill="000000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2" w:themeFillTint="33"/>
    </w:tcPr>
    <w:tblStylePr w:type="firstRow">
      <w:rPr>
        <w:b/>
        <w:bCs/>
      </w:rPr>
      <w:tblPr/>
      <w:tcPr>
        <w:shd w:val="clear" w:color="auto" w:fill="000000" w:themeFill="accent2" w:themeFillTint="66"/>
      </w:tcPr>
    </w:tblStylePr>
    <w:tblStylePr w:type="lastRow">
      <w:rPr>
        <w:b/>
        <w:bCs/>
        <w:color w:val="000000" val="000000"/>
      </w:rPr>
      <w:tblPr/>
      <w:tcPr>
        <w:shd w:val="clear" w:color="auto" w:fill="000000" w:themeFill="accent2" w:themeFillTint="66"/>
      </w:tcPr>
    </w:tblStylePr>
    <w:tblStylePr w:type="firstCol">
      <w:rPr>
        <w:color w:val="FFFFFF" val="000000"/>
      </w:rPr>
      <w:tblPr/>
      <w:tcPr>
        <w:shd w:val="clear" w:color="auto" w:fill="000000" w:themeFill="accent2" w:themeFillShade="BF"/>
      </w:tcPr>
    </w:tblStylePr>
    <w:tblStylePr w:type="lastCol">
      <w:rPr>
        <w:color w:val="FFFFFF" val="000000"/>
      </w:rPr>
      <w:tblPr/>
      <w:tcPr>
        <w:shd w:val="clear" w:color="auto" w:fill="000000" w:themeFill="accent2" w:themeFillShade="BF"/>
      </w:tcPr>
    </w:tblStylePr>
    <w:tblStylePr w:type="band1Vert">
      <w:tblPr/>
      <w:tcPr>
        <w:shd w:val="clear" w:color="auto" w:fill="000000" w:themeFill="accent2" w:themeFillTint="7F"/>
      </w:tcPr>
    </w:tblStylePr>
    <w:tblStylePr w:type="band1Horz">
      <w:tblPr/>
      <w:tcPr>
        <w:shd w:val="clear" w:color="auto" w:fill="000000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3" w:themeFillTint="33"/>
    </w:tcPr>
    <w:tblStylePr w:type="firstRow">
      <w:rPr>
        <w:b/>
        <w:bCs/>
      </w:rPr>
      <w:tblPr/>
      <w:tcPr>
        <w:shd w:val="clear" w:color="auto" w:fill="000000" w:themeFill="accent3" w:themeFillTint="66"/>
      </w:tcPr>
    </w:tblStylePr>
    <w:tblStylePr w:type="lastRow">
      <w:rPr>
        <w:b/>
        <w:bCs/>
        <w:color w:val="000000" val="000000"/>
      </w:rPr>
      <w:tblPr/>
      <w:tcPr>
        <w:shd w:val="clear" w:color="auto" w:fill="000000" w:themeFill="accent3" w:themeFillTint="66"/>
      </w:tcPr>
    </w:tblStylePr>
    <w:tblStylePr w:type="firstCol">
      <w:rPr>
        <w:color w:val="FFFFFF" val="000000"/>
      </w:rPr>
      <w:tblPr/>
      <w:tcPr>
        <w:shd w:val="clear" w:color="auto" w:fill="000000" w:themeFill="accent3" w:themeFillShade="BF"/>
      </w:tcPr>
    </w:tblStylePr>
    <w:tblStylePr w:type="lastCol">
      <w:rPr>
        <w:color w:val="FFFFFF" val="000000"/>
      </w:rPr>
      <w:tblPr/>
      <w:tcPr>
        <w:shd w:val="clear" w:color="auto" w:fill="000000" w:themeFill="accent3" w:themeFillShade="BF"/>
      </w:tcPr>
    </w:tblStylePr>
    <w:tblStylePr w:type="band1Vert">
      <w:tblPr/>
      <w:tcPr>
        <w:shd w:val="clear" w:color="auto" w:fill="000000" w:themeFill="accent3" w:themeFillTint="7F"/>
      </w:tcPr>
    </w:tblStylePr>
    <w:tblStylePr w:type="band1Horz">
      <w:tblPr/>
      <w:tcPr>
        <w:shd w:val="clear" w:color="auto" w:fill="000000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4" w:themeFillTint="33"/>
    </w:tcPr>
    <w:tblStylePr w:type="firstRow">
      <w:rPr>
        <w:b/>
        <w:bCs/>
      </w:rPr>
      <w:tblPr/>
      <w:tcPr>
        <w:shd w:val="clear" w:color="auto" w:fill="000000" w:themeFill="accent4" w:themeFillTint="66"/>
      </w:tcPr>
    </w:tblStylePr>
    <w:tblStylePr w:type="lastRow">
      <w:rPr>
        <w:b/>
        <w:bCs/>
        <w:color w:val="000000" val="000000"/>
      </w:rPr>
      <w:tblPr/>
      <w:tcPr>
        <w:shd w:val="clear" w:color="auto" w:fill="000000" w:themeFill="accent4" w:themeFillTint="66"/>
      </w:tcPr>
    </w:tblStylePr>
    <w:tblStylePr w:type="firstCol">
      <w:rPr>
        <w:color w:val="FFFFFF" val="000000"/>
      </w:rPr>
      <w:tblPr/>
      <w:tcPr>
        <w:shd w:val="clear" w:color="auto" w:fill="000000" w:themeFill="accent4" w:themeFillShade="BF"/>
      </w:tcPr>
    </w:tblStylePr>
    <w:tblStylePr w:type="lastCol">
      <w:rPr>
        <w:color w:val="FFFFFF" val="000000"/>
      </w:rPr>
      <w:tblPr/>
      <w:tcPr>
        <w:shd w:val="clear" w:color="auto" w:fill="000000" w:themeFill="accent4" w:themeFillShade="BF"/>
      </w:tcPr>
    </w:tblStylePr>
    <w:tblStylePr w:type="band1Vert">
      <w:tblPr/>
      <w:tcPr>
        <w:shd w:val="clear" w:color="auto" w:fill="000000" w:themeFill="accent4" w:themeFillTint="7F"/>
      </w:tcPr>
    </w:tblStylePr>
    <w:tblStylePr w:type="band1Horz">
      <w:tblPr/>
      <w:tcPr>
        <w:shd w:val="clear" w:color="auto" w:fill="00000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5" w:themeFillTint="33"/>
    </w:tcPr>
    <w:tblStylePr w:type="firstRow">
      <w:rPr>
        <w:b/>
        <w:bCs/>
      </w:rPr>
      <w:tblPr/>
      <w:tcPr>
        <w:shd w:val="clear" w:color="auto" w:fill="000000" w:themeFill="accent5" w:themeFillTint="66"/>
      </w:tcPr>
    </w:tblStylePr>
    <w:tblStylePr w:type="lastRow">
      <w:rPr>
        <w:b/>
        <w:bCs/>
        <w:color w:val="000000" val="000000"/>
      </w:rPr>
      <w:tblPr/>
      <w:tcPr>
        <w:shd w:val="clear" w:color="auto" w:fill="000000" w:themeFill="accent5" w:themeFillTint="66"/>
      </w:tcPr>
    </w:tblStylePr>
    <w:tblStylePr w:type="firstCol">
      <w:rPr>
        <w:color w:val="FFFFFF" val="000000"/>
      </w:rPr>
      <w:tblPr/>
      <w:tcPr>
        <w:shd w:val="clear" w:color="auto" w:fill="000000" w:themeFill="accent5" w:themeFillShade="BF"/>
      </w:tcPr>
    </w:tblStylePr>
    <w:tblStylePr w:type="lastCol">
      <w:rPr>
        <w:color w:val="FFFFFF" val="000000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000000" w:themeFill="accent5" w:themeFillTint="7F"/>
      </w:tcPr>
    </w:tblStylePr>
    <w:tblStylePr w:type="band1Horz">
      <w:tblPr/>
      <w:tcPr>
        <w:shd w:val="clear" w:color="auto" w:fill="000000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 w:color="000000"/>
        <w:left w:w="108" w:type="dxa" w:color="000000"/>
        <w:bottom w:w="0" w:type="dxa" w:color="000000"/>
        <w:right w:w="108" w:type="dxa" w:color="000000"/>
      </w:tblCellMar>
    </w:tblPr>
    <w:tcPr>
      <w:shd w:val="clear" w:color="auto" w:fill="000000" w:themeFill="accent6" w:themeFillTint="33"/>
    </w:tcPr>
    <w:tblStylePr w:type="firstRow">
      <w:rPr>
        <w:b/>
        <w:bCs/>
      </w:rPr>
      <w:tblPr/>
      <w:tcPr>
        <w:shd w:val="clear" w:color="auto" w:fill="000000" w:themeFill="accent6" w:themeFillTint="66"/>
      </w:tcPr>
    </w:tblStylePr>
    <w:tblStylePr w:type="lastRow">
      <w:rPr>
        <w:b/>
        <w:bCs/>
        <w:color w:val="000000" val="000000"/>
      </w:rPr>
      <w:tblPr/>
      <w:tcPr>
        <w:shd w:val="clear" w:color="auto" w:fill="000000" w:themeFill="accent6" w:themeFillTint="66"/>
      </w:tcPr>
    </w:tblStylePr>
    <w:tblStylePr w:type="firstCol">
      <w:rPr>
        <w:color w:val="FFFFFF" val="000000"/>
      </w:rPr>
      <w:tblPr/>
      <w:tcPr>
        <w:shd w:val="clear" w:color="auto" w:fill="000000" w:themeFill="accent6" w:themeFillShade="BF"/>
      </w:tcPr>
    </w:tblStylePr>
    <w:tblStylePr w:type="lastCol">
      <w:rPr>
        <w:color w:val="FFFFFF" val="000000"/>
      </w:rPr>
      <w:tblPr/>
      <w:tcPr>
        <w:shd w:val="clear" w:color="auto" w:fill="000000" w:themeFill="accent6" w:themeFillShade="BF"/>
      </w:tcPr>
    </w:tblStylePr>
    <w:tblStylePr w:type="band1Vert">
      <w:tblPr/>
      <w:tcPr>
        <w:shd w:val="clear" w:color="auto" w:fill="000000" w:themeFill="accent6" w:themeFillTint="7F"/>
      </w:tcPr>
    </w:tblStylePr>
    <w:tblStylePr w:type="band1Horz">
      <w:tblPr/>
      <w:tcPr>
        <w:shd w:val="clear" w:color="auto" w:fill="00000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header" Target="header2.xml"/><Relationship Id="rId17" Type="http://schemas.openxmlformats.org/officeDocument/2006/relationships/footer" Target="footer2.xml"/><Relationship Id="rId18" Type="http://schemas.openxmlformats.org/officeDocument/2006/relationships/header" Target="header3.xml"/><Relationship Id="rId1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00000"/>
      </a:dk2>
      <a:lt2>
        <a:srgbClr val="000000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rgbClr val="000000"/>
        </a:solidFill>
        <a:gradFill rotWithShape="1">
          <a:gsLst>
            <a:gs pos="0">
              <a:srgbClr val="000000">
                <a:tint val="50000"/>
                <a:satMod val="300000"/>
              </a:srgbClr>
            </a:gs>
            <a:gs pos="35000">
              <a:srgbClr val="000000">
                <a:tint val="37000"/>
                <a:satMod val="300000"/>
              </a:srgbClr>
            </a:gs>
            <a:gs pos="100000">
              <a:srgbClr val="000000">
                <a:tint val="15000"/>
                <a:satMod val="350000"/>
              </a:srgbClr>
            </a:gs>
          </a:gsLst>
          <a:lin ang="16200000" scaled="1"/>
        </a:gradFill>
        <a:gradFill rotWithShape="1">
          <a:gsLst>
            <a:gs pos="0">
              <a:srgbClr val="000000">
                <a:tint val="100000"/>
                <a:shade val="100000"/>
                <a:satMod val="130000"/>
              </a:srgbClr>
            </a:gs>
            <a:gs pos="100000">
              <a:srgbClr val="000000">
                <a:tint val="50000"/>
                <a:shade val="100000"/>
                <a:satMod val="350000"/>
              </a:srgbClr>
            </a:gs>
          </a:gsLst>
          <a:lin ang="16200000" scaled="0"/>
        </a:gradFill>
      </a:fillStyleLst>
      <a:lnStyleLst>
        <a:ln w="9525" cap="flat" cmpd="sng" algn="ctr">
          <a:solidFill>
            <a:srgbClr val="000000">
              <a:shade val="95000"/>
              <a:satMod val="105000"/>
            </a:srgbClr>
          </a:solidFill>
          <a:prstDash val="solid"/>
        </a:ln>
        <a:ln w="25400" cap="flat" cmpd="sng" algn="ctr">
          <a:solidFill>
            <a:srgbClr val="000000"/>
          </a:solidFill>
          <a:prstDash val="solid"/>
        </a:ln>
        <a:ln w="38100" cap="flat" cmpd="sng" algn="ctr">
          <a:solidFill>
            <a:srgbClr val="000000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rgbClr val="000000"/>
        </a:solidFill>
        <a:gradFill rotWithShape="1">
          <a:gsLst>
            <a:gs pos="0">
              <a:srgbClr val="000000">
                <a:tint val="40000"/>
                <a:satMod val="350000"/>
              </a:srgbClr>
            </a:gs>
            <a:gs pos="40000">
              <a:srgbClr val="000000">
                <a:tint val="45000"/>
                <a:shade val="99000"/>
                <a:satMod val="350000"/>
              </a:srgbClr>
            </a:gs>
            <a:gs pos="100000">
              <a:srgbClr val="000000">
                <a:shade val="20000"/>
                <a:satMod val="255000"/>
              </a:srgb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rgbClr val="000000">
                <a:tint val="80000"/>
                <a:satMod val="300000"/>
              </a:srgbClr>
            </a:gs>
            <a:gs pos="100000">
              <a:srgbClr val="000000">
                <a:shade val="30000"/>
                <a:satMod val="200000"/>
              </a:srgb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rgbClr val="000000"/>
        </a:lnRef>
        <a:fillRef idx="3">
          <a:srgbClr val="000000"/>
        </a:fillRef>
        <a:effectRef idx="2">
          <a:srgbClr val="000000"/>
        </a:effectRef>
        <a:fontRef idx="minor">
          <a:srgbClr val="000000"/>
        </a:fontRef>
      </a:style>
    </a:spDef>
    <a:lnDef>
      <a:spPr/>
      <a:bodyPr/>
      <a:lstStyle/>
      <a:style>
        <a:lnRef idx="2">
          <a:srgbClr val="000000"/>
        </a:lnRef>
        <a:fillRef idx="0">
          <a:srgbClr val="000000"/>
        </a:fillRef>
        <a:effectRef idx="1">
          <a:srgbClr val="000000"/>
        </a:effectRef>
        <a:fontRef idx="minor">
          <a:srgbClr val="000000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</dc:title>
  <dc:subject/>
  <dc:creator>Anonymous</dc:creator>
  <cp:keywords/>
  <dc:description/>
  <cp:lastModifiedBy>Anonymous</cp:lastModifiedBy>
  <cp:revision>1</cp:revision>
  <dcterms:created xsi:type="dcterms:W3CDTF">2013-12-23T23:15:00Z</dcterms:created>
  <dcterms:modified xsi:type="dcterms:W3CDTF">2013-12-23T23:15:00Z</dcterms:modified>
  <cp:category/>
</cp:coreProperties>
</file>