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rFonts w:ascii="Times New Roman" w:hAnsi="Times New Roman"/>
          <w:color w:val="000000"/>
        </w:rPr>
        <w:t>Supplemental 1</w:t>
      </w:r>
    </w:p>
    <w:p>
      <w:pPr>
        <w:pStyle w:val="Heading2"/>
      </w:pPr>
      <w:r>
        <w:rPr>
          <w:rFonts w:ascii="Times New Roman" w:hAnsi="Times New Roman"/>
          <w:color w:val="000000"/>
        </w:rPr>
        <w:t>S1. Cohort characteristics and missingness</w:t>
      </w:r>
    </w:p>
    <w:p>
      <w:r>
        <w:rPr>
          <w:rFonts w:ascii="Times New Roman" w:hAnsi="Times New Roman"/>
          <w:color w:val="000000"/>
        </w:rPr>
        <w:t>Supplemental Table 1. ADNI baseline characteristics by primary event status (censored / no recorded MCI/AD diagnosis versus first recorded MCI/AD diagnosis). Continuous variables are mean (SD); categorical variables are n (%). Percentages are computed within the non-missing N for each column. Participants in the censored group had no recorded MCI/AD diagnosis during observed follow-up and may have had variable follow-up duration.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358"/>
        <w:gridCol w:w="3358"/>
        <w:gridCol w:w="3358"/>
      </w:tblGrid>
      <w:tr>
        <w:tc>
          <w:tcPr>
            <w:tcW w:type="dxa" w:w="3358"/>
          </w:tcPr>
          <w:p>
            <w:r>
              <w:rPr>
                <w:rFonts w:ascii="Times New Roman" w:hAnsi="Times New Roman"/>
                <w:color w:val="000000"/>
              </w:rPr>
              <w:t>Characteristic</w:t>
            </w:r>
          </w:p>
        </w:tc>
        <w:tc>
          <w:tcPr>
            <w:tcW w:type="dxa" w:w="3358"/>
          </w:tcPr>
          <w:p>
            <w:r>
              <w:rPr>
                <w:rFonts w:ascii="Times New Roman" w:hAnsi="Times New Roman"/>
                <w:color w:val="000000"/>
              </w:rPr>
              <w:t>Censored / no recorded MCI/AD diagnosis</w:t>
            </w:r>
          </w:p>
        </w:tc>
        <w:tc>
          <w:tcPr>
            <w:tcW w:type="dxa" w:w="3358"/>
          </w:tcPr>
          <w:p>
            <w:r>
              <w:rPr>
                <w:rFonts w:ascii="Times New Roman" w:hAnsi="Times New Roman"/>
                <w:color w:val="000000"/>
              </w:rPr>
              <w:t>First recorded MCI/AD diagnosis</w:t>
            </w:r>
          </w:p>
        </w:tc>
      </w:tr>
      <w:tr>
        <w:tc>
          <w:tcPr>
            <w:tcW w:type="dxa" w:w="3358"/>
          </w:tcPr>
          <w:p>
            <w:r>
              <w:rPr>
                <w:rFonts w:ascii="Times New Roman" w:hAnsi="Times New Roman"/>
                <w:color w:val="000000"/>
              </w:rPr>
              <w:t>n (events)</w:t>
            </w:r>
          </w:p>
        </w:tc>
        <w:tc>
          <w:tcPr>
            <w:tcW w:type="dxa" w:w="3358"/>
          </w:tcPr>
          <w:p>
            <w:r>
              <w:rPr>
                <w:rFonts w:ascii="Times New Roman" w:hAnsi="Times New Roman"/>
                <w:color w:val="000000"/>
              </w:rPr>
              <w:t>1474 (0)</w:t>
            </w:r>
          </w:p>
        </w:tc>
        <w:tc>
          <w:tcPr>
            <w:tcW w:type="dxa" w:w="3358"/>
          </w:tcPr>
          <w:p>
            <w:r>
              <w:rPr>
                <w:rFonts w:ascii="Times New Roman" w:hAnsi="Times New Roman"/>
                <w:color w:val="000000"/>
              </w:rPr>
              <w:t>288 (288)</w:t>
            </w:r>
          </w:p>
        </w:tc>
      </w:tr>
      <w:tr>
        <w:tc>
          <w:tcPr>
            <w:tcW w:type="dxa" w:w="3358"/>
          </w:tcPr>
          <w:p>
            <w:r>
              <w:rPr>
                <w:rFonts w:ascii="Times New Roman" w:hAnsi="Times New Roman"/>
                <w:color w:val="000000"/>
              </w:rPr>
              <w:t>Age, years</w:t>
            </w:r>
          </w:p>
        </w:tc>
        <w:tc>
          <w:tcPr>
            <w:tcW w:type="dxa" w:w="3358"/>
          </w:tcPr>
          <w:p>
            <w:r>
              <w:rPr>
                <w:rFonts w:ascii="Times New Roman" w:hAnsi="Times New Roman"/>
                <w:color w:val="000000"/>
              </w:rPr>
              <w:t>70.98 (7.90)</w:t>
            </w:r>
          </w:p>
        </w:tc>
        <w:tc>
          <w:tcPr>
            <w:tcW w:type="dxa" w:w="3358"/>
          </w:tcPr>
          <w:p>
            <w:r>
              <w:rPr>
                <w:rFonts w:ascii="Times New Roman" w:hAnsi="Times New Roman"/>
                <w:color w:val="000000"/>
              </w:rPr>
              <w:t>75.45 (6.86)</w:t>
            </w:r>
          </w:p>
        </w:tc>
      </w:tr>
      <w:tr>
        <w:tc>
          <w:tcPr>
            <w:tcW w:type="dxa" w:w="3358"/>
          </w:tcPr>
          <w:p>
            <w:r>
              <w:rPr>
                <w:rFonts w:ascii="Times New Roman" w:hAnsi="Times New Roman"/>
                <w:color w:val="000000"/>
              </w:rPr>
              <w:t>Education, years</w:t>
            </w:r>
          </w:p>
        </w:tc>
        <w:tc>
          <w:tcPr>
            <w:tcW w:type="dxa" w:w="3358"/>
          </w:tcPr>
          <w:p>
            <w:r>
              <w:rPr>
                <w:rFonts w:ascii="Times New Roman" w:hAnsi="Times New Roman"/>
                <w:color w:val="000000"/>
              </w:rPr>
              <w:t>16.53 (2.51)</w:t>
            </w:r>
          </w:p>
        </w:tc>
        <w:tc>
          <w:tcPr>
            <w:tcW w:type="dxa" w:w="3358"/>
          </w:tcPr>
          <w:p>
            <w:r>
              <w:rPr>
                <w:rFonts w:ascii="Times New Roman" w:hAnsi="Times New Roman"/>
                <w:color w:val="000000"/>
              </w:rPr>
              <w:t>16.04 (2.64)</w:t>
            </w:r>
          </w:p>
        </w:tc>
      </w:tr>
      <w:tr>
        <w:tc>
          <w:tcPr>
            <w:tcW w:type="dxa" w:w="3358"/>
          </w:tcPr>
          <w:p>
            <w:r>
              <w:rPr>
                <w:rFonts w:ascii="Times New Roman" w:hAnsi="Times New Roman"/>
                <w:color w:val="000000"/>
              </w:rPr>
              <w:t>MMSE</w:t>
            </w:r>
          </w:p>
        </w:tc>
        <w:tc>
          <w:tcPr>
            <w:tcW w:type="dxa" w:w="3358"/>
          </w:tcPr>
          <w:p>
            <w:r>
              <w:rPr>
                <w:rFonts w:ascii="Times New Roman" w:hAnsi="Times New Roman"/>
                <w:color w:val="000000"/>
              </w:rPr>
              <w:t>29.02 (1.16)</w:t>
            </w:r>
          </w:p>
        </w:tc>
        <w:tc>
          <w:tcPr>
            <w:tcW w:type="dxa" w:w="3358"/>
          </w:tcPr>
          <w:p>
            <w:r>
              <w:rPr>
                <w:rFonts w:ascii="Times New Roman" w:hAnsi="Times New Roman"/>
                <w:color w:val="000000"/>
              </w:rPr>
              <w:t>28.72 (1.37)</w:t>
            </w:r>
          </w:p>
        </w:tc>
      </w:tr>
      <w:tr>
        <w:tc>
          <w:tcPr>
            <w:tcW w:type="dxa" w:w="3358"/>
          </w:tcPr>
          <w:p>
            <w:r>
              <w:rPr>
                <w:rFonts w:ascii="Times New Roman" w:hAnsi="Times New Roman"/>
                <w:color w:val="000000"/>
              </w:rPr>
              <w:t>APOE4 carrier, n (%)</w:t>
            </w:r>
          </w:p>
        </w:tc>
        <w:tc>
          <w:tcPr>
            <w:tcW w:type="dxa" w:w="3358"/>
          </w:tcPr>
          <w:p>
            <w:r>
              <w:rPr>
                <w:rFonts w:ascii="Times New Roman" w:hAnsi="Times New Roman"/>
                <w:color w:val="000000"/>
              </w:rPr>
              <w:t>299 (31.4)</w:t>
            </w:r>
          </w:p>
        </w:tc>
        <w:tc>
          <w:tcPr>
            <w:tcW w:type="dxa" w:w="3358"/>
          </w:tcPr>
          <w:p>
            <w:r>
              <w:rPr>
                <w:rFonts w:ascii="Times New Roman" w:hAnsi="Times New Roman"/>
                <w:color w:val="000000"/>
              </w:rPr>
              <w:t>110 (38.9)</w:t>
            </w:r>
          </w:p>
        </w:tc>
      </w:tr>
      <w:tr>
        <w:tc>
          <w:tcPr>
            <w:tcW w:type="dxa" w:w="3358"/>
          </w:tcPr>
          <w:p>
            <w:r>
              <w:rPr>
                <w:rFonts w:ascii="Times New Roman" w:hAnsi="Times New Roman"/>
                <w:color w:val="000000"/>
              </w:rPr>
              <w:t>Centiloid</w:t>
            </w:r>
          </w:p>
        </w:tc>
        <w:tc>
          <w:tcPr>
            <w:tcW w:type="dxa" w:w="3358"/>
          </w:tcPr>
          <w:p>
            <w:r>
              <w:rPr>
                <w:rFonts w:ascii="Times New Roman" w:hAnsi="Times New Roman"/>
                <w:color w:val="000000"/>
              </w:rPr>
              <w:t>19.42 (36.98)</w:t>
            </w:r>
          </w:p>
        </w:tc>
        <w:tc>
          <w:tcPr>
            <w:tcW w:type="dxa" w:w="3358"/>
          </w:tcPr>
          <w:p>
            <w:r>
              <w:rPr>
                <w:rFonts w:ascii="Times New Roman" w:hAnsi="Times New Roman"/>
                <w:color w:val="000000"/>
              </w:rPr>
              <w:t>35.71 (45.44)</w:t>
            </w:r>
          </w:p>
        </w:tc>
      </w:tr>
      <w:tr>
        <w:tc>
          <w:tcPr>
            <w:tcW w:type="dxa" w:w="3358"/>
          </w:tcPr>
          <w:p>
            <w:r>
              <w:rPr>
                <w:rFonts w:ascii="Times New Roman" w:hAnsi="Times New Roman"/>
                <w:color w:val="000000"/>
              </w:rPr>
              <w:t>Amyloid positive, n (%)</w:t>
            </w:r>
          </w:p>
        </w:tc>
        <w:tc>
          <w:tcPr>
            <w:tcW w:type="dxa" w:w="3358"/>
          </w:tcPr>
          <w:p>
            <w:r>
              <w:rPr>
                <w:rFonts w:ascii="Times New Roman" w:hAnsi="Times New Roman"/>
                <w:color w:val="000000"/>
              </w:rPr>
              <w:t>147 (29.1)</w:t>
            </w:r>
          </w:p>
        </w:tc>
        <w:tc>
          <w:tcPr>
            <w:tcW w:type="dxa" w:w="3358"/>
          </w:tcPr>
          <w:p>
            <w:r>
              <w:rPr>
                <w:rFonts w:ascii="Times New Roman" w:hAnsi="Times New Roman"/>
                <w:color w:val="000000"/>
              </w:rPr>
              <w:t>66 (47.8)</w:t>
            </w:r>
          </w:p>
        </w:tc>
      </w:tr>
      <w:tr>
        <w:tc>
          <w:tcPr>
            <w:tcW w:type="dxa" w:w="3358"/>
          </w:tcPr>
          <w:p>
            <w:r>
              <w:rPr>
                <w:rFonts w:ascii="Times New Roman" w:hAnsi="Times New Roman"/>
                <w:color w:val="000000"/>
              </w:rPr>
              <w:t>Hippocampal volume</w:t>
            </w:r>
          </w:p>
        </w:tc>
        <w:tc>
          <w:tcPr>
            <w:tcW w:type="dxa" w:w="3358"/>
          </w:tcPr>
          <w:p>
            <w:r>
              <w:rPr>
                <w:rFonts w:ascii="Times New Roman" w:hAnsi="Times New Roman"/>
                <w:color w:val="000000"/>
              </w:rPr>
              <w:t>7853.47 (850.14)</w:t>
            </w:r>
          </w:p>
        </w:tc>
        <w:tc>
          <w:tcPr>
            <w:tcW w:type="dxa" w:w="3358"/>
          </w:tcPr>
          <w:p>
            <w:r>
              <w:rPr>
                <w:rFonts w:ascii="Times New Roman" w:hAnsi="Times New Roman"/>
                <w:color w:val="000000"/>
              </w:rPr>
              <w:t>7490.29 (840.06)</w:t>
            </w:r>
          </w:p>
        </w:tc>
      </w:tr>
      <w:tr>
        <w:tc>
          <w:tcPr>
            <w:tcW w:type="dxa" w:w="3358"/>
          </w:tcPr>
          <w:p>
            <w:r>
              <w:rPr>
                <w:rFonts w:ascii="Times New Roman" w:hAnsi="Times New Roman"/>
                <w:color w:val="000000"/>
              </w:rPr>
              <w:t>ECog self total</w:t>
            </w:r>
          </w:p>
        </w:tc>
        <w:tc>
          <w:tcPr>
            <w:tcW w:type="dxa" w:w="3358"/>
          </w:tcPr>
          <w:p>
            <w:r>
              <w:rPr>
                <w:rFonts w:ascii="Times New Roman" w:hAnsi="Times New Roman"/>
                <w:color w:val="000000"/>
              </w:rPr>
              <w:t>1.40 (0.39)</w:t>
            </w:r>
          </w:p>
        </w:tc>
        <w:tc>
          <w:tcPr>
            <w:tcW w:type="dxa" w:w="3358"/>
          </w:tcPr>
          <w:p>
            <w:r>
              <w:rPr>
                <w:rFonts w:ascii="Times New Roman" w:hAnsi="Times New Roman"/>
                <w:color w:val="000000"/>
              </w:rPr>
              <w:t>1.56 (0.50)</w:t>
            </w:r>
          </w:p>
        </w:tc>
      </w:tr>
      <w:tr>
        <w:tc>
          <w:tcPr>
            <w:tcW w:type="dxa" w:w="3358"/>
          </w:tcPr>
          <w:p>
            <w:r>
              <w:rPr>
                <w:rFonts w:ascii="Times New Roman" w:hAnsi="Times New Roman"/>
                <w:color w:val="000000"/>
              </w:rPr>
              <w:t>ECog informant total</w:t>
            </w:r>
          </w:p>
        </w:tc>
        <w:tc>
          <w:tcPr>
            <w:tcW w:type="dxa" w:w="3358"/>
          </w:tcPr>
          <w:p>
            <w:r>
              <w:rPr>
                <w:rFonts w:ascii="Times New Roman" w:hAnsi="Times New Roman"/>
                <w:color w:val="000000"/>
              </w:rPr>
              <w:t>1.19 (0.28)</w:t>
            </w:r>
          </w:p>
        </w:tc>
        <w:tc>
          <w:tcPr>
            <w:tcW w:type="dxa" w:w="3358"/>
          </w:tcPr>
          <w:p>
            <w:r>
              <w:rPr>
                <w:rFonts w:ascii="Times New Roman" w:hAnsi="Times New Roman"/>
                <w:color w:val="000000"/>
              </w:rPr>
              <w:t>1.31 (0.31)</w:t>
            </w:r>
          </w:p>
        </w:tc>
      </w:tr>
      <w:tr>
        <w:tc>
          <w:tcPr>
            <w:tcW w:type="dxa" w:w="3358"/>
          </w:tcPr>
          <w:p>
            <w:r>
              <w:rPr>
                <w:rFonts w:ascii="Times New Roman" w:hAnsi="Times New Roman"/>
                <w:color w:val="000000"/>
              </w:rPr>
              <w:t>ECog dyadic mean</w:t>
            </w:r>
          </w:p>
        </w:tc>
        <w:tc>
          <w:tcPr>
            <w:tcW w:type="dxa" w:w="3358"/>
          </w:tcPr>
          <w:p>
            <w:r>
              <w:rPr>
                <w:rFonts w:ascii="Times New Roman" w:hAnsi="Times New Roman"/>
                <w:color w:val="000000"/>
              </w:rPr>
              <w:t>1.30 (0.28)</w:t>
            </w:r>
          </w:p>
        </w:tc>
        <w:tc>
          <w:tcPr>
            <w:tcW w:type="dxa" w:w="3358"/>
          </w:tcPr>
          <w:p>
            <w:r>
              <w:rPr>
                <w:rFonts w:ascii="Times New Roman" w:hAnsi="Times New Roman"/>
                <w:color w:val="000000"/>
              </w:rPr>
              <w:t>1.44 (0.31)</w:t>
            </w:r>
          </w:p>
        </w:tc>
      </w:tr>
      <w:tr>
        <w:tc>
          <w:tcPr>
            <w:tcW w:type="dxa" w:w="3358"/>
          </w:tcPr>
          <w:p>
            <w:r>
              <w:rPr>
                <w:rFonts w:ascii="Times New Roman" w:hAnsi="Times New Roman"/>
                <w:color w:val="000000"/>
              </w:rPr>
              <w:t>ECog dyadic gap</w:t>
            </w:r>
          </w:p>
        </w:tc>
        <w:tc>
          <w:tcPr>
            <w:tcW w:type="dxa" w:w="3358"/>
          </w:tcPr>
          <w:p>
            <w:r>
              <w:rPr>
                <w:rFonts w:ascii="Times New Roman" w:hAnsi="Times New Roman"/>
                <w:color w:val="000000"/>
              </w:rPr>
              <w:t>-0.21 (0.40)</w:t>
            </w:r>
          </w:p>
        </w:tc>
        <w:tc>
          <w:tcPr>
            <w:tcW w:type="dxa" w:w="3358"/>
          </w:tcPr>
          <w:p>
            <w:r>
              <w:rPr>
                <w:rFonts w:ascii="Times New Roman" w:hAnsi="Times New Roman"/>
                <w:color w:val="000000"/>
              </w:rPr>
              <w:t>-0.25 (0.55)</w:t>
            </w:r>
          </w:p>
        </w:tc>
      </w:tr>
    </w:tbl>
    <w:p>
      <w:r>
        <w:rPr>
          <w:rFonts w:ascii="Times New Roman" w:hAnsi="Times New Roman"/>
          <w:color w:val="000000"/>
        </w:rPr>
        <w:t>Supplemental Table 1 (continued). Predictor missingness by landmark-year band. ADNI phase was not a curated variable in the provided data; year band is a proxy for recruitment/assessment wave. Percent missing is the proportion of participants in each band with missing values for the listed variable.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119"/>
        <w:gridCol w:w="1119"/>
        <w:gridCol w:w="1119"/>
        <w:gridCol w:w="1119"/>
        <w:gridCol w:w="1119"/>
        <w:gridCol w:w="1119"/>
        <w:gridCol w:w="1119"/>
        <w:gridCol w:w="1119"/>
        <w:gridCol w:w="1119"/>
      </w:tblGrid>
      <w:tr>
        <w:tc>
          <w:tcPr>
            <w:tcW w:type="dxa" w:w="1119"/>
          </w:tcPr>
          <w:p>
            <w:r>
              <w:rPr>
                <w:rFonts w:ascii="Times New Roman" w:hAnsi="Times New Roman"/>
                <w:color w:val="000000"/>
              </w:rPr>
              <w:t>Year band</w:t>
            </w:r>
          </w:p>
        </w:tc>
        <w:tc>
          <w:tcPr>
            <w:tcW w:type="dxa" w:w="1119"/>
          </w:tcPr>
          <w:p>
            <w:r>
              <w:rPr>
                <w:rFonts w:ascii="Times New Roman" w:hAnsi="Times New Roman"/>
                <w:color w:val="000000"/>
              </w:rPr>
              <w:t>n</w:t>
            </w:r>
          </w:p>
        </w:tc>
        <w:tc>
          <w:tcPr>
            <w:tcW w:type="dxa" w:w="1119"/>
          </w:tcPr>
          <w:p>
            <w:r>
              <w:rPr>
                <w:rFonts w:ascii="Times New Roman" w:hAnsi="Times New Roman"/>
                <w:color w:val="000000"/>
              </w:rPr>
              <w:t>Events (%)</w:t>
            </w:r>
          </w:p>
        </w:tc>
        <w:tc>
          <w:tcPr>
            <w:tcW w:type="dxa" w:w="1119"/>
          </w:tcPr>
          <w:p>
            <w:r>
              <w:rPr>
                <w:rFonts w:ascii="Times New Roman" w:hAnsi="Times New Roman"/>
                <w:color w:val="000000"/>
              </w:rPr>
              <w:t>ECog self missing %</w:t>
            </w:r>
          </w:p>
        </w:tc>
        <w:tc>
          <w:tcPr>
            <w:tcW w:type="dxa" w:w="1119"/>
          </w:tcPr>
          <w:p>
            <w:r>
              <w:rPr>
                <w:rFonts w:ascii="Times New Roman" w:hAnsi="Times New Roman"/>
                <w:color w:val="000000"/>
              </w:rPr>
              <w:t>ECog informant missing %</w:t>
            </w:r>
          </w:p>
        </w:tc>
        <w:tc>
          <w:tcPr>
            <w:tcW w:type="dxa" w:w="1119"/>
          </w:tcPr>
          <w:p>
            <w:r>
              <w:rPr>
                <w:rFonts w:ascii="Times New Roman" w:hAnsi="Times New Roman"/>
                <w:color w:val="000000"/>
              </w:rPr>
              <w:t>Centiloid missing %</w:t>
            </w:r>
          </w:p>
        </w:tc>
        <w:tc>
          <w:tcPr>
            <w:tcW w:type="dxa" w:w="1119"/>
          </w:tcPr>
          <w:p>
            <w:r>
              <w:rPr>
                <w:rFonts w:ascii="Times New Roman" w:hAnsi="Times New Roman"/>
                <w:color w:val="000000"/>
              </w:rPr>
              <w:t>Amyloid status missing %</w:t>
            </w:r>
          </w:p>
        </w:tc>
        <w:tc>
          <w:tcPr>
            <w:tcW w:type="dxa" w:w="1119"/>
          </w:tcPr>
          <w:p>
            <w:r>
              <w:rPr>
                <w:rFonts w:ascii="Times New Roman" w:hAnsi="Times New Roman"/>
                <w:color w:val="000000"/>
              </w:rPr>
              <w:t>Hippocampus missing %</w:t>
            </w:r>
          </w:p>
        </w:tc>
        <w:tc>
          <w:tcPr>
            <w:tcW w:type="dxa" w:w="1119"/>
          </w:tcPr>
          <w:p>
            <w:r>
              <w:rPr>
                <w:rFonts w:ascii="Times New Roman" w:hAnsi="Times New Roman"/>
                <w:color w:val="000000"/>
              </w:rPr>
              <w:t>APOE missing %</w:t>
            </w:r>
          </w:p>
        </w:tc>
      </w:tr>
      <w:tr>
        <w:tc>
          <w:tcPr>
            <w:tcW w:type="dxa" w:w="1119"/>
          </w:tcPr>
          <w:p>
            <w:r>
              <w:rPr>
                <w:rFonts w:ascii="Times New Roman" w:hAnsi="Times New Roman"/>
                <w:color w:val="000000"/>
              </w:rPr>
              <w:t>2005–2010</w:t>
            </w:r>
          </w:p>
        </w:tc>
        <w:tc>
          <w:tcPr>
            <w:tcW w:type="dxa" w:w="1119"/>
          </w:tcPr>
          <w:p>
            <w:r>
              <w:rPr>
                <w:rFonts w:ascii="Times New Roman" w:hAnsi="Times New Roman"/>
                <w:color w:val="000000"/>
              </w:rPr>
              <w:t>211</w:t>
            </w:r>
          </w:p>
        </w:tc>
        <w:tc>
          <w:tcPr>
            <w:tcW w:type="dxa" w:w="1119"/>
          </w:tcPr>
          <w:p>
            <w:r>
              <w:rPr>
                <w:rFonts w:ascii="Times New Roman" w:hAnsi="Times New Roman"/>
                <w:color w:val="000000"/>
              </w:rPr>
              <w:t>84 (39.8)</w:t>
            </w:r>
          </w:p>
        </w:tc>
        <w:tc>
          <w:tcPr>
            <w:tcW w:type="dxa" w:w="1119"/>
          </w:tcPr>
          <w:p>
            <w:r>
              <w:rPr>
                <w:rFonts w:ascii="Times New Roman" w:hAnsi="Times New Roman"/>
                <w:color w:val="000000"/>
              </w:rPr>
              <w:t>99.1</w:t>
            </w:r>
          </w:p>
        </w:tc>
        <w:tc>
          <w:tcPr>
            <w:tcW w:type="dxa" w:w="1119"/>
          </w:tcPr>
          <w:p>
            <w:r>
              <w:rPr>
                <w:rFonts w:ascii="Times New Roman" w:hAnsi="Times New Roman"/>
                <w:color w:val="000000"/>
              </w:rPr>
              <w:t>99.1</w:t>
            </w:r>
          </w:p>
        </w:tc>
        <w:tc>
          <w:tcPr>
            <w:tcW w:type="dxa" w:w="1119"/>
          </w:tcPr>
          <w:p>
            <w:r>
              <w:rPr>
                <w:rFonts w:ascii="Times New Roman" w:hAnsi="Times New Roman"/>
                <w:color w:val="000000"/>
              </w:rPr>
              <w:t>73.9</w:t>
            </w:r>
          </w:p>
        </w:tc>
        <w:tc>
          <w:tcPr>
            <w:tcW w:type="dxa" w:w="1119"/>
          </w:tcPr>
          <w:p>
            <w:r>
              <w:rPr>
                <w:rFonts w:ascii="Times New Roman" w:hAnsi="Times New Roman"/>
                <w:color w:val="000000"/>
              </w:rPr>
              <w:t>73.9</w:t>
            </w:r>
          </w:p>
        </w:tc>
        <w:tc>
          <w:tcPr>
            <w:tcW w:type="dxa" w:w="1119"/>
          </w:tcPr>
          <w:p>
            <w:r>
              <w:rPr>
                <w:rFonts w:ascii="Times New Roman" w:hAnsi="Times New Roman"/>
                <w:color w:val="000000"/>
              </w:rPr>
              <w:t>78.7</w:t>
            </w:r>
          </w:p>
        </w:tc>
        <w:tc>
          <w:tcPr>
            <w:tcW w:type="dxa" w:w="1119"/>
          </w:tcPr>
          <w:p>
            <w:r>
              <w:rPr>
                <w:rFonts w:ascii="Times New Roman" w:hAnsi="Times New Roman"/>
                <w:color w:val="000000"/>
              </w:rPr>
              <w:t>0.0</w:t>
            </w:r>
          </w:p>
        </w:tc>
      </w:tr>
      <w:tr>
        <w:tc>
          <w:tcPr>
            <w:tcW w:type="dxa" w:w="1119"/>
          </w:tcPr>
          <w:p>
            <w:r>
              <w:rPr>
                <w:rFonts w:ascii="Times New Roman" w:hAnsi="Times New Roman"/>
                <w:color w:val="000000"/>
              </w:rPr>
              <w:t>2011–2014</w:t>
            </w:r>
          </w:p>
        </w:tc>
        <w:tc>
          <w:tcPr>
            <w:tcW w:type="dxa" w:w="1119"/>
          </w:tcPr>
          <w:p>
            <w:r>
              <w:rPr>
                <w:rFonts w:ascii="Times New Roman" w:hAnsi="Times New Roman"/>
                <w:color w:val="000000"/>
              </w:rPr>
              <w:t>312</w:t>
            </w:r>
          </w:p>
        </w:tc>
        <w:tc>
          <w:tcPr>
            <w:tcW w:type="dxa" w:w="1119"/>
          </w:tcPr>
          <w:p>
            <w:r>
              <w:rPr>
                <w:rFonts w:ascii="Times New Roman" w:hAnsi="Times New Roman"/>
                <w:color w:val="000000"/>
              </w:rPr>
              <w:t>73 (23.4)</w:t>
            </w:r>
          </w:p>
        </w:tc>
        <w:tc>
          <w:tcPr>
            <w:tcW w:type="dxa" w:w="1119"/>
          </w:tcPr>
          <w:p>
            <w:r>
              <w:rPr>
                <w:rFonts w:ascii="Times New Roman" w:hAnsi="Times New Roman"/>
                <w:color w:val="000000"/>
              </w:rPr>
              <w:t>99.7</w:t>
            </w:r>
          </w:p>
        </w:tc>
        <w:tc>
          <w:tcPr>
            <w:tcW w:type="dxa" w:w="1119"/>
          </w:tcPr>
          <w:p>
            <w:r>
              <w:rPr>
                <w:rFonts w:ascii="Times New Roman" w:hAnsi="Times New Roman"/>
                <w:color w:val="000000"/>
              </w:rPr>
              <w:t>99.7</w:t>
            </w:r>
          </w:p>
        </w:tc>
        <w:tc>
          <w:tcPr>
            <w:tcW w:type="dxa" w:w="1119"/>
          </w:tcPr>
          <w:p>
            <w:r>
              <w:rPr>
                <w:rFonts w:ascii="Times New Roman" w:hAnsi="Times New Roman"/>
                <w:color w:val="000000"/>
              </w:rPr>
              <w:t>66.0</w:t>
            </w:r>
          </w:p>
        </w:tc>
        <w:tc>
          <w:tcPr>
            <w:tcW w:type="dxa" w:w="1119"/>
          </w:tcPr>
          <w:p>
            <w:r>
              <w:rPr>
                <w:rFonts w:ascii="Times New Roman" w:hAnsi="Times New Roman"/>
                <w:color w:val="000000"/>
              </w:rPr>
              <w:t>66.0</w:t>
            </w:r>
          </w:p>
        </w:tc>
        <w:tc>
          <w:tcPr>
            <w:tcW w:type="dxa" w:w="1119"/>
          </w:tcPr>
          <w:p>
            <w:r>
              <w:rPr>
                <w:rFonts w:ascii="Times New Roman" w:hAnsi="Times New Roman"/>
                <w:color w:val="000000"/>
              </w:rPr>
              <w:t>68.9</w:t>
            </w:r>
          </w:p>
        </w:tc>
        <w:tc>
          <w:tcPr>
            <w:tcW w:type="dxa" w:w="1119"/>
          </w:tcPr>
          <w:p>
            <w:r>
              <w:rPr>
                <w:rFonts w:ascii="Times New Roman" w:hAnsi="Times New Roman"/>
                <w:color w:val="000000"/>
              </w:rPr>
              <w:t>37.2</w:t>
            </w:r>
          </w:p>
        </w:tc>
      </w:tr>
      <w:tr>
        <w:tc>
          <w:tcPr>
            <w:tcW w:type="dxa" w:w="1119"/>
          </w:tcPr>
          <w:p>
            <w:r>
              <w:rPr>
                <w:rFonts w:ascii="Times New Roman" w:hAnsi="Times New Roman"/>
                <w:color w:val="000000"/>
              </w:rPr>
              <w:t>2015–2018</w:t>
            </w:r>
          </w:p>
        </w:tc>
        <w:tc>
          <w:tcPr>
            <w:tcW w:type="dxa" w:w="1119"/>
          </w:tcPr>
          <w:p>
            <w:r>
              <w:rPr>
                <w:rFonts w:ascii="Times New Roman" w:hAnsi="Times New Roman"/>
                <w:color w:val="000000"/>
              </w:rPr>
              <w:t>592</w:t>
            </w:r>
          </w:p>
        </w:tc>
        <w:tc>
          <w:tcPr>
            <w:tcW w:type="dxa" w:w="1119"/>
          </w:tcPr>
          <w:p>
            <w:r>
              <w:rPr>
                <w:rFonts w:ascii="Times New Roman" w:hAnsi="Times New Roman"/>
                <w:color w:val="000000"/>
              </w:rPr>
              <w:t>86 (14.5)</w:t>
            </w:r>
          </w:p>
        </w:tc>
        <w:tc>
          <w:tcPr>
            <w:tcW w:type="dxa" w:w="1119"/>
          </w:tcPr>
          <w:p>
            <w:r>
              <w:rPr>
                <w:rFonts w:ascii="Times New Roman" w:hAnsi="Times New Roman"/>
                <w:color w:val="000000"/>
              </w:rPr>
              <w:t>31.8</w:t>
            </w:r>
          </w:p>
        </w:tc>
        <w:tc>
          <w:tcPr>
            <w:tcW w:type="dxa" w:w="1119"/>
          </w:tcPr>
          <w:p>
            <w:r>
              <w:rPr>
                <w:rFonts w:ascii="Times New Roman" w:hAnsi="Times New Roman"/>
                <w:color w:val="000000"/>
              </w:rPr>
              <w:t>32.6</w:t>
            </w:r>
          </w:p>
        </w:tc>
        <w:tc>
          <w:tcPr>
            <w:tcW w:type="dxa" w:w="1119"/>
          </w:tcPr>
          <w:p>
            <w:r>
              <w:rPr>
                <w:rFonts w:ascii="Times New Roman" w:hAnsi="Times New Roman"/>
                <w:color w:val="000000"/>
              </w:rPr>
              <w:t>34.5</w:t>
            </w:r>
          </w:p>
        </w:tc>
        <w:tc>
          <w:tcPr>
            <w:tcW w:type="dxa" w:w="1119"/>
          </w:tcPr>
          <w:p>
            <w:r>
              <w:rPr>
                <w:rFonts w:ascii="Times New Roman" w:hAnsi="Times New Roman"/>
                <w:color w:val="000000"/>
              </w:rPr>
              <w:t>34.5</w:t>
            </w:r>
          </w:p>
        </w:tc>
        <w:tc>
          <w:tcPr>
            <w:tcW w:type="dxa" w:w="1119"/>
          </w:tcPr>
          <w:p>
            <w:r>
              <w:rPr>
                <w:rFonts w:ascii="Times New Roman" w:hAnsi="Times New Roman"/>
                <w:color w:val="000000"/>
              </w:rPr>
              <w:t>35.8</w:t>
            </w:r>
          </w:p>
        </w:tc>
        <w:tc>
          <w:tcPr>
            <w:tcW w:type="dxa" w:w="1119"/>
          </w:tcPr>
          <w:p>
            <w:r>
              <w:rPr>
                <w:rFonts w:ascii="Times New Roman" w:hAnsi="Times New Roman"/>
                <w:color w:val="000000"/>
              </w:rPr>
              <w:t>16.7</w:t>
            </w:r>
          </w:p>
        </w:tc>
      </w:tr>
      <w:tr>
        <w:tc>
          <w:tcPr>
            <w:tcW w:type="dxa" w:w="1119"/>
          </w:tcPr>
          <w:p>
            <w:r>
              <w:rPr>
                <w:rFonts w:ascii="Times New Roman" w:hAnsi="Times New Roman"/>
                <w:color w:val="000000"/>
              </w:rPr>
              <w:t>2019–2022</w:t>
            </w:r>
          </w:p>
        </w:tc>
        <w:tc>
          <w:tcPr>
            <w:tcW w:type="dxa" w:w="1119"/>
          </w:tcPr>
          <w:p>
            <w:r>
              <w:rPr>
                <w:rFonts w:ascii="Times New Roman" w:hAnsi="Times New Roman"/>
                <w:color w:val="000000"/>
              </w:rPr>
              <w:t>184</w:t>
            </w:r>
          </w:p>
        </w:tc>
        <w:tc>
          <w:tcPr>
            <w:tcW w:type="dxa" w:w="1119"/>
          </w:tcPr>
          <w:p>
            <w:r>
              <w:rPr>
                <w:rFonts w:ascii="Times New Roman" w:hAnsi="Times New Roman"/>
                <w:color w:val="000000"/>
              </w:rPr>
              <w:t>28 (15.2)</w:t>
            </w:r>
          </w:p>
        </w:tc>
        <w:tc>
          <w:tcPr>
            <w:tcW w:type="dxa" w:w="1119"/>
          </w:tcPr>
          <w:p>
            <w:r>
              <w:rPr>
                <w:rFonts w:ascii="Times New Roman" w:hAnsi="Times New Roman"/>
                <w:color w:val="000000"/>
              </w:rPr>
              <w:t>68.5</w:t>
            </w:r>
          </w:p>
        </w:tc>
        <w:tc>
          <w:tcPr>
            <w:tcW w:type="dxa" w:w="1119"/>
          </w:tcPr>
          <w:p>
            <w:r>
              <w:rPr>
                <w:rFonts w:ascii="Times New Roman" w:hAnsi="Times New Roman"/>
                <w:color w:val="000000"/>
              </w:rPr>
              <w:t>69.0</w:t>
            </w:r>
          </w:p>
        </w:tc>
        <w:tc>
          <w:tcPr>
            <w:tcW w:type="dxa" w:w="1119"/>
          </w:tcPr>
          <w:p>
            <w:r>
              <w:rPr>
                <w:rFonts w:ascii="Times New Roman" w:hAnsi="Times New Roman"/>
                <w:color w:val="000000"/>
              </w:rPr>
              <w:t>62.5</w:t>
            </w:r>
          </w:p>
        </w:tc>
        <w:tc>
          <w:tcPr>
            <w:tcW w:type="dxa" w:w="1119"/>
          </w:tcPr>
          <w:p>
            <w:r>
              <w:rPr>
                <w:rFonts w:ascii="Times New Roman" w:hAnsi="Times New Roman"/>
                <w:color w:val="000000"/>
              </w:rPr>
              <w:t>62.5</w:t>
            </w:r>
          </w:p>
        </w:tc>
        <w:tc>
          <w:tcPr>
            <w:tcW w:type="dxa" w:w="1119"/>
          </w:tcPr>
          <w:p>
            <w:r>
              <w:rPr>
                <w:rFonts w:ascii="Times New Roman" w:hAnsi="Times New Roman"/>
                <w:color w:val="000000"/>
              </w:rPr>
              <w:t>62.0</w:t>
            </w:r>
          </w:p>
        </w:tc>
        <w:tc>
          <w:tcPr>
            <w:tcW w:type="dxa" w:w="1119"/>
          </w:tcPr>
          <w:p>
            <w:r>
              <w:rPr>
                <w:rFonts w:ascii="Times New Roman" w:hAnsi="Times New Roman"/>
                <w:color w:val="000000"/>
              </w:rPr>
              <w:t>23.4</w:t>
            </w:r>
          </w:p>
        </w:tc>
      </w:tr>
      <w:tr>
        <w:tc>
          <w:tcPr>
            <w:tcW w:type="dxa" w:w="1119"/>
          </w:tcPr>
          <w:p>
            <w:r>
              <w:rPr>
                <w:rFonts w:ascii="Times New Roman" w:hAnsi="Times New Roman"/>
                <w:color w:val="000000"/>
              </w:rPr>
              <w:t>2023–2026</w:t>
            </w:r>
          </w:p>
        </w:tc>
        <w:tc>
          <w:tcPr>
            <w:tcW w:type="dxa" w:w="1119"/>
          </w:tcPr>
          <w:p>
            <w:r>
              <w:rPr>
                <w:rFonts w:ascii="Times New Roman" w:hAnsi="Times New Roman"/>
                <w:color w:val="000000"/>
              </w:rPr>
              <w:t>463</w:t>
            </w:r>
          </w:p>
        </w:tc>
        <w:tc>
          <w:tcPr>
            <w:tcW w:type="dxa" w:w="1119"/>
          </w:tcPr>
          <w:p>
            <w:r>
              <w:rPr>
                <w:rFonts w:ascii="Times New Roman" w:hAnsi="Times New Roman"/>
                <w:color w:val="000000"/>
              </w:rPr>
              <w:t>17 (3.7)</w:t>
            </w:r>
          </w:p>
        </w:tc>
        <w:tc>
          <w:tcPr>
            <w:tcW w:type="dxa" w:w="1119"/>
          </w:tcPr>
          <w:p>
            <w:r>
              <w:rPr>
                <w:rFonts w:ascii="Times New Roman" w:hAnsi="Times New Roman"/>
                <w:color w:val="000000"/>
              </w:rPr>
              <w:t>95.7</w:t>
            </w:r>
          </w:p>
        </w:tc>
        <w:tc>
          <w:tcPr>
            <w:tcW w:type="dxa" w:w="1119"/>
          </w:tcPr>
          <w:p>
            <w:r>
              <w:rPr>
                <w:rFonts w:ascii="Times New Roman" w:hAnsi="Times New Roman"/>
                <w:color w:val="000000"/>
              </w:rPr>
              <w:t>95.7</w:t>
            </w:r>
          </w:p>
        </w:tc>
        <w:tc>
          <w:tcPr>
            <w:tcW w:type="dxa" w:w="1119"/>
          </w:tcPr>
          <w:p>
            <w:r>
              <w:rPr>
                <w:rFonts w:ascii="Times New Roman" w:hAnsi="Times New Roman"/>
                <w:color w:val="000000"/>
              </w:rPr>
              <w:t>94.6</w:t>
            </w:r>
          </w:p>
        </w:tc>
        <w:tc>
          <w:tcPr>
            <w:tcW w:type="dxa" w:w="1119"/>
          </w:tcPr>
          <w:p>
            <w:r>
              <w:rPr>
                <w:rFonts w:ascii="Times New Roman" w:hAnsi="Times New Roman"/>
                <w:color w:val="000000"/>
              </w:rPr>
              <w:t>94.6</w:t>
            </w:r>
          </w:p>
        </w:tc>
        <w:tc>
          <w:tcPr>
            <w:tcW w:type="dxa" w:w="1119"/>
          </w:tcPr>
          <w:p>
            <w:r>
              <w:rPr>
                <w:rFonts w:ascii="Times New Roman" w:hAnsi="Times New Roman"/>
                <w:color w:val="000000"/>
              </w:rPr>
              <w:t>94.8</w:t>
            </w:r>
          </w:p>
        </w:tc>
        <w:tc>
          <w:tcPr>
            <w:tcW w:type="dxa" w:w="1119"/>
          </w:tcPr>
          <w:p>
            <w:r>
              <w:rPr>
                <w:rFonts w:ascii="Times New Roman" w:hAnsi="Times New Roman"/>
                <w:color w:val="000000"/>
              </w:rPr>
              <w:t>57.9</w:t>
            </w:r>
          </w:p>
        </w:tc>
      </w:tr>
    </w:tbl>
    <w:p>
      <w:pPr>
        <w:pStyle w:val="Heading2"/>
      </w:pPr>
      <w:r>
        <w:rPr>
          <w:rFonts w:ascii="Times New Roman" w:hAnsi="Times New Roman"/>
          <w:color w:val="000000"/>
        </w:rPr>
        <w:t>S2. Sensitivity analyses</w:t>
      </w:r>
    </w:p>
    <w:p>
      <w:r>
        <w:rPr>
          <w:rFonts w:ascii="Times New Roman" w:hAnsi="Times New Roman"/>
          <w:color w:val="000000"/>
        </w:rPr>
        <w:t>Supplemental Table 2. Locked sensitivity and diagnostic analyses. Absolute C-index values differed across event-time assignments because risk sets changed; inference focused on the paired M3–reference contrast rather than absolute C-index comparisons across assignments. The minimum follow-up row includes participants with at least 0.5 years of follow-up or an observed event during that window.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79"/>
        <w:gridCol w:w="1679"/>
        <w:gridCol w:w="1679"/>
        <w:gridCol w:w="1679"/>
        <w:gridCol w:w="1679"/>
        <w:gridCol w:w="1679"/>
      </w:tblGrid>
      <w:tr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Sensitivity / analysis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N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Events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Reference C-index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M3 C-index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M3–Ref ΔC (95% CI)</w:t>
            </w:r>
          </w:p>
        </w:tc>
      </w:tr>
      <w:tr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Primary (raw, full sample)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1762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288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0.682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0.692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0.010 (-0.003 to 0.024)</w:t>
            </w:r>
          </w:p>
        </w:tc>
      </w:tr>
      <w:tr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M2 + dyad availability vs M3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1762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288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0.678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0.692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0.013 (0.001 to 0.028)</w:t>
            </w:r>
          </w:p>
        </w:tc>
      </w:tr>
      <w:tr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Residualised dyadic scores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1762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288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0.682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0.691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0.009 (-0.003 to 0.024)</w:t>
            </w:r>
          </w:p>
        </w:tc>
      </w:tr>
      <w:tr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Complete-dyad subset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477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88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0.663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0.691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0.028 (-0.006 to 0.064)</w:t>
            </w:r>
          </w:p>
        </w:tc>
      </w:tr>
      <w:tr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Minimum follow-up ≥0.5 years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979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288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0.685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0.696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0.011 (-0.002 to 0.025)</w:t>
            </w:r>
          </w:p>
        </w:tc>
      </w:tr>
      <w:tr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Interval-censoring: first-event endpoint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1762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288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0.682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0.692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0.010 (-0.003 to 0.024)</w:t>
            </w:r>
          </w:p>
        </w:tc>
      </w:tr>
      <w:tr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Interval-censoring: midpoint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1762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288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0.689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0.700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0.011 (-0.001 to 0.024)</w:t>
            </w:r>
          </w:p>
        </w:tc>
      </w:tr>
      <w:tr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Interval-censoring: last-known-normal endpoint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1762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288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0.748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0.752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0.003 (-0.006 to 0.013)</w:t>
            </w:r>
          </w:p>
        </w:tc>
      </w:tr>
      <w:tr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CDR-only endpoint (first CDR global ≥0.5)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1762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124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0.657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0.681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0.024 (-0.008 to 0.061)</w:t>
            </w:r>
          </w:p>
        </w:tc>
      </w:tr>
    </w:tbl>
    <w:p>
      <w:pPr>
        <w:pStyle w:val="Heading2"/>
      </w:pPr>
      <w:r>
        <w:rPr>
          <w:rFonts w:ascii="Times New Roman" w:hAnsi="Times New Roman"/>
          <w:color w:val="000000"/>
        </w:rPr>
        <w:t>S3. Proportional-hazards diagnostics</w:t>
      </w:r>
    </w:p>
    <w:p>
      <w:r>
        <w:rPr>
          <w:rFonts w:ascii="Times New Roman" w:hAnsi="Times New Roman"/>
          <w:color w:val="000000"/>
        </w:rPr>
        <w:t>Supplemental Table 3. Variable-specific Schoenfeld tests for the primary M3 and M4 Cox models. These are exploratory post-fit diagnostics from a descriptive full-sample Cox model with the same predictor specification, imputation, and coding as the primary elastic-net models; they are not a formal proof that the penalized nested-CV models satisfy proportional hazards.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79"/>
        <w:gridCol w:w="1679"/>
        <w:gridCol w:w="1679"/>
        <w:gridCol w:w="1679"/>
        <w:gridCol w:w="1679"/>
        <w:gridCol w:w="1679"/>
      </w:tblGrid>
      <w:tr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model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Variable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test_statistic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degrees_of_freedom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p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-log2(p)</w:t>
            </w:r>
          </w:p>
        </w:tc>
      </w:tr>
      <w:tr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M3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age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0.0474007675764002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0.8276494822271117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0.2729081934912608</w:t>
            </w:r>
          </w:p>
        </w:tc>
      </w:tr>
      <w:tr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M3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age_missing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6.281730802776384e-36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1.0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-0.0</w:t>
            </w:r>
          </w:p>
        </w:tc>
      </w:tr>
      <w:tr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M3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apoe4_carrier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0.7806494002886152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0.3769426036686661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1.40758323109255</w:t>
            </w:r>
          </w:p>
        </w:tc>
      </w:tr>
      <w:tr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M3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apoe4_carrier_missing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0.5505780923335221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0.4580815821027951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1.1263235367097362</w:t>
            </w:r>
          </w:p>
        </w:tc>
      </w:tr>
      <w:tr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M3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centiloid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0.2219403467615094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0.6375654320708624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0.6493546843981942</w:t>
            </w:r>
          </w:p>
        </w:tc>
      </w:tr>
      <w:tr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M3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centiloid_missing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0.0139820182506104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0.9058730720871117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0.1426191760715208</w:t>
            </w:r>
          </w:p>
        </w:tc>
      </w:tr>
      <w:tr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M3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dyad_available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11.021958802301466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0.0009003887572782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10.117164336884558</w:t>
            </w:r>
          </w:p>
        </w:tc>
      </w:tr>
      <w:tr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M3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education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2.202248913938165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0.1378095539769618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2.859252185093443</w:t>
            </w:r>
          </w:p>
        </w:tc>
      </w:tr>
      <w:tr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M3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education_missing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0.0316425624680121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0.8588144187300357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0.2195816819211194</w:t>
            </w:r>
          </w:p>
        </w:tc>
      </w:tr>
      <w:tr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M3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hippocampus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0.2897289330046969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0.5903942887362121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0.7602493295388456</w:t>
            </w:r>
          </w:p>
        </w:tc>
      </w:tr>
      <w:tr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M3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hippocampus_missing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0.9673272959871594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0.3253476492728976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1.6199459649906125</w:t>
            </w:r>
          </w:p>
        </w:tc>
      </w:tr>
      <w:tr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M3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mean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1.4905668438902164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0.2221285316461962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2.170533380882369</w:t>
            </w:r>
          </w:p>
        </w:tc>
      </w:tr>
      <w:tr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M3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mmse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1.6725871938205548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0.1959123592541765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2.3517196810885523</w:t>
            </w:r>
          </w:p>
        </w:tc>
      </w:tr>
      <w:tr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M3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mmse_missing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4.582725612986456e-33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1.0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-0.0</w:t>
            </w:r>
          </w:p>
        </w:tc>
      </w:tr>
      <w:tr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M3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sex_female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2.1443004074549488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0.1431002551216871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2.8049018507580388</w:t>
            </w:r>
          </w:p>
        </w:tc>
      </w:tr>
      <w:tr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M4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age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0.0689314915391047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0.7928989265640864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0.3347911223229542</w:t>
            </w:r>
          </w:p>
        </w:tc>
      </w:tr>
      <w:tr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M4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age_missing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6.943658193792669e-34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1.0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-0.0</w:t>
            </w:r>
          </w:p>
        </w:tc>
      </w:tr>
      <w:tr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M4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apoe4_carrier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0.769349271744213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0.3804184356168939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1.3943409319470492</w:t>
            </w:r>
          </w:p>
        </w:tc>
      </w:tr>
      <w:tr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M4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apoe4_carrier_missing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0.5522752585420287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0.4573895121980956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1.1285048093154486</w:t>
            </w:r>
          </w:p>
        </w:tc>
      </w:tr>
      <w:tr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M4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centiloid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0.2372513682041848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0.6261984079590552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0.6753082543004243</w:t>
            </w:r>
          </w:p>
        </w:tc>
      </w:tr>
      <w:tr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M4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centiloid_missing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0.0147776129103278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0.9032449551374856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0.1468108030413865</w:t>
            </w:r>
          </w:p>
        </w:tc>
      </w:tr>
      <w:tr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M4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dyad_available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11.188770425607792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0.0008229386036245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10.246927578976022</w:t>
            </w:r>
          </w:p>
        </w:tc>
      </w:tr>
      <w:tr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M4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education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2.28719802872916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0.1304452252688289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2.938483957225299</w:t>
            </w:r>
          </w:p>
        </w:tc>
      </w:tr>
      <w:tr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M4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education_missing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0.0316761420965738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0.8587403115622777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0.2197061775678659</w:t>
            </w:r>
          </w:p>
        </w:tc>
      </w:tr>
      <w:tr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M4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gap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4.12836147641181e-06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0.9983788297662946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0.0023407521485358</w:t>
            </w:r>
          </w:p>
        </w:tc>
      </w:tr>
      <w:tr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M4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hippocampus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0.2984725362766263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0.5848415915951637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0.7738821812467848</w:t>
            </w:r>
          </w:p>
        </w:tc>
      </w:tr>
      <w:tr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M4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hippocampus_missing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0.9696071013452582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0.3247781862292935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1.622473357917419</w:t>
            </w:r>
          </w:p>
        </w:tc>
      </w:tr>
      <w:tr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M4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mean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1.252176768502733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0.2631371332070024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1.9261132427596308</w:t>
            </w:r>
          </w:p>
        </w:tc>
      </w:tr>
      <w:tr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M4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mmse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1.6521677029853223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0.1986641517510685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2.3315965280715525</w:t>
            </w:r>
          </w:p>
        </w:tc>
      </w:tr>
      <w:tr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M4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mmse_missing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2.16214349625352e-32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1.0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1.6017132519074588e-16</w:t>
            </w:r>
          </w:p>
        </w:tc>
      </w:tr>
      <w:tr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M4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sex_female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2.18850990448308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0.139043773116155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2.846388957866172</w:t>
            </w:r>
          </w:p>
        </w:tc>
      </w:tr>
    </w:tbl>
    <w:p>
      <w:r>
        <w:rPr>
          <w:rFonts w:ascii="Times New Roman" w:hAnsi="Times New Roman"/>
          <w:color w:val="000000"/>
        </w:rPr>
        <w:t>Supplemental Table 3 (continued). Global proportional-hazards test.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79"/>
        <w:gridCol w:w="1679"/>
        <w:gridCol w:w="1679"/>
        <w:gridCol w:w="1679"/>
        <w:gridCol w:w="1679"/>
        <w:gridCol w:w="1679"/>
      </w:tblGrid>
      <w:tr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test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test_statistic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degrees_of_freedom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p_value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n_events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n_variables</w:t>
            </w:r>
          </w:p>
        </w:tc>
      </w:tr>
      <w:tr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proportional_hazard_test (rank) — M3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21.43491157807588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0.1234997359276005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288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15</w:t>
            </w:r>
          </w:p>
        </w:tc>
      </w:tr>
      <w:tr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proportional_hazard_test (rank) — M4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21.51116774132788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0.1596880774372378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288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16</w:t>
            </w:r>
          </w:p>
        </w:tc>
      </w:tr>
    </w:tbl>
    <w:p>
      <w:pPr>
        <w:jc w:val="center"/>
      </w:pPr>
      <w:r>
        <w:rPr>
          <w:rFonts w:ascii="Times New Roman" w:hAnsi="Times New Roman" w:eastAsia="Times New Roman"/>
          <w:color w:val="000000"/>
        </w:rPr>
        <w:drawing>
          <wp:inline xmlns:a="http://schemas.openxmlformats.org/drawingml/2006/main" xmlns:pic="http://schemas.openxmlformats.org/drawingml/2006/picture">
            <wp:extent cx="5486400" cy="3135086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choenfeld_mean_plot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508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ascii="Times New Roman" w:hAnsi="Times New Roman"/>
          <w:color w:val="000000"/>
        </w:rPr>
        <w:t>Supplemental Figure 1. Scaled Schoenfeld residual mean trajectory for the dyadic mean in the primary M3 model. A flat smooth line would support proportional hazards; a systematic trend suggests time-varying effects.</w:t>
      </w:r>
    </w:p>
    <w:p>
      <w:pPr>
        <w:pStyle w:val="Heading2"/>
      </w:pPr>
      <w:r>
        <w:rPr>
          <w:rFonts w:ascii="Times New Roman" w:hAnsi="Times New Roman"/>
          <w:color w:val="000000"/>
        </w:rPr>
        <w:t>S4. Exploratory post-hoc risk stratification</w:t>
      </w:r>
    </w:p>
    <w:p>
      <w:r>
        <w:rPr>
          <w:rFonts w:ascii="Times New Roman" w:hAnsi="Times New Roman"/>
          <w:color w:val="000000"/>
        </w:rPr>
        <w:t>The figures in this section are descriptive post-hoc summaries of the locked out-of-fold risk scores. They are not primary performance estimates, are not used for clinical-utility or net-benefit claims, and should not be interpreted as formal probability calibration or decision-analytic support. Because the dyad-availability indicator violated the proportional-hazards assumption, predicted probabilities and net-benefit curves are especially vulnerable to over-interpretation and are therefore not included.</w:t>
      </w:r>
    </w:p>
    <w:p>
      <w:pPr>
        <w:jc w:val="center"/>
      </w:pPr>
      <w:r>
        <w:rPr>
          <w:rFonts w:ascii="Times New Roman" w:hAnsi="Times New Roman" w:eastAsia="Times New Roman"/>
          <w:color w:val="000000"/>
        </w:rPr>
        <w:drawing>
          <wp:inline xmlns:a="http://schemas.openxmlformats.org/drawingml/2006/main" xmlns:pic="http://schemas.openxmlformats.org/drawingml/2006/picture">
            <wp:extent cx="5029200" cy="352044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km_overall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5204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ascii="Times New Roman" w:hAnsi="Times New Roman"/>
          <w:color w:val="000000"/>
        </w:rPr>
        <w:t>Supplemental Figure 2. Overall cumulative event rate in the ADNI primary sample. Shaded band: 95% confidence interval.</w:t>
      </w:r>
    </w:p>
    <w:p>
      <w:pPr>
        <w:jc w:val="center"/>
      </w:pPr>
      <w:r>
        <w:rPr>
          <w:rFonts w:ascii="Times New Roman" w:hAnsi="Times New Roman" w:eastAsia="Times New Roman"/>
          <w:color w:val="000000"/>
        </w:rPr>
        <w:drawing>
          <wp:inline xmlns:a="http://schemas.openxmlformats.org/drawingml/2006/main" xmlns:pic="http://schemas.openxmlformats.org/drawingml/2006/picture">
            <wp:extent cx="5943600" cy="5425453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km_quartiles_by_horizon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2545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ascii="Times New Roman" w:hAnsi="Times New Roman"/>
          <w:color w:val="000000"/>
        </w:rPr>
        <w:t>Supplemental Figure 3. Observed cumulative event rate by predicted-risk quartile at 1, 2, 3 and 5 years. For each horizon, quartiles are based on the predicted event probability from a post-hoc univariate Cox model fitted to the OOF risk score; higher quartiles correspond to higher predicted risk.</w:t>
      </w:r>
    </w:p>
    <w:p>
      <w:pPr>
        <w:pStyle w:val="Heading2"/>
      </w:pPr>
      <w:r>
        <w:rPr>
          <w:rFonts w:ascii="Times New Roman" w:hAnsi="Times New Roman"/>
          <w:color w:val="000000"/>
        </w:rPr>
        <w:t>S5. Interval-censoring sensitivity</w:t>
      </w:r>
    </w:p>
    <w:p>
      <w:r>
        <w:rPr>
          <w:rFonts w:ascii="Times New Roman" w:hAnsi="Times New Roman"/>
          <w:color w:val="000000"/>
        </w:rPr>
        <w:t>Supplemental Table 4. Interval-censoring sensitivity (first-event, midpoint, last-known-normal).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79"/>
        <w:gridCol w:w="1679"/>
        <w:gridCol w:w="1679"/>
        <w:gridCol w:w="1679"/>
        <w:gridCol w:w="1679"/>
        <w:gridCol w:w="1679"/>
      </w:tblGrid>
      <w:tr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Analysis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N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Events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Reference C-index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M3 C-index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M3–Ref ΔC (95% CI)</w:t>
            </w:r>
          </w:p>
        </w:tc>
      </w:tr>
      <w:tr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Interval-censoring: first-event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1762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288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0.682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0.692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0.010 (-0.003 to 0.024)</w:t>
            </w:r>
          </w:p>
        </w:tc>
      </w:tr>
      <w:tr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Interval-censoring: midpoint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1762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288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0.689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0.700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0.011 (-0.001 to 0.024)</w:t>
            </w:r>
          </w:p>
        </w:tc>
      </w:tr>
      <w:tr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Interval-censoring: last-known-normal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1762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288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0.748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0.752</w:t>
            </w:r>
          </w:p>
        </w:tc>
        <w:tc>
          <w:tcPr>
            <w:tcW w:type="dxa" w:w="1679"/>
          </w:tcPr>
          <w:p>
            <w:r>
              <w:rPr>
                <w:rFonts w:ascii="Times New Roman" w:hAnsi="Times New Roman"/>
                <w:color w:val="000000"/>
              </w:rPr>
              <w:t>0.003 (-0.006 to 0.013)</w:t>
            </w:r>
          </w:p>
        </w:tc>
      </w:tr>
    </w:tbl>
    <w:p>
      <w:pPr>
        <w:pStyle w:val="Heading2"/>
      </w:pPr>
      <w:r>
        <w:rPr>
          <w:rFonts w:ascii="Times New Roman" w:hAnsi="Times New Roman"/>
          <w:color w:val="000000"/>
        </w:rPr>
        <w:t>S6. Coefficient selection frequencies</w:t>
      </w:r>
    </w:p>
    <w:p>
      <w:r>
        <w:rPr>
          <w:rFonts w:ascii="Times New Roman" w:hAnsi="Times New Roman"/>
          <w:color w:val="000000"/>
        </w:rPr>
        <w:t>Supplemental Table 5. Cross-fold elastic-net coefficient summary for the primary analysis.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16"/>
        <w:gridCol w:w="916"/>
        <w:gridCol w:w="916"/>
        <w:gridCol w:w="916"/>
        <w:gridCol w:w="916"/>
        <w:gridCol w:w="916"/>
        <w:gridCol w:w="916"/>
        <w:gridCol w:w="916"/>
        <w:gridCol w:w="916"/>
        <w:gridCol w:w="916"/>
        <w:gridCol w:w="916"/>
      </w:tblGrid>
      <w:tr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model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predictor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n_folds_selected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n_folds_positive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n_folds_negative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median_std_coef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min_std_coef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max_std_coef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median_orig_coef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min_orig_coef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max_orig_coef</w:t>
            </w:r>
          </w:p>
        </w:tc>
      </w:tr>
      <w:tr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M0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age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0.1809771298459067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0.1560046692034719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0.2134295397094743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0.0229974695491039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0.0196423665199981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0.0270901405785268</w:t>
            </w:r>
          </w:p>
        </w:tc>
      </w:tr>
      <w:tr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M0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age_missing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0.0</w:t>
            </w:r>
          </w:p>
        </w:tc>
      </w:tr>
      <w:tr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M0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education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-0.0662011337929723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-0.1124515918789597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-0.0513229297678709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-0.0263890828235212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-0.044485256771133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-0.0200756223642498</w:t>
            </w:r>
          </w:p>
        </w:tc>
      </w:tr>
      <w:tr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M0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education_missing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0.0</w:t>
            </w:r>
          </w:p>
        </w:tc>
      </w:tr>
      <w:tr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M0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mmse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-0.246365840010425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-0.2740759618157239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-0.2145130164556065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-0.2089175296084877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-0.2307073307521553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-0.176881452588826</w:t>
            </w:r>
          </w:p>
        </w:tc>
      </w:tr>
      <w:tr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M0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mmse_missing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0.0</w:t>
            </w:r>
          </w:p>
        </w:tc>
      </w:tr>
      <w:tr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M0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sex_female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-0.2856954596378235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-0.3519337888105174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-0.2478170996976196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-0.2856954596378235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-0.3519337888105174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-0.2478170996976196</w:t>
            </w:r>
          </w:p>
        </w:tc>
      </w:tr>
      <w:tr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M2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age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0.1811272931118143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0.1617865019518418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0.1966624507646791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0.0230165513808141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0.0203703503590759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0.0249619309725582</w:t>
            </w:r>
          </w:p>
        </w:tc>
      </w:tr>
      <w:tr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M2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age_missing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0.0</w:t>
            </w:r>
          </w:p>
        </w:tc>
      </w:tr>
      <w:tr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M2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apoe4_carrier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0.3190116857565979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0.1934653125752196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0.3843391914230583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0.3190116857565979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0.1934653125752196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0.3843391914230583</w:t>
            </w:r>
          </w:p>
        </w:tc>
      </w:tr>
      <w:tr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M2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apoe4_carrier_missing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0.7923599639177499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0.7923599639177499</w:t>
            </w:r>
          </w:p>
        </w:tc>
      </w:tr>
      <w:tr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M2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centiloid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0.0187485577607159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-0.0141230492129512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0.0598742066290943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0.0007388790159312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-0.0005639498432711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0.0023327753725347</w:t>
            </w:r>
          </w:p>
        </w:tc>
      </w:tr>
      <w:tr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M2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centiloid_missing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0.4534242727740412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0.2972277152230021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0.5395859657845871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0.4534242727740412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0.2972277152230021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0.5395859657845871</w:t>
            </w:r>
          </w:p>
        </w:tc>
      </w:tr>
      <w:tr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M2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education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-0.0626466508298408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-0.0909496245079224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-0.0212161598810449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-0.0244269028538651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-0.035979191862646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-0.0082989731045721</w:t>
            </w:r>
          </w:p>
        </w:tc>
      </w:tr>
      <w:tr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M2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education_missing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0.0</w:t>
            </w:r>
          </w:p>
        </w:tc>
      </w:tr>
      <w:tr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M2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hippocampus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-0.06817544820643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-0.1285404314058032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-0.0153270723070049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-0.0001319248746439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-0.000249794131057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-3.090042685728533e-05</w:t>
            </w:r>
          </w:p>
        </w:tc>
      </w:tr>
      <w:tr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M2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hippocampus_missing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0.3335905336868029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0.1696586750882759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0.525298367844825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0.3335905336868029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0.1696586750882759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0.525298367844825</w:t>
            </w:r>
          </w:p>
        </w:tc>
      </w:tr>
      <w:tr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M2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mmse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-0.2178370947007424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-0.2436462419740971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-0.1754391162107588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-0.1825861297270075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-0.2050926821938196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-0.1446622038559648</w:t>
            </w:r>
          </w:p>
        </w:tc>
      </w:tr>
      <w:tr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M2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mmse_missing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0.0</w:t>
            </w:r>
          </w:p>
        </w:tc>
      </w:tr>
      <w:tr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M2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sex_female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-0.3045926704397217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-0.4236609891982139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-0.2310211892916577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-0.3045926704397217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-0.4236609891982139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-0.2310211892916577</w:t>
            </w:r>
          </w:p>
        </w:tc>
      </w:tr>
      <w:tr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M3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age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0.1626506269630871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0.1618018786015164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0.1853413486372397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0.0206472701860039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0.0203787683855696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0.023524968457652</w:t>
            </w:r>
          </w:p>
        </w:tc>
      </w:tr>
      <w:tr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M3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age_missing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0.0</w:t>
            </w:r>
          </w:p>
        </w:tc>
      </w:tr>
      <w:tr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M3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apoe4_carrier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0.3489618541605322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0.2147751190585266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0.4059799522901691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0.3489618541605322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0.2147751190585266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0.4059799522901691</w:t>
            </w:r>
          </w:p>
        </w:tc>
      </w:tr>
      <w:tr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M3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apoe4_carrier_missing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0.7889637376222726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0.7889637376222726</w:t>
            </w:r>
          </w:p>
        </w:tc>
      </w:tr>
      <w:tr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M3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centiloid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0.0114693626939545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-0.0303687580044768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0.0516567251827244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0.0004520065771898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-0.0012126599616504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0.0020126118259661</w:t>
            </w:r>
          </w:p>
        </w:tc>
      </w:tr>
      <w:tr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M3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centiloid_missing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0.4492301684657275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0.2996900854183866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0.5494982065368641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0.4492301684657275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0.2996900854183866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0.5494982065368641</w:t>
            </w:r>
          </w:p>
        </w:tc>
      </w:tr>
      <w:tr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M3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dyad_available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-0.0505861449414228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-0.0896673453227673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-0.0505861449414228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-0.0896673453227673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0.0</w:t>
            </w:r>
          </w:p>
        </w:tc>
      </w:tr>
      <w:tr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M3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education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-0.0442943670750415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-0.0706543902093441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-0.0188997770261684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-0.0172710621746454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-0.0281642390130439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-0.0075320426644294</w:t>
            </w:r>
          </w:p>
        </w:tc>
      </w:tr>
      <w:tr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M3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education_missing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0.0</w:t>
            </w:r>
          </w:p>
        </w:tc>
      </w:tr>
      <w:tr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M3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hippocampus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-0.0763505306197177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-0.1274763508438732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-0.0068733026658941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-0.000147744304526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-0.0002477262907951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-1.3857048628809416e-05</w:t>
            </w:r>
          </w:p>
        </w:tc>
      </w:tr>
      <w:tr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M3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hippocampus_missing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0.3732202760197303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0.1735924902921851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0.5705903267883918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0.3732202760197303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0.1735924902921851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0.5705903267883918</w:t>
            </w:r>
          </w:p>
        </w:tc>
      </w:tr>
      <w:tr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M3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mean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0.1690780194550025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0.1454688871890993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0.2048600792441895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1.123069019726282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0.902340254466238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1.3226554861305109</w:t>
            </w:r>
          </w:p>
        </w:tc>
      </w:tr>
      <w:tr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M3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mmse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-0.2219429412204911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-0.2540478563335813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-0.1852455496296855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-0.187410768129871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-0.2138483887085096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-0.1527483154426448</w:t>
            </w:r>
          </w:p>
        </w:tc>
      </w:tr>
      <w:tr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M3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mmse_missing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0.0</w:t>
            </w:r>
          </w:p>
        </w:tc>
      </w:tr>
      <w:tr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M3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sex_female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-0.2766178760612098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-0.3953265763253217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-0.1954052480009055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-0.2766178760612098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-0.3953265763253217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-0.1954052480009055</w:t>
            </w:r>
          </w:p>
        </w:tc>
      </w:tr>
      <w:tr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M4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age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0.1645998449365838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0.1480791487285698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0.1934441586057245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0.0209163440979497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0.0187975309397738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0.0245534402494487</w:t>
            </w:r>
          </w:p>
        </w:tc>
      </w:tr>
      <w:tr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M4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age_missing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0.0</w:t>
            </w:r>
          </w:p>
        </w:tc>
      </w:tr>
      <w:tr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M4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apoe4_carrier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0.307416830783691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0.2147751190585266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0.3574972752231547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0.307416830783691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0.2147751190585266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0.3574972752231547</w:t>
            </w:r>
          </w:p>
        </w:tc>
      </w:tr>
      <w:tr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M4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apoe4_carrier_missing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0.7940154803508224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0.7940154803508224</w:t>
            </w:r>
          </w:p>
        </w:tc>
      </w:tr>
      <w:tr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M4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centiloid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0.0122656316612632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-0.0190155319314179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0.0507075770206529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0.000483387467309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-0.000759312390033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0.001975631804317</w:t>
            </w:r>
          </w:p>
        </w:tc>
      </w:tr>
      <w:tr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M4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centiloid_missing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0.4383597161045524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0.2887795119192367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0.5494982065368641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0.4383597161045524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0.2887795119192367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0.5494982065368641</w:t>
            </w:r>
          </w:p>
        </w:tc>
      </w:tr>
      <w:tr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M4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dyad_available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-0.0505861449414228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-0.0902408831593306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-0.0505861449414228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-0.0902408831593306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0.0</w:t>
            </w:r>
          </w:p>
        </w:tc>
      </w:tr>
      <w:tr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M4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education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-0.0409945200572671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-0.0611858654711724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-0.0169993713670237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-0.0159844005340299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-0.024204805737022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-0.0067746825916316</w:t>
            </w:r>
          </w:p>
        </w:tc>
      </w:tr>
      <w:tr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M4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education_missing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0.0</w:t>
            </w:r>
          </w:p>
        </w:tc>
      </w:tr>
      <w:tr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M4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gap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0.0696280604514976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0.0932085018688263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0.3081591340970365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0.4245371879834184</w:t>
            </w:r>
          </w:p>
        </w:tc>
      </w:tr>
      <w:tr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M4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hippocampus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-0.0650550343471312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-0.1308743755081311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-0.0127294766099282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-0.0001282019293809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-0.0002543297120614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-2.5663496135321253e-05</w:t>
            </w:r>
          </w:p>
        </w:tc>
      </w:tr>
      <w:tr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M4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hippocampus_missing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0.3732202760197303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0.1855969571877286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0.5786133830830539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0.3732202760197303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0.1855969571877286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0.5786133830830539</w:t>
            </w:r>
          </w:p>
        </w:tc>
      </w:tr>
      <w:tr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M4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mean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0.178392582744846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0.170796081137983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0.2170029077579449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1.1849392586658087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1.0924766586195525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1.4151357284066048</w:t>
            </w:r>
          </w:p>
        </w:tc>
      </w:tr>
      <w:tr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M4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mmse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-0.2219429412204911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-0.2551148145787997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-0.1827940797012176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-0.1877520422342777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-0.2147465159545022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-0.1507269016884125</w:t>
            </w:r>
          </w:p>
        </w:tc>
      </w:tr>
      <w:tr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M4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mmse_missing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0.0</w:t>
            </w:r>
          </w:p>
        </w:tc>
      </w:tr>
      <w:tr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M4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sex_female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-0.2609153362662313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-0.394315516130946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-0.1954052480009055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-0.2609153362662313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-0.394315516130946</w:t>
            </w:r>
          </w:p>
        </w:tc>
        <w:tc>
          <w:tcPr>
            <w:tcW w:type="dxa" w:w="916"/>
          </w:tcPr>
          <w:p>
            <w:r>
              <w:rPr>
                <w:rFonts w:ascii="Times New Roman" w:hAnsi="Times New Roman"/>
                <w:color w:val="000000"/>
              </w:rPr>
              <w:t>-0.1954052480009055</w:t>
            </w:r>
          </w:p>
        </w:tc>
      </w:tr>
    </w:tbl>
    <w:p>
      <w:pPr>
        <w:pStyle w:val="Heading2"/>
      </w:pPr>
      <w:r>
        <w:rPr>
          <w:rFonts w:ascii="Times New Roman" w:hAnsi="Times New Roman"/>
          <w:color w:val="000000"/>
        </w:rPr>
        <w:t>S7. MRI availability</w:t>
      </w:r>
    </w:p>
    <w:p>
      <w:r>
        <w:rPr>
          <w:rFonts w:ascii="Times New Roman" w:hAnsi="Times New Roman"/>
          <w:color w:val="000000"/>
        </w:rPr>
        <w:t>Supplemental Table 6. MRI availability and event rate in the ADNI primary sample. Missing MRI was coded as has_mri=0, so the 'missing' row is redundant and omitted.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18"/>
        <w:gridCol w:w="2518"/>
        <w:gridCol w:w="2518"/>
        <w:gridCol w:w="2518"/>
      </w:tblGrid>
      <w:tr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has_mri</w:t>
            </w:r>
          </w:p>
        </w:tc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n</w:t>
            </w:r>
          </w:p>
        </w:tc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n_events</w:t>
            </w:r>
          </w:p>
        </w:tc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event_rate_pct</w:t>
            </w:r>
          </w:p>
        </w:tc>
      </w:tr>
      <w:tr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1146</w:t>
            </w:r>
          </w:p>
        </w:tc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166</w:t>
            </w:r>
          </w:p>
        </w:tc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14.49</w:t>
            </w:r>
          </w:p>
        </w:tc>
      </w:tr>
      <w:tr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616</w:t>
            </w:r>
          </w:p>
        </w:tc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122</w:t>
            </w:r>
          </w:p>
        </w:tc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19.81</w:t>
            </w:r>
          </w:p>
        </w:tc>
      </w:tr>
    </w:tbl>
    <w:p>
      <w:pPr>
        <w:pStyle w:val="Heading2"/>
      </w:pPr>
      <w:r>
        <w:rPr>
          <w:rFonts w:ascii="Times New Roman" w:hAnsi="Times New Roman"/>
          <w:color w:val="000000"/>
        </w:rPr>
        <w:t>S8. TRIPOD checklist</w:t>
      </w:r>
    </w:p>
    <w:p>
      <w:r>
        <w:rPr>
          <w:rFonts w:ascii="Times New Roman" w:hAnsi="Times New Roman"/>
          <w:color w:val="000000"/>
        </w:rPr>
        <w:t>This study follows the Transparent Reporting of a multivariable prediction model for Individual Prognosis Or Diagnosis (TRIPOD) Statement. The completed checklist below maps each TRIPOD item to the relevant section or explains why it is not applicable.</w:t>
      </w:r>
    </w:p>
    <w:p>
      <w:r>
        <w:rPr>
          <w:rFonts w:ascii="Times New Roman" w:hAnsi="Times New Roman"/>
          <w:color w:val="000000"/>
        </w:rPr>
        <w:t>Supplemental Table 7. TRIPOD checklist for the ADNI prognostic model development and internal validation.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18"/>
        <w:gridCol w:w="2518"/>
        <w:gridCol w:w="2518"/>
        <w:gridCol w:w="2518"/>
      </w:tblGrid>
      <w:tr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Item</w:t>
            </w:r>
          </w:p>
        </w:tc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Section / topic</w:t>
            </w:r>
          </w:p>
        </w:tc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Checklist item</w:t>
            </w:r>
          </w:p>
        </w:tc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Location / comment</w:t>
            </w:r>
          </w:p>
        </w:tc>
      </w:tr>
      <w:tr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Title and abstract</w:t>
            </w:r>
          </w:p>
        </w:tc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Identify the study as developing and/or validating a multivariable prediction model, the target population, and the outcome to be predicted.</w:t>
            </w:r>
          </w:p>
        </w:tc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Title: exploratory prognostic modelling study in cognitively normal ADNI participants; outcome: first recorded clinical diagnosis of MCI or AD dementia.</w:t>
            </w:r>
          </w:p>
        </w:tc>
      </w:tr>
      <w:tr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Title and abstract</w:t>
            </w:r>
          </w:p>
        </w:tc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Provide a summary of objectives, study design, setting, participants, sample size, predictors, outcome, statistical analysis, results, and conclusions.</w:t>
            </w:r>
          </w:p>
        </w:tc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Structured Abstract.</w:t>
            </w:r>
          </w:p>
        </w:tc>
      </w:tr>
      <w:tr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3a</w:t>
            </w:r>
          </w:p>
        </w:tc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Introduction</w:t>
            </w:r>
          </w:p>
        </w:tc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Explain the medical context (diagnostic or prognostic) and rationale for developing or validating the multivariable prediction model, including references to existing models.</w:t>
            </w:r>
          </w:p>
        </w:tc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Introduction, paragraphs 1–2.</w:t>
            </w:r>
          </w:p>
        </w:tc>
      </w:tr>
      <w:tr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3b</w:t>
            </w:r>
          </w:p>
        </w:tc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Introduction</w:t>
            </w:r>
          </w:p>
        </w:tc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Specify the objectives, including whether the study describes the development or validation of the model or both.</w:t>
            </w:r>
          </w:p>
        </w:tc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Introduction, paragraph 2: internal development/validation in ADNI; no external validation.</w:t>
            </w:r>
          </w:p>
        </w:tc>
      </w:tr>
      <w:tr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4a</w:t>
            </w:r>
          </w:p>
        </w:tc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Methods</w:t>
            </w:r>
          </w:p>
        </w:tc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Describe the study design or source of data (e.g., randomized trial, cohort, or registry data), separately for the development and validation data sets, if applicable.</w:t>
            </w:r>
          </w:p>
        </w:tc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Methods/Study design: ADNI multi-site observational cohort.</w:t>
            </w:r>
          </w:p>
        </w:tc>
      </w:tr>
      <w:tr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4b</w:t>
            </w:r>
          </w:p>
        </w:tc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Methods</w:t>
            </w:r>
          </w:p>
        </w:tc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Specify the key study dates, including start of accrual; end of accrual; and, if applicable, end of follow-up.</w:t>
            </w:r>
          </w:p>
        </w:tc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Methods/Study design: ADNI data files were downloaded in June 2026 and all available follow-up records in the snapshot through 3 November 2025 were eligible for analysis. Landmark visits were participant-specific and are reported in the ADNI data dictionary.</w:t>
            </w:r>
          </w:p>
        </w:tc>
      </w:tr>
      <w:tr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5a</w:t>
            </w:r>
          </w:p>
        </w:tc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Methods</w:t>
            </w:r>
          </w:p>
        </w:tc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Specify key elements of the study setting (e.g., primary care, secondary care, general population) including number and location of centres.</w:t>
            </w:r>
          </w:p>
        </w:tc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Methods/Study design: multi-site ADNI cohort in North America.</w:t>
            </w:r>
          </w:p>
        </w:tc>
      </w:tr>
      <w:tr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5b</w:t>
            </w:r>
          </w:p>
        </w:tc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Methods</w:t>
            </w:r>
          </w:p>
        </w:tc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Describe eligibility criteria for participants.</w:t>
            </w:r>
          </w:p>
        </w:tc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Methods/Study design: cognitively normal at baseline, no prevalent MCI/AD, MMSE ≥24, CDR=0.</w:t>
            </w:r>
          </w:p>
        </w:tc>
      </w:tr>
      <w:tr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5c</w:t>
            </w:r>
          </w:p>
        </w:tc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Methods</w:t>
            </w:r>
          </w:p>
        </w:tc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Give details of treatments received, if relevant.</w:t>
            </w:r>
          </w:p>
        </w:tc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N/A; observational cohort, no treatment assignment.</w:t>
            </w:r>
          </w:p>
        </w:tc>
      </w:tr>
      <w:tr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6a</w:t>
            </w:r>
          </w:p>
        </w:tc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Methods</w:t>
            </w:r>
          </w:p>
        </w:tc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Clearly define the outcome that is predicted by the prediction model, including how and when assessed.</w:t>
            </w:r>
          </w:p>
        </w:tc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Methods/Study design: first recorded clinical diagnosis of MCI or AD dementia after the landmark visit.</w:t>
            </w:r>
          </w:p>
        </w:tc>
      </w:tr>
      <w:tr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6b</w:t>
            </w:r>
          </w:p>
        </w:tc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Methods</w:t>
            </w:r>
          </w:p>
        </w:tc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Report any actions to blind assessment of the outcome to be predicted.</w:t>
            </w:r>
          </w:p>
        </w:tc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N/A; diagnoses are clinical assignments in ADNI.</w:t>
            </w:r>
          </w:p>
        </w:tc>
      </w:tr>
      <w:tr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7a</w:t>
            </w:r>
          </w:p>
        </w:tc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Methods</w:t>
            </w:r>
          </w:p>
        </w:tc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Clearly define all predictors used in developing or validating the multivariable prediction model, including how and when they were measured.</w:t>
            </w:r>
          </w:p>
        </w:tc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Methods/Predictors and Model dictionary.</w:t>
            </w:r>
          </w:p>
        </w:tc>
      </w:tr>
      <w:tr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7b</w:t>
            </w:r>
          </w:p>
        </w:tc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Methods</w:t>
            </w:r>
          </w:p>
        </w:tc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Report any actions to blind assessment of predictors for the outcome and other predictors.</w:t>
            </w:r>
          </w:p>
        </w:tc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N/A; all predictors were measured at the landmark visit, before the outcome.</w:t>
            </w:r>
          </w:p>
        </w:tc>
      </w:tr>
      <w:tr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Methods</w:t>
            </w:r>
          </w:p>
        </w:tc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Explain how the study size was arrived at.</w:t>
            </w:r>
          </w:p>
        </w:tc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Methods/Study design: n=1,762 determined by ADNI availability and prespecified inclusion criteria.</w:t>
            </w:r>
          </w:p>
        </w:tc>
      </w:tr>
      <w:tr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Methods</w:t>
            </w:r>
          </w:p>
        </w:tc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Describe how missing data were handled (e.g., complete-case analysis, single imputation, multiple imputation) with details of any imputation method.</w:t>
            </w:r>
          </w:p>
        </w:tc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Methods/Predictors and Statistical analysis: fold-wise median imputation, missingness indicators.</w:t>
            </w:r>
          </w:p>
        </w:tc>
      </w:tr>
      <w:tr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10a</w:t>
            </w:r>
          </w:p>
        </w:tc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Methods</w:t>
            </w:r>
          </w:p>
        </w:tc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Describe how predictors were handled in the analyses.</w:t>
            </w:r>
          </w:p>
        </w:tc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Methods/Predictors and Statistical analysis: standardization, residualisation sensitivity.</w:t>
            </w:r>
          </w:p>
        </w:tc>
      </w:tr>
      <w:tr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10b</w:t>
            </w:r>
          </w:p>
        </w:tc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Methods</w:t>
            </w:r>
          </w:p>
        </w:tc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Specify type of model, all model-building procedures (including any predictor selection), and method for internal validation.</w:t>
            </w:r>
          </w:p>
        </w:tc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Methods/Statistical analysis: elastic-net Cox, l1_ratio=0.5, lambda grid, nested 5x3 CV.</w:t>
            </w:r>
          </w:p>
        </w:tc>
      </w:tr>
      <w:tr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10c</w:t>
            </w:r>
          </w:p>
        </w:tc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Methods</w:t>
            </w:r>
          </w:p>
        </w:tc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For validation, describe how the predictions were calculated.</w:t>
            </w:r>
          </w:p>
        </w:tc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N/A for external validation; internal validation uses out-of-fold predictions (Methods/Statistical analysis).</w:t>
            </w:r>
          </w:p>
        </w:tc>
      </w:tr>
      <w:tr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10d</w:t>
            </w:r>
          </w:p>
        </w:tc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Methods</w:t>
            </w:r>
          </w:p>
        </w:tc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Specify all measures used to assess model performance and, if relevant, to compare multiple models.</w:t>
            </w:r>
          </w:p>
        </w:tc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Methods/Statistical analysis: C-index, paired bootstrap ΔC contrasts.</w:t>
            </w:r>
          </w:p>
        </w:tc>
      </w:tr>
      <w:tr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10e</w:t>
            </w:r>
          </w:p>
        </w:tc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Methods</w:t>
            </w:r>
          </w:p>
        </w:tc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Describe any model updating (e.g., recalibration) arising from the validation, if done.</w:t>
            </w:r>
          </w:p>
        </w:tc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N/A.</w:t>
            </w:r>
          </w:p>
        </w:tc>
      </w:tr>
      <w:tr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Methods</w:t>
            </w:r>
          </w:p>
        </w:tc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Provide details on how risk groups were created, if done.</w:t>
            </w:r>
          </w:p>
        </w:tc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Supplemental Figure 3: quartiles of the OOF linear risk score (post-hoc descriptive).</w:t>
            </w:r>
          </w:p>
        </w:tc>
      </w:tr>
      <w:tr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Methods</w:t>
            </w:r>
          </w:p>
        </w:tc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For validation, identify any differences from the development data in setting, eligibility criteria, outcome, and predictors.</w:t>
            </w:r>
          </w:p>
        </w:tc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N/A: no external validation; this is an ADNI internal cross-validation study.</w:t>
            </w:r>
          </w:p>
        </w:tc>
      </w:tr>
      <w:tr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13a</w:t>
            </w:r>
          </w:p>
        </w:tc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Results</w:t>
            </w:r>
          </w:p>
        </w:tc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Describe the flow of participants through the study, including the number of participants with and without the outcome.</w:t>
            </w:r>
          </w:p>
        </w:tc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Results/Figure 1 and Table 1.</w:t>
            </w:r>
          </w:p>
        </w:tc>
      </w:tr>
      <w:tr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13b</w:t>
            </w:r>
          </w:p>
        </w:tc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Results</w:t>
            </w:r>
          </w:p>
        </w:tc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Describe the characteristics of the development data set and validation data set.</w:t>
            </w:r>
          </w:p>
        </w:tc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Table 1 reports the single ADNI sample used for internal development/validation.</w:t>
            </w:r>
          </w:p>
        </w:tc>
      </w:tr>
      <w:tr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Results</w:t>
            </w:r>
          </w:p>
        </w:tc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Specify the final prediction model (e.g., regression formula or coefficients).</w:t>
            </w:r>
          </w:p>
        </w:tc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Supplemental Table 5 reports cross-fold elastic-net coefficients.</w:t>
            </w:r>
          </w:p>
        </w:tc>
      </w:tr>
      <w:tr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Results</w:t>
            </w:r>
          </w:p>
        </w:tc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Report the prediction model performance measures.</w:t>
            </w:r>
          </w:p>
        </w:tc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Table 2, Figure 2, and primary results.</w:t>
            </w:r>
          </w:p>
        </w:tc>
      </w:tr>
      <w:tr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Results</w:t>
            </w:r>
          </w:p>
        </w:tc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Report the results from any model updating (e.g., recalibration).</w:t>
            </w:r>
          </w:p>
        </w:tc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N/A.</w:t>
            </w:r>
          </w:p>
        </w:tc>
      </w:tr>
      <w:tr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Results</w:t>
            </w:r>
          </w:p>
        </w:tc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Report the results of any evaluations of model performance in subgroups or sensitivity analyses.</w:t>
            </w:r>
          </w:p>
        </w:tc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Table 3 and Supplemental Tables.</w:t>
            </w:r>
          </w:p>
        </w:tc>
      </w:tr>
      <w:tr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Discussion</w:t>
            </w:r>
          </w:p>
        </w:tc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Discuss the practical usefulness of the model in the intended population.</w:t>
            </w:r>
          </w:p>
        </w:tc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Discussion, paragraphs 1 and 3: clinical utility and deployment were not established.</w:t>
            </w:r>
          </w:p>
        </w:tc>
      </w:tr>
      <w:tr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Discussion</w:t>
            </w:r>
          </w:p>
        </w:tc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Discuss the implications of the study for research and practice.</w:t>
            </w:r>
          </w:p>
        </w:tc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Discussion/Conclusion.</w:t>
            </w:r>
          </w:p>
        </w:tc>
      </w:tr>
      <w:tr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Other information</w:t>
            </w:r>
          </w:p>
        </w:tc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Provide information about the availability of supplemental resources, such as study protocol, statistical code, and datasets.</w:t>
            </w:r>
          </w:p>
        </w:tc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Data and code availability; Zenodo DOI; Supplemental 1.</w:t>
            </w:r>
          </w:p>
        </w:tc>
      </w:tr>
      <w:tr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Other information</w:t>
            </w:r>
          </w:p>
        </w:tc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Describe sources of funding and other support and the role of funders.</w:t>
            </w:r>
          </w:p>
        </w:tc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Funding.</w:t>
            </w:r>
          </w:p>
        </w:tc>
      </w:tr>
      <w:tr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Other information</w:t>
            </w:r>
          </w:p>
        </w:tc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Declare any conflicts of interest.</w:t>
            </w:r>
          </w:p>
        </w:tc>
        <w:tc>
          <w:tcPr>
            <w:tcW w:type="dxa" w:w="2518"/>
          </w:tcPr>
          <w:p>
            <w:r>
              <w:rPr>
                <w:rFonts w:ascii="Times New Roman" w:hAnsi="Times New Roman"/>
                <w:color w:val="000000"/>
              </w:rPr>
              <w:t>Conflicts of interest.</w:t>
            </w:r>
          </w:p>
        </w:tc>
      </w:tr>
    </w:tbl>
    <w:sectPr w:rsidR="00FC693F" w:rsidRPr="0006063C" w:rsidSect="00034616">
      <w:pgSz w:w="12240" w:h="15840"/>
      <w:pgMar w:top="1440" w:right="1083" w:bottom="1440" w:left="108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/>
  <dcterms:created xsi:type="dcterms:W3CDTF">2013-12-23T23:15:00Z</dcterms:created>
  <dcterms:modified xsi:type="dcterms:W3CDTF">2013-12-23T23:15:00Z</dcterms:modified>
  <cp:category/>
</cp:coreProperties>
</file>