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466.0" w:type="dxa"/>
        <w:jc w:val="left"/>
        <w:tblInd w:w="-10.0" w:type="dxa"/>
        <w:tblLayout w:type="fixed"/>
        <w:tblLook w:val="0400"/>
      </w:tblPr>
      <w:tblGrid>
        <w:gridCol w:w="10466"/>
        <w:tblGridChange w:id="0">
          <w:tblGrid>
            <w:gridCol w:w="10466"/>
          </w:tblGrid>
        </w:tblGridChange>
      </w:tblGrid>
      <w:tr>
        <w:trPr>
          <w:cantSplit w:val="1"/>
          <w:tblHeader w:val="0"/>
        </w:trPr>
        <w:tc>
          <w:tcPr>
            <w:tcMar>
              <w:top w:w="0.0" w:type="dxa"/>
              <w:left w:w="0.0" w:type="dxa"/>
              <w:bottom w:w="0.0" w:type="dxa"/>
              <w:right w:w="0.0" w:type="dxa"/>
            </w:tcMar>
            <w:vAlign w:val="center"/>
          </w:tcPr>
          <w:p w:rsidR="00000000" w:rsidDel="00000000" w:rsidP="00000000" w:rsidRDefault="00000000" w:rsidRPr="00000000" w14:paraId="00000002">
            <w:pPr>
              <w:pBdr>
                <w:bottom w:color="8b7e5a" w:space="2" w:sz="12" w:val="single"/>
              </w:pBdr>
              <w:spacing w:before="2400" w:lineRule="auto"/>
              <w:jc w:val="center"/>
              <w:rPr/>
            </w:pPr>
            <w:r w:rsidDel="00000000" w:rsidR="00000000" w:rsidRPr="00000000">
              <w:rPr>
                <w:sz w:val="4"/>
                <w:szCs w:val="4"/>
                <w:rtl w:val="0"/>
              </w:rPr>
              <w:t xml:space="preserve"> </w:t>
            </w:r>
            <w:r w:rsidDel="00000000" w:rsidR="00000000" w:rsidRPr="00000000">
              <w:rPr>
                <w:rtl w:val="0"/>
              </w:rPr>
            </w:r>
          </w:p>
          <w:p w:rsidR="00000000" w:rsidDel="00000000" w:rsidP="00000000" w:rsidRDefault="00000000" w:rsidRPr="00000000" w14:paraId="00000003">
            <w:pPr>
              <w:spacing w:after="120" w:before="480" w:lineRule="auto"/>
              <w:jc w:val="center"/>
              <w:rPr/>
            </w:pPr>
            <w:r w:rsidDel="00000000" w:rsidR="00000000" w:rsidRPr="00000000">
              <w:rPr>
                <w:b w:val="1"/>
                <w:bCs w:val="1"/>
                <w:color w:val="334155"/>
                <w:sz w:val="26"/>
                <w:szCs w:val="26"/>
                <w:rtl w:val="0"/>
              </w:rPr>
              <w:t xml:space="preserve">SUPPLEMENTARY FILE 1</w:t>
            </w:r>
            <w:r w:rsidDel="00000000" w:rsidR="00000000" w:rsidRPr="00000000">
              <w:rPr>
                <w:rtl w:val="0"/>
              </w:rPr>
            </w:r>
          </w:p>
          <w:p w:rsidR="00000000" w:rsidDel="00000000" w:rsidP="00000000" w:rsidRDefault="00000000" w:rsidRPr="00000000" w14:paraId="00000004">
            <w:pPr>
              <w:spacing w:after="240" w:before="120" w:line="360" w:lineRule="auto"/>
              <w:jc w:val="center"/>
              <w:rPr/>
            </w:pPr>
            <w:r w:rsidDel="00000000" w:rsidR="00000000" w:rsidRPr="00000000">
              <w:rPr>
                <w:b w:val="1"/>
                <w:bCs w:val="1"/>
                <w:color w:val="0b1f3a"/>
                <w:sz w:val="36"/>
                <w:szCs w:val="36"/>
                <w:rtl w:val="0"/>
              </w:rPr>
              <w:t xml:space="preserve">STROBE Statement — Checklist of Items for Cohort Studies</w:t>
            </w:r>
            <w:r w:rsidDel="00000000" w:rsidR="00000000" w:rsidRPr="00000000">
              <w:rPr>
                <w:rtl w:val="0"/>
              </w:rPr>
            </w:r>
          </w:p>
          <w:p w:rsidR="00000000" w:rsidDel="00000000" w:rsidP="00000000" w:rsidRDefault="00000000" w:rsidRPr="00000000" w14:paraId="00000005">
            <w:pPr>
              <w:pBdr>
                <w:bottom w:color="8b7e5a" w:space="2" w:sz="8" w:val="single"/>
              </w:pBdr>
              <w:spacing w:after="480" w:lineRule="auto"/>
              <w:jc w:val="center"/>
              <w:rPr/>
            </w:pPr>
            <w:r w:rsidDel="00000000" w:rsidR="00000000" w:rsidRPr="00000000">
              <w:rPr>
                <w:sz w:val="4"/>
                <w:szCs w:val="4"/>
                <w:rtl w:val="0"/>
              </w:rPr>
              <w:t xml:space="preserve"> </w:t>
            </w:r>
            <w:r w:rsidDel="00000000" w:rsidR="00000000" w:rsidRPr="00000000">
              <w:rPr>
                <w:rtl w:val="0"/>
              </w:rPr>
            </w:r>
          </w:p>
          <w:p w:rsidR="00000000" w:rsidDel="00000000" w:rsidP="00000000" w:rsidRDefault="00000000" w:rsidRPr="00000000" w14:paraId="00000006">
            <w:pPr>
              <w:spacing w:after="120" w:line="320" w:lineRule="auto"/>
              <w:jc w:val="center"/>
              <w:rPr/>
            </w:pPr>
            <w:r w:rsidDel="00000000" w:rsidR="00000000" w:rsidRPr="00000000">
              <w:rPr>
                <w:i w:val="1"/>
                <w:iCs w:val="1"/>
                <w:color w:val="334155"/>
                <w:sz w:val="22"/>
                <w:szCs w:val="22"/>
                <w:rtl w:val="0"/>
              </w:rPr>
              <w:t xml:space="preserve">Companion to the manuscript:</w:t>
            </w:r>
            <w:r w:rsidDel="00000000" w:rsidR="00000000" w:rsidRPr="00000000">
              <w:rPr>
                <w:rtl w:val="0"/>
              </w:rPr>
            </w:r>
          </w:p>
          <w:p w:rsidR="00000000" w:rsidDel="00000000" w:rsidP="00000000" w:rsidRDefault="00000000" w:rsidRPr="00000000" w14:paraId="00000007">
            <w:pPr>
              <w:spacing w:after="240" w:line="320" w:lineRule="auto"/>
              <w:jc w:val="center"/>
              <w:rPr/>
            </w:pPr>
            <w:r w:rsidDel="00000000" w:rsidR="00000000" w:rsidRPr="00000000">
              <w:rPr>
                <w:b w:val="1"/>
                <w:bCs w:val="1"/>
                <w:rtl w:val="0"/>
              </w:rPr>
              <w:t xml:space="preserve">Association between Admission Total Cholesterol and In-Hospital Mortality in Acute Decompensated Heart Failure: A Prospective Cohort Study from Syria</w:t>
            </w:r>
            <w:r w:rsidDel="00000000" w:rsidR="00000000" w:rsidRPr="00000000">
              <w:rPr>
                <w:rtl w:val="0"/>
              </w:rPr>
            </w:r>
          </w:p>
          <w:p w:rsidR="00000000" w:rsidDel="00000000" w:rsidP="00000000" w:rsidRDefault="00000000" w:rsidRPr="00000000" w14:paraId="00000008">
            <w:pPr>
              <w:spacing w:after="80" w:before="240" w:lineRule="auto"/>
              <w:jc w:val="center"/>
              <w:rPr/>
            </w:pPr>
            <w:r w:rsidDel="00000000" w:rsidR="00000000" w:rsidRPr="00000000">
              <w:rPr>
                <w:sz w:val="22"/>
                <w:szCs w:val="22"/>
                <w:rtl w:val="0"/>
              </w:rPr>
              <w:t xml:space="preserve">Qasim Mohammad Diab    |    Mohammad Amin Al-Khatib</w:t>
            </w:r>
            <w:r w:rsidDel="00000000" w:rsidR="00000000" w:rsidRPr="00000000">
              <w:rPr>
                <w:rtl w:val="0"/>
              </w:rPr>
            </w:r>
          </w:p>
          <w:p w:rsidR="00000000" w:rsidDel="00000000" w:rsidP="00000000" w:rsidRDefault="00000000" w:rsidRPr="00000000" w14:paraId="00000009">
            <w:pPr>
              <w:spacing w:after="480" w:lineRule="auto"/>
              <w:jc w:val="center"/>
              <w:rPr/>
            </w:pPr>
            <w:r w:rsidDel="00000000" w:rsidR="00000000" w:rsidRPr="00000000">
              <w:rPr>
                <w:color w:val="334155"/>
                <w:sz w:val="20"/>
                <w:szCs w:val="20"/>
                <w:rtl w:val="0"/>
              </w:rPr>
              <w:t xml:space="preserve">Faculty of Medicine, Damascus University, Damascus, Syrian Arab Republic</w:t>
            </w:r>
            <w:r w:rsidDel="00000000" w:rsidR="00000000" w:rsidRPr="00000000">
              <w:rPr>
                <w:rtl w:val="0"/>
              </w:rPr>
            </w:r>
          </w:p>
          <w:p w:rsidR="00000000" w:rsidDel="00000000" w:rsidP="00000000" w:rsidRDefault="00000000" w:rsidRPr="00000000" w14:paraId="0000000A">
            <w:pPr>
              <w:pBdr>
                <w:bottom w:color="8b7e5a" w:space="2" w:sz="12" w:val="single"/>
              </w:pBdr>
              <w:spacing w:after="240" w:before="240" w:lineRule="auto"/>
              <w:jc w:val="center"/>
              <w:rPr/>
            </w:pPr>
            <w:r w:rsidDel="00000000" w:rsidR="00000000" w:rsidRPr="00000000">
              <w:rPr>
                <w:sz w:val="4"/>
                <w:szCs w:val="4"/>
                <w:rtl w:val="0"/>
              </w:rPr>
              <w:t xml:space="preserve"> </w:t>
            </w:r>
            <w:r w:rsidDel="00000000" w:rsidR="00000000" w:rsidRPr="00000000">
              <w:rPr>
                <w:rtl w:val="0"/>
              </w:rPr>
            </w:r>
          </w:p>
          <w:p w:rsidR="00000000" w:rsidDel="00000000" w:rsidP="00000000" w:rsidRDefault="00000000" w:rsidRPr="00000000" w14:paraId="0000000B">
            <w:pPr>
              <w:spacing w:after="80" w:before="240" w:lineRule="auto"/>
              <w:jc w:val="center"/>
              <w:rPr/>
            </w:pPr>
            <w:r w:rsidDel="00000000" w:rsidR="00000000" w:rsidRPr="00000000">
              <w:rPr>
                <w:color w:val="334155"/>
                <w:sz w:val="22"/>
                <w:szCs w:val="22"/>
                <w:rtl w:val="0"/>
              </w:rPr>
              <w:t xml:space="preserve">Date of checklist: July 2026</w:t>
            </w:r>
            <w:r w:rsidDel="00000000" w:rsidR="00000000" w:rsidRPr="00000000">
              <w:rPr>
                <w:rtl w:val="0"/>
              </w:rPr>
            </w:r>
          </w:p>
          <w:p w:rsidR="00000000" w:rsidDel="00000000" w:rsidP="00000000" w:rsidRDefault="00000000" w:rsidRPr="00000000" w14:paraId="0000000C">
            <w:pPr>
              <w:jc w:val="center"/>
              <w:rPr/>
            </w:pPr>
            <w:r w:rsidDel="00000000" w:rsidR="00000000" w:rsidRPr="00000000">
              <w:rPr>
                <w:i w:val="1"/>
                <w:iCs w:val="1"/>
                <w:color w:val="334155"/>
                <w:sz w:val="20"/>
                <w:szCs w:val="20"/>
                <w:rtl w:val="0"/>
              </w:rPr>
              <w:t xml:space="preserve">Based on STROBE Statement (Lancet 2007;370:1453–7)</w:t>
            </w:r>
            <w:r w:rsidDel="00000000" w:rsidR="00000000" w:rsidRPr="00000000">
              <w:rPr>
                <w:rtl w:val="0"/>
              </w:rPr>
            </w:r>
          </w:p>
        </w:tc>
      </w:tr>
    </w:tbl>
    <w:p w:rsidR="00000000" w:rsidDel="00000000" w:rsidP="00000000" w:rsidRDefault="00000000" w:rsidRPr="00000000" w14:paraId="0000000D">
      <w:pPr>
        <w:rPr/>
        <w:sectPr>
          <w:pgSz w:h="16838" w:w="11906" w:orient="portrait"/>
          <w:pgMar w:bottom="720" w:top="720" w:left="720" w:right="720" w:header="708" w:footer="708"/>
          <w:pgNumType w:start="1"/>
        </w:sectPr>
      </w:pPr>
      <w:r w:rsidDel="00000000" w:rsidR="00000000" w:rsidRPr="00000000">
        <w:rPr>
          <w:rtl w:val="0"/>
        </w:rPr>
      </w:r>
    </w:p>
    <w:p w:rsidR="00000000" w:rsidDel="00000000" w:rsidP="00000000" w:rsidRDefault="00000000" w:rsidRPr="00000000" w14:paraId="0000000E">
      <w:pPr>
        <w:pStyle w:val="Heading1"/>
        <w:pBdr>
          <w:bottom w:color="8b7e5a" w:space="4" w:sz="8" w:val="single"/>
        </w:pBdr>
        <w:rPr/>
      </w:pPr>
      <w:r w:rsidDel="00000000" w:rsidR="00000000" w:rsidRPr="00000000">
        <w:rPr>
          <w:rtl w:val="0"/>
        </w:rPr>
        <w:t xml:space="preserve">STROBE Checklist — Manuscript Information</w:t>
      </w:r>
    </w:p>
    <w:tbl>
      <w:tblPr>
        <w:tblStyle w:val="Table2"/>
        <w:tblW w:w="14560.0" w:type="dxa"/>
        <w:jc w:val="left"/>
        <w:tblInd w:w="-15.0" w:type="dxa"/>
        <w:tblBorders>
          <w:top w:color="0b1f3a" w:space="0" w:sz="6" w:val="single"/>
          <w:left w:color="c9cdd2" w:space="0" w:sz="4" w:val="single"/>
          <w:bottom w:color="0b1f3a" w:space="0" w:sz="6" w:val="single"/>
          <w:right w:color="c9cdd2" w:space="0" w:sz="4" w:val="single"/>
          <w:insideH w:color="c9cdd2" w:space="0" w:sz="4" w:val="single"/>
          <w:insideV w:color="c9cdd2" w:space="0" w:sz="4" w:val="single"/>
        </w:tblBorders>
        <w:tblLayout w:type="fixed"/>
        <w:tblLook w:val="0400"/>
      </w:tblPr>
      <w:tblGrid>
        <w:gridCol w:w="3640"/>
        <w:gridCol w:w="10920"/>
        <w:tblGridChange w:id="0">
          <w:tblGrid>
            <w:gridCol w:w="3640"/>
            <w:gridCol w:w="10920"/>
          </w:tblGrid>
        </w:tblGridChange>
      </w:tblGrid>
      <w:tr>
        <w:trPr>
          <w:cantSplit w:val="1"/>
          <w:tblHeader w:val="1"/>
        </w:trPr>
        <w:tc>
          <w:tcPr>
            <w:shd w:fill="0b1f3a" w:val="clear"/>
            <w:tcMar>
              <w:top w:w="80.0" w:type="dxa"/>
              <w:left w:w="100.0" w:type="dxa"/>
              <w:bottom w:w="80.0" w:type="dxa"/>
              <w:right w:w="100.0" w:type="dxa"/>
            </w:tcMar>
            <w:vAlign w:val="center"/>
          </w:tcPr>
          <w:p w:rsidR="00000000" w:rsidDel="00000000" w:rsidP="00000000" w:rsidRDefault="00000000" w:rsidRPr="00000000" w14:paraId="0000000F">
            <w:pPr>
              <w:spacing w:line="260" w:lineRule="auto"/>
              <w:jc w:val="center"/>
              <w:rPr/>
            </w:pPr>
            <w:r w:rsidDel="00000000" w:rsidR="00000000" w:rsidRPr="00000000">
              <w:rPr>
                <w:b w:val="1"/>
                <w:bCs w:val="1"/>
                <w:color w:val="ffffff"/>
                <w:sz w:val="20"/>
                <w:szCs w:val="20"/>
                <w:rtl w:val="0"/>
              </w:rPr>
              <w:t xml:space="preserve">Field</w:t>
            </w:r>
            <w:r w:rsidDel="00000000" w:rsidR="00000000" w:rsidRPr="00000000">
              <w:rPr>
                <w:rtl w:val="0"/>
              </w:rPr>
            </w:r>
          </w:p>
        </w:tc>
        <w:tc>
          <w:tcPr>
            <w:shd w:fill="0b1f3a" w:val="clear"/>
            <w:tcMar>
              <w:top w:w="80.0" w:type="dxa"/>
              <w:left w:w="100.0" w:type="dxa"/>
              <w:bottom w:w="80.0" w:type="dxa"/>
              <w:right w:w="100.0" w:type="dxa"/>
            </w:tcMar>
            <w:vAlign w:val="center"/>
          </w:tcPr>
          <w:p w:rsidR="00000000" w:rsidDel="00000000" w:rsidP="00000000" w:rsidRDefault="00000000" w:rsidRPr="00000000" w14:paraId="00000010">
            <w:pPr>
              <w:spacing w:line="260" w:lineRule="auto"/>
              <w:jc w:val="center"/>
              <w:rPr/>
            </w:pPr>
            <w:r w:rsidDel="00000000" w:rsidR="00000000" w:rsidRPr="00000000">
              <w:rPr>
                <w:b w:val="1"/>
                <w:bCs w:val="1"/>
                <w:color w:val="ffffff"/>
                <w:sz w:val="20"/>
                <w:szCs w:val="20"/>
                <w:rtl w:val="0"/>
              </w:rPr>
              <w:t xml:space="preserve">Details</w:t>
            </w:r>
            <w:r w:rsidDel="00000000" w:rsidR="00000000" w:rsidRPr="00000000">
              <w:rPr>
                <w:rtl w:val="0"/>
              </w:rPr>
            </w:r>
          </w:p>
        </w:tc>
      </w:tr>
      <w:tr>
        <w:trPr>
          <w:cantSplit w:val="1"/>
          <w:tblHeader w:val="0"/>
        </w:trPr>
        <w:tc>
          <w:tcPr>
            <w:shd w:fill="f1f5f9" w:val="clear"/>
            <w:tcMar>
              <w:top w:w="80.0" w:type="dxa"/>
              <w:left w:w="100.0" w:type="dxa"/>
              <w:bottom w:w="80.0" w:type="dxa"/>
              <w:right w:w="100.0" w:type="dxa"/>
            </w:tcMar>
            <w:vAlign w:val="center"/>
          </w:tcPr>
          <w:p w:rsidR="00000000" w:rsidDel="00000000" w:rsidP="00000000" w:rsidRDefault="00000000" w:rsidRPr="00000000" w14:paraId="00000011">
            <w:pPr>
              <w:spacing w:line="260" w:lineRule="auto"/>
              <w:rPr/>
            </w:pPr>
            <w:r w:rsidDel="00000000" w:rsidR="00000000" w:rsidRPr="00000000">
              <w:rPr>
                <w:b w:val="1"/>
                <w:bCs w:val="1"/>
                <w:sz w:val="20"/>
                <w:szCs w:val="20"/>
                <w:rtl w:val="0"/>
              </w:rPr>
              <w:t xml:space="preserve">Manuscript title</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12">
            <w:pPr>
              <w:spacing w:line="260" w:lineRule="auto"/>
              <w:rPr/>
            </w:pPr>
            <w:r w:rsidDel="00000000" w:rsidR="00000000" w:rsidRPr="00000000">
              <w:rPr>
                <w:sz w:val="20"/>
                <w:szCs w:val="20"/>
                <w:rtl w:val="0"/>
              </w:rPr>
              <w:t xml:space="preserve">Association between Admission Total Cholesterol and In-Hospital Mortality in Acute Decompensated Heart Failure: A Prospective Cohort Study from Syria</w:t>
            </w:r>
            <w:r w:rsidDel="00000000" w:rsidR="00000000" w:rsidRPr="00000000">
              <w:rPr>
                <w:rtl w:val="0"/>
              </w:rPr>
            </w:r>
          </w:p>
        </w:tc>
      </w:tr>
      <w:tr>
        <w:trPr>
          <w:cantSplit w:val="1"/>
          <w:tblHeader w:val="0"/>
        </w:trPr>
        <w:tc>
          <w:tcPr>
            <w:shd w:fill="fafbfc" w:val="clear"/>
            <w:tcMar>
              <w:top w:w="80.0" w:type="dxa"/>
              <w:left w:w="100.0" w:type="dxa"/>
              <w:bottom w:w="80.0" w:type="dxa"/>
              <w:right w:w="100.0" w:type="dxa"/>
            </w:tcMar>
            <w:vAlign w:val="center"/>
          </w:tcPr>
          <w:p w:rsidR="00000000" w:rsidDel="00000000" w:rsidP="00000000" w:rsidRDefault="00000000" w:rsidRPr="00000000" w14:paraId="00000013">
            <w:pPr>
              <w:spacing w:line="260" w:lineRule="auto"/>
              <w:rPr/>
            </w:pPr>
            <w:r w:rsidDel="00000000" w:rsidR="00000000" w:rsidRPr="00000000">
              <w:rPr>
                <w:b w:val="1"/>
                <w:bCs w:val="1"/>
                <w:sz w:val="20"/>
                <w:szCs w:val="20"/>
                <w:rtl w:val="0"/>
              </w:rPr>
              <w:t xml:space="preserve">Authors</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14">
            <w:pPr>
              <w:spacing w:line="260" w:lineRule="auto"/>
              <w:rPr/>
            </w:pPr>
            <w:r w:rsidDel="00000000" w:rsidR="00000000" w:rsidRPr="00000000">
              <w:rPr>
                <w:sz w:val="20"/>
                <w:szCs w:val="20"/>
                <w:rtl w:val="0"/>
              </w:rPr>
              <w:t xml:space="preserve">Qasim Mohammad Diab, Mohammad Amin Al-Khatib</w:t>
            </w:r>
            <w:r w:rsidDel="00000000" w:rsidR="00000000" w:rsidRPr="00000000">
              <w:rPr>
                <w:rtl w:val="0"/>
              </w:rPr>
            </w:r>
          </w:p>
        </w:tc>
      </w:tr>
      <w:tr>
        <w:trPr>
          <w:cantSplit w:val="1"/>
          <w:tblHeader w:val="0"/>
        </w:trPr>
        <w:tc>
          <w:tcPr>
            <w:shd w:fill="f1f5f9" w:val="clear"/>
            <w:tcMar>
              <w:top w:w="80.0" w:type="dxa"/>
              <w:left w:w="100.0" w:type="dxa"/>
              <w:bottom w:w="80.0" w:type="dxa"/>
              <w:right w:w="100.0" w:type="dxa"/>
            </w:tcMar>
            <w:vAlign w:val="center"/>
          </w:tcPr>
          <w:p w:rsidR="00000000" w:rsidDel="00000000" w:rsidP="00000000" w:rsidRDefault="00000000" w:rsidRPr="00000000" w14:paraId="00000015">
            <w:pPr>
              <w:spacing w:line="260" w:lineRule="auto"/>
              <w:rPr/>
            </w:pPr>
            <w:r w:rsidDel="00000000" w:rsidR="00000000" w:rsidRPr="00000000">
              <w:rPr>
                <w:b w:val="1"/>
                <w:bCs w:val="1"/>
                <w:sz w:val="20"/>
                <w:szCs w:val="20"/>
                <w:rtl w:val="0"/>
              </w:rPr>
              <w:t xml:space="preserve">Article type</w:t>
            </w:r>
            <w:r w:rsidDel="00000000" w:rsidR="00000000" w:rsidRPr="00000000">
              <w:rPr>
                <w:rtl w:val="0"/>
              </w:rPr>
            </w:r>
          </w:p>
        </w:tc>
        <w:tc>
          <w:tcPr>
            <w:shd w:fill="f1f5f9" w:val="clear"/>
            <w:tcMar>
              <w:top w:w="80.0" w:type="dxa"/>
              <w:left w:w="100.0" w:type="dxa"/>
              <w:bottom w:w="80.0" w:type="dxa"/>
              <w:right w:w="100.0" w:type="dxa"/>
            </w:tcMar>
            <w:vAlign w:val="center"/>
          </w:tcPr>
          <w:p w:rsidR="00000000" w:rsidDel="00000000" w:rsidP="00000000" w:rsidRDefault="00000000" w:rsidRPr="00000000" w14:paraId="00000016">
            <w:pPr>
              <w:spacing w:line="260" w:lineRule="auto"/>
              <w:rPr/>
            </w:pPr>
            <w:r w:rsidDel="00000000" w:rsidR="00000000" w:rsidRPr="00000000">
              <w:rPr>
                <w:sz w:val="20"/>
                <w:szCs w:val="20"/>
                <w:rtl w:val="0"/>
              </w:rPr>
              <w:t xml:space="preserve">Original research article (prospective cohort study)</w:t>
            </w:r>
            <w:r w:rsidDel="00000000" w:rsidR="00000000" w:rsidRPr="00000000">
              <w:rPr>
                <w:rtl w:val="0"/>
              </w:rPr>
            </w:r>
          </w:p>
        </w:tc>
      </w:tr>
      <w:tr>
        <w:trPr>
          <w:cantSplit w:val="1"/>
          <w:tblHeader w:val="0"/>
        </w:trPr>
        <w:tc>
          <w:tcPr>
            <w:shd w:fill="fafbfc" w:val="clear"/>
            <w:tcMar>
              <w:top w:w="80.0" w:type="dxa"/>
              <w:left w:w="100.0" w:type="dxa"/>
              <w:bottom w:w="80.0" w:type="dxa"/>
              <w:right w:w="100.0" w:type="dxa"/>
            </w:tcMar>
            <w:vAlign w:val="center"/>
          </w:tcPr>
          <w:p w:rsidR="00000000" w:rsidDel="00000000" w:rsidP="00000000" w:rsidRDefault="00000000" w:rsidRPr="00000000" w14:paraId="00000017">
            <w:pPr>
              <w:spacing w:line="260" w:lineRule="auto"/>
              <w:rPr/>
            </w:pPr>
            <w:r w:rsidDel="00000000" w:rsidR="00000000" w:rsidRPr="00000000">
              <w:rPr>
                <w:b w:val="1"/>
                <w:bCs w:val="1"/>
                <w:sz w:val="20"/>
                <w:szCs w:val="20"/>
                <w:rtl w:val="0"/>
              </w:rPr>
              <w:t xml:space="preserve">Date of checklist</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18">
            <w:pPr>
              <w:spacing w:line="260" w:lineRule="auto"/>
              <w:rPr/>
            </w:pPr>
            <w:r w:rsidDel="00000000" w:rsidR="00000000" w:rsidRPr="00000000">
              <w:rPr>
                <w:sz w:val="20"/>
                <w:szCs w:val="20"/>
                <w:rtl w:val="0"/>
              </w:rPr>
              <w:t xml:space="preserve">July 2026</w:t>
            </w:r>
            <w:r w:rsidDel="00000000" w:rsidR="00000000" w:rsidRPr="00000000">
              <w:rPr>
                <w:rtl w:val="0"/>
              </w:rPr>
            </w:r>
          </w:p>
        </w:tc>
      </w:tr>
      <w:tr>
        <w:trPr>
          <w:cantSplit w:val="1"/>
          <w:tblHeader w:val="0"/>
        </w:trPr>
        <w:tc>
          <w:tcPr>
            <w:shd w:fill="f1f5f9" w:val="clear"/>
            <w:tcMar>
              <w:top w:w="80.0" w:type="dxa"/>
              <w:left w:w="100.0" w:type="dxa"/>
              <w:bottom w:w="80.0" w:type="dxa"/>
              <w:right w:w="100.0" w:type="dxa"/>
            </w:tcMar>
            <w:vAlign w:val="center"/>
          </w:tcPr>
          <w:p w:rsidR="00000000" w:rsidDel="00000000" w:rsidP="00000000" w:rsidRDefault="00000000" w:rsidRPr="00000000" w14:paraId="00000019">
            <w:pPr>
              <w:spacing w:line="260" w:lineRule="auto"/>
              <w:rPr/>
            </w:pPr>
            <w:r w:rsidDel="00000000" w:rsidR="00000000" w:rsidRPr="00000000">
              <w:rPr>
                <w:b w:val="1"/>
                <w:bCs w:val="1"/>
                <w:sz w:val="20"/>
                <w:szCs w:val="20"/>
                <w:rtl w:val="0"/>
              </w:rPr>
              <w:t xml:space="preserve">STROBE version</w:t>
            </w:r>
            <w:r w:rsidDel="00000000" w:rsidR="00000000" w:rsidRPr="00000000">
              <w:rPr>
                <w:rtl w:val="0"/>
              </w:rPr>
            </w:r>
          </w:p>
        </w:tc>
        <w:tc>
          <w:tcPr>
            <w:shd w:fill="f1f5f9" w:val="clear"/>
            <w:tcMar>
              <w:top w:w="80.0" w:type="dxa"/>
              <w:left w:w="100.0" w:type="dxa"/>
              <w:bottom w:w="80.0" w:type="dxa"/>
              <w:right w:w="100.0" w:type="dxa"/>
            </w:tcMar>
            <w:vAlign w:val="center"/>
          </w:tcPr>
          <w:p w:rsidR="00000000" w:rsidDel="00000000" w:rsidP="00000000" w:rsidRDefault="00000000" w:rsidRPr="00000000" w14:paraId="0000001A">
            <w:pPr>
              <w:spacing w:line="260" w:lineRule="auto"/>
              <w:rPr/>
            </w:pPr>
            <w:r w:rsidDel="00000000" w:rsidR="00000000" w:rsidRPr="00000000">
              <w:rPr>
                <w:sz w:val="20"/>
                <w:szCs w:val="20"/>
                <w:rtl w:val="0"/>
              </w:rPr>
              <w:t xml:space="preserve">Cohort study version (22 items)</w:t>
            </w:r>
            <w:r w:rsidDel="00000000" w:rsidR="00000000" w:rsidRPr="00000000">
              <w:rPr>
                <w:rtl w:val="0"/>
              </w:rPr>
            </w:r>
          </w:p>
        </w:tc>
      </w:tr>
    </w:tbl>
    <w:p w:rsidR="00000000" w:rsidDel="00000000" w:rsidP="00000000" w:rsidRDefault="00000000" w:rsidRPr="00000000" w14:paraId="0000001B">
      <w:pPr>
        <w:spacing w:after="240" w:lineRule="auto"/>
        <w:rPr/>
      </w:pPr>
      <w:r w:rsidDel="00000000" w:rsidR="00000000" w:rsidRPr="00000000">
        <w:rPr>
          <w:rtl w:val="0"/>
        </w:rPr>
      </w:r>
    </w:p>
    <w:p w:rsidR="00000000" w:rsidDel="00000000" w:rsidP="00000000" w:rsidRDefault="00000000" w:rsidRPr="00000000" w14:paraId="0000001C">
      <w:pPr>
        <w:spacing w:after="120" w:lineRule="auto"/>
        <w:ind w:firstLine="480"/>
        <w:jc w:val="both"/>
        <w:rPr/>
      </w:pPr>
      <w:r w:rsidDel="00000000" w:rsidR="00000000" w:rsidRPr="00000000">
        <w:rPr>
          <w:rtl w:val="0"/>
        </w:rPr>
        <w:t xml:space="preserve">This checklist accompanies the manuscript cited above and indicates the location of each STROBE checklist item within the manuscript. The STROBE (Strengthening the Reporting of Observational Studies in Epidemiology) guidelines comprise 22 items that should be addressed in reports of observational studies. The present study is a prospective cohort study, and the checklist below follows the cohort-study version of the STROBE statement.</w:t>
      </w:r>
    </w:p>
    <w:p w:rsidR="00000000" w:rsidDel="00000000" w:rsidP="00000000" w:rsidRDefault="00000000" w:rsidRPr="00000000" w14:paraId="0000001D">
      <w:pPr>
        <w:spacing w:after="240" w:lineRule="auto"/>
        <w:jc w:val="both"/>
        <w:rPr/>
      </w:pPr>
      <w:r w:rsidDel="00000000" w:rsidR="00000000" w:rsidRPr="00000000">
        <w:rPr>
          <w:b w:val="1"/>
          <w:bCs w:val="1"/>
          <w:rtl w:val="0"/>
        </w:rPr>
        <w:t xml:space="preserve">Status legend:  </w:t>
      </w:r>
      <w:r w:rsidDel="00000000" w:rsidR="00000000" w:rsidRPr="00000000">
        <w:rPr>
          <w:b w:val="1"/>
          <w:bCs w:val="1"/>
          <w:color w:val="166534"/>
          <w:sz w:val="26"/>
          <w:szCs w:val="26"/>
          <w:rtl w:val="0"/>
        </w:rPr>
        <w:t xml:space="preserve">✓ </w:t>
      </w:r>
      <w:r w:rsidDel="00000000" w:rsidR="00000000" w:rsidRPr="00000000">
        <w:rPr>
          <w:color w:val="166534"/>
          <w:rtl w:val="0"/>
        </w:rPr>
        <w:t xml:space="preserve">Reported   |   </w:t>
      </w:r>
      <w:r w:rsidDel="00000000" w:rsidR="00000000" w:rsidRPr="00000000">
        <w:rPr>
          <w:b w:val="1"/>
          <w:bCs w:val="1"/>
          <w:color w:val="b45309"/>
          <w:sz w:val="26"/>
          <w:szCs w:val="26"/>
          <w:rtl w:val="0"/>
        </w:rPr>
        <w:t xml:space="preserve">△ </w:t>
      </w:r>
      <w:r w:rsidDel="00000000" w:rsidR="00000000" w:rsidRPr="00000000">
        <w:rPr>
          <w:color w:val="b45309"/>
          <w:rtl w:val="0"/>
        </w:rPr>
        <w:t xml:space="preserve">Partially reported   |   </w:t>
      </w:r>
      <w:r w:rsidDel="00000000" w:rsidR="00000000" w:rsidRPr="00000000">
        <w:rPr>
          <w:b w:val="1"/>
          <w:bCs w:val="1"/>
          <w:color w:val="991b1b"/>
          <w:sz w:val="26"/>
          <w:szCs w:val="26"/>
          <w:rtl w:val="0"/>
        </w:rPr>
        <w:t xml:space="preserve">✗ </w:t>
      </w:r>
      <w:r w:rsidDel="00000000" w:rsidR="00000000" w:rsidRPr="00000000">
        <w:rPr>
          <w:color w:val="991b1b"/>
          <w:rtl w:val="0"/>
        </w:rPr>
        <w:t xml:space="preserve">Not reported</w:t>
      </w:r>
      <w:r w:rsidDel="00000000" w:rsidR="00000000" w:rsidRPr="00000000">
        <w:rPr>
          <w:rtl w:val="0"/>
        </w:rPr>
      </w:r>
    </w:p>
    <w:p w:rsidR="00000000" w:rsidDel="00000000" w:rsidP="00000000" w:rsidRDefault="00000000" w:rsidRPr="00000000" w14:paraId="0000001E">
      <w:pPr>
        <w:pStyle w:val="Heading1"/>
        <w:pBdr>
          <w:bottom w:color="8b7e5a" w:space="4" w:sz="8" w:val="single"/>
        </w:pBdr>
        <w:rPr/>
      </w:pPr>
      <w:r w:rsidDel="00000000" w:rsidR="00000000" w:rsidRPr="00000000">
        <w:rPr>
          <w:rtl w:val="0"/>
        </w:rPr>
        <w:t xml:space="preserve">STROBE Checklist — 22 Items</w:t>
      </w:r>
    </w:p>
    <w:tbl>
      <w:tblPr>
        <w:tblStyle w:val="Table3"/>
        <w:tblW w:w="14560.0" w:type="dxa"/>
        <w:jc w:val="left"/>
        <w:tblInd w:w="-15.0" w:type="dxa"/>
        <w:tblBorders>
          <w:top w:color="0b1f3a" w:space="0" w:sz="6" w:val="single"/>
          <w:left w:color="c9cdd2" w:space="0" w:sz="4" w:val="single"/>
          <w:bottom w:color="0b1f3a" w:space="0" w:sz="6" w:val="single"/>
          <w:right w:color="c9cdd2" w:space="0" w:sz="4" w:val="single"/>
          <w:insideH w:color="c9cdd2" w:space="0" w:sz="4" w:val="single"/>
          <w:insideV w:color="c9cdd2" w:space="0" w:sz="4" w:val="single"/>
        </w:tblBorders>
        <w:tblLayout w:type="fixed"/>
        <w:tblLook w:val="0400"/>
      </w:tblPr>
      <w:tblGrid>
        <w:gridCol w:w="728"/>
        <w:gridCol w:w="2038"/>
        <w:gridCol w:w="4368"/>
        <w:gridCol w:w="1019"/>
        <w:gridCol w:w="2621"/>
        <w:gridCol w:w="3786"/>
        <w:tblGridChange w:id="0">
          <w:tblGrid>
            <w:gridCol w:w="728"/>
            <w:gridCol w:w="2038"/>
            <w:gridCol w:w="4368"/>
            <w:gridCol w:w="1019"/>
            <w:gridCol w:w="2621"/>
            <w:gridCol w:w="3786"/>
          </w:tblGrid>
        </w:tblGridChange>
      </w:tblGrid>
      <w:tr>
        <w:trPr>
          <w:cantSplit w:val="1"/>
          <w:tblHeader w:val="1"/>
        </w:trPr>
        <w:tc>
          <w:tcPr>
            <w:shd w:fill="0b1f3a" w:val="clear"/>
            <w:tcMar>
              <w:top w:w="80.0" w:type="dxa"/>
              <w:left w:w="100.0" w:type="dxa"/>
              <w:bottom w:w="80.0" w:type="dxa"/>
              <w:right w:w="100.0" w:type="dxa"/>
            </w:tcMar>
            <w:vAlign w:val="center"/>
          </w:tcPr>
          <w:p w:rsidR="00000000" w:rsidDel="00000000" w:rsidP="00000000" w:rsidRDefault="00000000" w:rsidRPr="00000000" w14:paraId="0000001F">
            <w:pPr>
              <w:spacing w:line="260" w:lineRule="auto"/>
              <w:jc w:val="center"/>
              <w:rPr/>
            </w:pPr>
            <w:r w:rsidDel="00000000" w:rsidR="00000000" w:rsidRPr="00000000">
              <w:rPr>
                <w:b w:val="1"/>
                <w:bCs w:val="1"/>
                <w:color w:val="ffffff"/>
                <w:sz w:val="20"/>
                <w:szCs w:val="20"/>
                <w:rtl w:val="0"/>
              </w:rPr>
              <w:t xml:space="preserve">Item</w:t>
            </w:r>
            <w:r w:rsidDel="00000000" w:rsidR="00000000" w:rsidRPr="00000000">
              <w:rPr>
                <w:rtl w:val="0"/>
              </w:rPr>
            </w:r>
          </w:p>
        </w:tc>
        <w:tc>
          <w:tcPr>
            <w:shd w:fill="0b1f3a" w:val="clear"/>
            <w:tcMar>
              <w:top w:w="80.0" w:type="dxa"/>
              <w:left w:w="100.0" w:type="dxa"/>
              <w:bottom w:w="80.0" w:type="dxa"/>
              <w:right w:w="100.0" w:type="dxa"/>
            </w:tcMar>
            <w:vAlign w:val="center"/>
          </w:tcPr>
          <w:p w:rsidR="00000000" w:rsidDel="00000000" w:rsidP="00000000" w:rsidRDefault="00000000" w:rsidRPr="00000000" w14:paraId="00000020">
            <w:pPr>
              <w:spacing w:line="260" w:lineRule="auto"/>
              <w:jc w:val="center"/>
              <w:rPr/>
            </w:pPr>
            <w:r w:rsidDel="00000000" w:rsidR="00000000" w:rsidRPr="00000000">
              <w:rPr>
                <w:b w:val="1"/>
                <w:bCs w:val="1"/>
                <w:color w:val="ffffff"/>
                <w:sz w:val="20"/>
                <w:szCs w:val="20"/>
                <w:rtl w:val="0"/>
              </w:rPr>
              <w:t xml:space="preserve">Topic</w:t>
            </w:r>
            <w:r w:rsidDel="00000000" w:rsidR="00000000" w:rsidRPr="00000000">
              <w:rPr>
                <w:rtl w:val="0"/>
              </w:rPr>
            </w:r>
          </w:p>
        </w:tc>
        <w:tc>
          <w:tcPr>
            <w:shd w:fill="0b1f3a" w:val="clear"/>
            <w:tcMar>
              <w:top w:w="80.0" w:type="dxa"/>
              <w:left w:w="100.0" w:type="dxa"/>
              <w:bottom w:w="80.0" w:type="dxa"/>
              <w:right w:w="100.0" w:type="dxa"/>
            </w:tcMar>
            <w:vAlign w:val="center"/>
          </w:tcPr>
          <w:p w:rsidR="00000000" w:rsidDel="00000000" w:rsidP="00000000" w:rsidRDefault="00000000" w:rsidRPr="00000000" w14:paraId="00000021">
            <w:pPr>
              <w:spacing w:line="260" w:lineRule="auto"/>
              <w:jc w:val="center"/>
              <w:rPr/>
            </w:pPr>
            <w:r w:rsidDel="00000000" w:rsidR="00000000" w:rsidRPr="00000000">
              <w:rPr>
                <w:b w:val="1"/>
                <w:bCs w:val="1"/>
                <w:color w:val="ffffff"/>
                <w:sz w:val="20"/>
                <w:szCs w:val="20"/>
                <w:rtl w:val="0"/>
              </w:rPr>
              <w:t xml:space="preserve">STROBE Recommendation</w:t>
            </w:r>
            <w:r w:rsidDel="00000000" w:rsidR="00000000" w:rsidRPr="00000000">
              <w:rPr>
                <w:rtl w:val="0"/>
              </w:rPr>
            </w:r>
          </w:p>
        </w:tc>
        <w:tc>
          <w:tcPr>
            <w:shd w:fill="0b1f3a" w:val="clear"/>
            <w:tcMar>
              <w:top w:w="80.0" w:type="dxa"/>
              <w:left w:w="100.0" w:type="dxa"/>
              <w:bottom w:w="80.0" w:type="dxa"/>
              <w:right w:w="100.0" w:type="dxa"/>
            </w:tcMar>
            <w:vAlign w:val="center"/>
          </w:tcPr>
          <w:p w:rsidR="00000000" w:rsidDel="00000000" w:rsidP="00000000" w:rsidRDefault="00000000" w:rsidRPr="00000000" w14:paraId="00000022">
            <w:pPr>
              <w:spacing w:line="260" w:lineRule="auto"/>
              <w:jc w:val="center"/>
              <w:rPr/>
            </w:pPr>
            <w:r w:rsidDel="00000000" w:rsidR="00000000" w:rsidRPr="00000000">
              <w:rPr>
                <w:b w:val="1"/>
                <w:bCs w:val="1"/>
                <w:color w:val="ffffff"/>
                <w:sz w:val="20"/>
                <w:szCs w:val="20"/>
                <w:rtl w:val="0"/>
              </w:rPr>
              <w:t xml:space="preserve">Status</w:t>
            </w:r>
            <w:r w:rsidDel="00000000" w:rsidR="00000000" w:rsidRPr="00000000">
              <w:rPr>
                <w:rtl w:val="0"/>
              </w:rPr>
            </w:r>
          </w:p>
        </w:tc>
        <w:tc>
          <w:tcPr>
            <w:shd w:fill="0b1f3a" w:val="clear"/>
            <w:tcMar>
              <w:top w:w="80.0" w:type="dxa"/>
              <w:left w:w="100.0" w:type="dxa"/>
              <w:bottom w:w="80.0" w:type="dxa"/>
              <w:right w:w="100.0" w:type="dxa"/>
            </w:tcMar>
            <w:vAlign w:val="center"/>
          </w:tcPr>
          <w:p w:rsidR="00000000" w:rsidDel="00000000" w:rsidP="00000000" w:rsidRDefault="00000000" w:rsidRPr="00000000" w14:paraId="00000023">
            <w:pPr>
              <w:spacing w:line="260" w:lineRule="auto"/>
              <w:jc w:val="center"/>
              <w:rPr/>
            </w:pPr>
            <w:r w:rsidDel="00000000" w:rsidR="00000000" w:rsidRPr="00000000">
              <w:rPr>
                <w:b w:val="1"/>
                <w:bCs w:val="1"/>
                <w:color w:val="ffffff"/>
                <w:sz w:val="20"/>
                <w:szCs w:val="20"/>
                <w:rtl w:val="0"/>
              </w:rPr>
              <w:t xml:space="preserve">Location in Manuscript</w:t>
            </w:r>
            <w:r w:rsidDel="00000000" w:rsidR="00000000" w:rsidRPr="00000000">
              <w:rPr>
                <w:rtl w:val="0"/>
              </w:rPr>
            </w:r>
          </w:p>
        </w:tc>
        <w:tc>
          <w:tcPr>
            <w:shd w:fill="0b1f3a" w:val="clear"/>
            <w:tcMar>
              <w:top w:w="80.0" w:type="dxa"/>
              <w:left w:w="100.0" w:type="dxa"/>
              <w:bottom w:w="80.0" w:type="dxa"/>
              <w:right w:w="100.0" w:type="dxa"/>
            </w:tcMar>
            <w:vAlign w:val="center"/>
          </w:tcPr>
          <w:p w:rsidR="00000000" w:rsidDel="00000000" w:rsidP="00000000" w:rsidRDefault="00000000" w:rsidRPr="00000000" w14:paraId="00000024">
            <w:pPr>
              <w:spacing w:line="260" w:lineRule="auto"/>
              <w:jc w:val="center"/>
              <w:rPr/>
            </w:pPr>
            <w:r w:rsidDel="00000000" w:rsidR="00000000" w:rsidRPr="00000000">
              <w:rPr>
                <w:b w:val="1"/>
                <w:bCs w:val="1"/>
                <w:color w:val="ffffff"/>
                <w:sz w:val="20"/>
                <w:szCs w:val="20"/>
                <w:rtl w:val="0"/>
              </w:rPr>
              <w:t xml:space="preserve">Comment / Notes</w:t>
            </w:r>
            <w:r w:rsidDel="00000000" w:rsidR="00000000" w:rsidRPr="00000000">
              <w:rPr>
                <w:rtl w:val="0"/>
              </w:rPr>
            </w:r>
          </w:p>
        </w:tc>
      </w:tr>
      <w:tr>
        <w:trPr>
          <w:cantSplit w:val="1"/>
          <w:tblHeader w:val="0"/>
        </w:trPr>
        <w:tc>
          <w:tcPr>
            <w:tcMar>
              <w:top w:w="80.0" w:type="dxa"/>
              <w:left w:w="100.0" w:type="dxa"/>
              <w:bottom w:w="80.0" w:type="dxa"/>
              <w:right w:w="100.0" w:type="dxa"/>
            </w:tcMar>
            <w:vAlign w:val="center"/>
          </w:tcPr>
          <w:p w:rsidR="00000000" w:rsidDel="00000000" w:rsidP="00000000" w:rsidRDefault="00000000" w:rsidRPr="00000000" w14:paraId="00000025">
            <w:pPr>
              <w:spacing w:line="260" w:lineRule="auto"/>
              <w:jc w:val="center"/>
              <w:rPr/>
            </w:pPr>
            <w:r w:rsidDel="00000000" w:rsidR="00000000" w:rsidRPr="00000000">
              <w:rPr>
                <w:b w:val="1"/>
                <w:bCs w:val="1"/>
                <w:color w:val="0b1f3a"/>
                <w:sz w:val="22"/>
                <w:szCs w:val="22"/>
                <w:rtl w:val="0"/>
              </w:rPr>
              <w:t xml:space="preserve">1</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26">
            <w:pPr>
              <w:spacing w:line="260" w:lineRule="auto"/>
              <w:rPr/>
            </w:pPr>
            <w:r w:rsidDel="00000000" w:rsidR="00000000" w:rsidRPr="00000000">
              <w:rPr>
                <w:b w:val="1"/>
                <w:bCs w:val="1"/>
                <w:sz w:val="20"/>
                <w:szCs w:val="20"/>
                <w:rtl w:val="0"/>
              </w:rPr>
              <w:t xml:space="preserve">Title and abstract</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27">
            <w:pPr>
              <w:spacing w:line="260" w:lineRule="auto"/>
              <w:rPr/>
            </w:pPr>
            <w:r w:rsidDel="00000000" w:rsidR="00000000" w:rsidRPr="00000000">
              <w:rPr>
                <w:sz w:val="19"/>
                <w:szCs w:val="19"/>
                <w:rtl w:val="0"/>
              </w:rPr>
              <w:t xml:space="preserve">(a) Indicate the study's design with a commonly used term in the title or the abstract. (b) Provide in the abstract an informative and balanced summary of what was done and what was found.</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28">
            <w:pPr>
              <w:spacing w:line="260" w:lineRule="auto"/>
              <w:jc w:val="center"/>
              <w:rPr/>
            </w:pPr>
            <w:r w:rsidDel="00000000" w:rsidR="00000000" w:rsidRPr="00000000">
              <w:rPr>
                <w:b w:val="1"/>
                <w:bCs w:val="1"/>
                <w:color w:val="166534"/>
                <w:sz w:val="26"/>
                <w:szCs w:val="26"/>
                <w:rtl w:val="0"/>
              </w:rPr>
              <w:t xml:space="preserve">✓</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29">
            <w:pPr>
              <w:spacing w:line="260" w:lineRule="auto"/>
              <w:rPr/>
            </w:pPr>
            <w:r w:rsidDel="00000000" w:rsidR="00000000" w:rsidRPr="00000000">
              <w:rPr>
                <w:i w:val="1"/>
                <w:iCs w:val="1"/>
                <w:sz w:val="19"/>
                <w:szCs w:val="19"/>
                <w:rtl w:val="0"/>
              </w:rPr>
              <w:t xml:space="preserve">Title; Abstract (Background, Methods, Results, Conclusions)</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2A">
            <w:pPr>
              <w:spacing w:line="260" w:lineRule="auto"/>
              <w:rPr/>
            </w:pPr>
            <w:r w:rsidDel="00000000" w:rsidR="00000000" w:rsidRPr="00000000">
              <w:rPr>
                <w:sz w:val="19"/>
                <w:szCs w:val="19"/>
                <w:rtl w:val="0"/>
              </w:rPr>
              <w:t xml:space="preserve">Title explicitly states "A Prospective Cohort Study from Syria." Structured abstract (IMRAD) provided with full numerical results.</w:t>
            </w:r>
            <w:r w:rsidDel="00000000" w:rsidR="00000000" w:rsidRPr="00000000">
              <w:rPr>
                <w:rtl w:val="0"/>
              </w:rPr>
            </w:r>
          </w:p>
        </w:tc>
      </w:tr>
      <w:tr>
        <w:trPr>
          <w:cantSplit w:val="1"/>
          <w:tblHeader w:val="0"/>
        </w:trPr>
        <w:tc>
          <w:tcPr>
            <w:shd w:fill="fafbfc" w:val="clear"/>
            <w:tcMar>
              <w:top w:w="80.0" w:type="dxa"/>
              <w:left w:w="100.0" w:type="dxa"/>
              <w:bottom w:w="80.0" w:type="dxa"/>
              <w:right w:w="100.0" w:type="dxa"/>
            </w:tcMar>
            <w:vAlign w:val="center"/>
          </w:tcPr>
          <w:p w:rsidR="00000000" w:rsidDel="00000000" w:rsidP="00000000" w:rsidRDefault="00000000" w:rsidRPr="00000000" w14:paraId="0000002B">
            <w:pPr>
              <w:spacing w:line="260" w:lineRule="auto"/>
              <w:jc w:val="center"/>
              <w:rPr/>
            </w:pPr>
            <w:r w:rsidDel="00000000" w:rsidR="00000000" w:rsidRPr="00000000">
              <w:rPr>
                <w:b w:val="1"/>
                <w:bCs w:val="1"/>
                <w:color w:val="0b1f3a"/>
                <w:sz w:val="22"/>
                <w:szCs w:val="22"/>
                <w:rtl w:val="0"/>
              </w:rPr>
              <w:t xml:space="preserve">2</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2C">
            <w:pPr>
              <w:spacing w:line="260" w:lineRule="auto"/>
              <w:rPr/>
            </w:pPr>
            <w:r w:rsidDel="00000000" w:rsidR="00000000" w:rsidRPr="00000000">
              <w:rPr>
                <w:b w:val="1"/>
                <w:bCs w:val="1"/>
                <w:sz w:val="20"/>
                <w:szCs w:val="20"/>
                <w:rtl w:val="0"/>
              </w:rPr>
              <w:t xml:space="preserve">Background / rationale</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2D">
            <w:pPr>
              <w:spacing w:line="260" w:lineRule="auto"/>
              <w:rPr/>
            </w:pPr>
            <w:r w:rsidDel="00000000" w:rsidR="00000000" w:rsidRPr="00000000">
              <w:rPr>
                <w:sz w:val="19"/>
                <w:szCs w:val="19"/>
                <w:rtl w:val="0"/>
              </w:rPr>
              <w:t xml:space="preserve">Explain the scientific background and rationale for the investigation being reported.</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2E">
            <w:pPr>
              <w:spacing w:line="260" w:lineRule="auto"/>
              <w:jc w:val="center"/>
              <w:rPr/>
            </w:pPr>
            <w:r w:rsidDel="00000000" w:rsidR="00000000" w:rsidRPr="00000000">
              <w:rPr>
                <w:b w:val="1"/>
                <w:bCs w:val="1"/>
                <w:color w:val="166534"/>
                <w:sz w:val="26"/>
                <w:szCs w:val="26"/>
                <w:rtl w:val="0"/>
              </w:rPr>
              <w:t xml:space="preserve">✓</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2F">
            <w:pPr>
              <w:spacing w:line="260" w:lineRule="auto"/>
              <w:rPr/>
            </w:pPr>
            <w:r w:rsidDel="00000000" w:rsidR="00000000" w:rsidRPr="00000000">
              <w:rPr>
                <w:i w:val="1"/>
                <w:iCs w:val="1"/>
                <w:sz w:val="19"/>
                <w:szCs w:val="19"/>
                <w:rtl w:val="0"/>
              </w:rPr>
              <w:t xml:space="preserve">Background, paragraphs 1–4</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30">
            <w:pPr>
              <w:spacing w:line="260" w:lineRule="auto"/>
              <w:rPr/>
            </w:pPr>
            <w:r w:rsidDel="00000000" w:rsidR="00000000" w:rsidRPr="00000000">
              <w:rPr>
                <w:sz w:val="19"/>
                <w:szCs w:val="19"/>
                <w:rtl w:val="0"/>
              </w:rPr>
              <w:t xml:space="preserve">Four paragraphs establish the burden of ADHF, the cholesterol paradox, conflicting evidence (Yoon, He), proposed mechanisms, the Syrian knowledge gap, and the study aims.</w:t>
            </w:r>
            <w:r w:rsidDel="00000000" w:rsidR="00000000" w:rsidRPr="00000000">
              <w:rPr>
                <w:rtl w:val="0"/>
              </w:rPr>
            </w:r>
          </w:p>
        </w:tc>
      </w:tr>
      <w:tr>
        <w:trPr>
          <w:cantSplit w:val="1"/>
          <w:tblHeader w:val="0"/>
        </w:trPr>
        <w:tc>
          <w:tcPr>
            <w:tcMar>
              <w:top w:w="80.0" w:type="dxa"/>
              <w:left w:w="100.0" w:type="dxa"/>
              <w:bottom w:w="80.0" w:type="dxa"/>
              <w:right w:w="100.0" w:type="dxa"/>
            </w:tcMar>
            <w:vAlign w:val="center"/>
          </w:tcPr>
          <w:p w:rsidR="00000000" w:rsidDel="00000000" w:rsidP="00000000" w:rsidRDefault="00000000" w:rsidRPr="00000000" w14:paraId="00000031">
            <w:pPr>
              <w:spacing w:line="260" w:lineRule="auto"/>
              <w:jc w:val="center"/>
              <w:rPr/>
            </w:pPr>
            <w:r w:rsidDel="00000000" w:rsidR="00000000" w:rsidRPr="00000000">
              <w:rPr>
                <w:b w:val="1"/>
                <w:bCs w:val="1"/>
                <w:color w:val="0b1f3a"/>
                <w:sz w:val="22"/>
                <w:szCs w:val="22"/>
                <w:rtl w:val="0"/>
              </w:rPr>
              <w:t xml:space="preserve">3</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32">
            <w:pPr>
              <w:spacing w:line="260" w:lineRule="auto"/>
              <w:rPr/>
            </w:pPr>
            <w:r w:rsidDel="00000000" w:rsidR="00000000" w:rsidRPr="00000000">
              <w:rPr>
                <w:b w:val="1"/>
                <w:bCs w:val="1"/>
                <w:sz w:val="20"/>
                <w:szCs w:val="20"/>
                <w:rtl w:val="0"/>
              </w:rPr>
              <w:t xml:space="preserve">Objectives</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33">
            <w:pPr>
              <w:spacing w:line="260" w:lineRule="auto"/>
              <w:rPr/>
            </w:pPr>
            <w:r w:rsidDel="00000000" w:rsidR="00000000" w:rsidRPr="00000000">
              <w:rPr>
                <w:sz w:val="19"/>
                <w:szCs w:val="19"/>
                <w:rtl w:val="0"/>
              </w:rPr>
              <w:t xml:space="preserve">State specific objectives, including any prespecified hypotheses.</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34">
            <w:pPr>
              <w:spacing w:line="260" w:lineRule="auto"/>
              <w:jc w:val="center"/>
              <w:rPr/>
            </w:pPr>
            <w:r w:rsidDel="00000000" w:rsidR="00000000" w:rsidRPr="00000000">
              <w:rPr>
                <w:b w:val="1"/>
                <w:bCs w:val="1"/>
                <w:color w:val="166534"/>
                <w:sz w:val="26"/>
                <w:szCs w:val="26"/>
                <w:rtl w:val="0"/>
              </w:rPr>
              <w:t xml:space="preserve">✓</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35">
            <w:pPr>
              <w:spacing w:line="260" w:lineRule="auto"/>
              <w:rPr/>
            </w:pPr>
            <w:r w:rsidDel="00000000" w:rsidR="00000000" w:rsidRPr="00000000">
              <w:rPr>
                <w:i w:val="1"/>
                <w:iCs w:val="1"/>
                <w:sz w:val="19"/>
                <w:szCs w:val="19"/>
                <w:rtl w:val="0"/>
              </w:rPr>
              <w:t xml:space="preserve">Background, paragraph 5 (final paragraph)</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36">
            <w:pPr>
              <w:spacing w:line="260" w:lineRule="auto"/>
              <w:rPr/>
            </w:pPr>
            <w:r w:rsidDel="00000000" w:rsidR="00000000" w:rsidRPr="00000000">
              <w:rPr>
                <w:sz w:val="19"/>
                <w:szCs w:val="19"/>
                <w:rtl w:val="0"/>
              </w:rPr>
              <w:t xml:space="preserve">An a priori hypothesis was stated (lower admission TC and LDL-C would be independently associated with higher in-hospital mortality). Two objectives stated: primary (association between admission lipid profile, particularly TC and LDL-C, and in-hospital mortality) and secondary (identification of independent clinical and laboratory predictors of in-hospital death).</w:t>
            </w:r>
            <w:r w:rsidDel="00000000" w:rsidR="00000000" w:rsidRPr="00000000">
              <w:rPr>
                <w:rtl w:val="0"/>
              </w:rPr>
            </w:r>
          </w:p>
        </w:tc>
      </w:tr>
      <w:tr>
        <w:trPr>
          <w:cantSplit w:val="1"/>
          <w:tblHeader w:val="0"/>
        </w:trPr>
        <w:tc>
          <w:tcPr>
            <w:shd w:fill="fafbfc" w:val="clear"/>
            <w:tcMar>
              <w:top w:w="80.0" w:type="dxa"/>
              <w:left w:w="100.0" w:type="dxa"/>
              <w:bottom w:w="80.0" w:type="dxa"/>
              <w:right w:w="100.0" w:type="dxa"/>
            </w:tcMar>
            <w:vAlign w:val="center"/>
          </w:tcPr>
          <w:p w:rsidR="00000000" w:rsidDel="00000000" w:rsidP="00000000" w:rsidRDefault="00000000" w:rsidRPr="00000000" w14:paraId="00000037">
            <w:pPr>
              <w:spacing w:line="260" w:lineRule="auto"/>
              <w:jc w:val="center"/>
              <w:rPr/>
            </w:pPr>
            <w:r w:rsidDel="00000000" w:rsidR="00000000" w:rsidRPr="00000000">
              <w:rPr>
                <w:b w:val="1"/>
                <w:bCs w:val="1"/>
                <w:color w:val="0b1f3a"/>
                <w:sz w:val="22"/>
                <w:szCs w:val="22"/>
                <w:rtl w:val="0"/>
              </w:rPr>
              <w:t xml:space="preserve">4</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38">
            <w:pPr>
              <w:spacing w:line="260" w:lineRule="auto"/>
              <w:rPr/>
            </w:pPr>
            <w:r w:rsidDel="00000000" w:rsidR="00000000" w:rsidRPr="00000000">
              <w:rPr>
                <w:b w:val="1"/>
                <w:bCs w:val="1"/>
                <w:sz w:val="20"/>
                <w:szCs w:val="20"/>
                <w:rtl w:val="0"/>
              </w:rPr>
              <w:t xml:space="preserve">Study design</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39">
            <w:pPr>
              <w:spacing w:line="260" w:lineRule="auto"/>
              <w:rPr/>
            </w:pPr>
            <w:r w:rsidDel="00000000" w:rsidR="00000000" w:rsidRPr="00000000">
              <w:rPr>
                <w:sz w:val="19"/>
                <w:szCs w:val="19"/>
                <w:rtl w:val="0"/>
              </w:rPr>
              <w:t xml:space="preserve">Present key elements of study design early in the paper.</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3A">
            <w:pPr>
              <w:spacing w:line="260" w:lineRule="auto"/>
              <w:jc w:val="center"/>
              <w:rPr/>
            </w:pPr>
            <w:r w:rsidDel="00000000" w:rsidR="00000000" w:rsidRPr="00000000">
              <w:rPr>
                <w:b w:val="1"/>
                <w:bCs w:val="1"/>
                <w:color w:val="166534"/>
                <w:sz w:val="26"/>
                <w:szCs w:val="26"/>
                <w:rtl w:val="0"/>
              </w:rPr>
              <w:t xml:space="preserve">✓</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3B">
            <w:pPr>
              <w:spacing w:line="260" w:lineRule="auto"/>
              <w:rPr/>
            </w:pPr>
            <w:r w:rsidDel="00000000" w:rsidR="00000000" w:rsidRPr="00000000">
              <w:rPr>
                <w:i w:val="1"/>
                <w:iCs w:val="1"/>
                <w:sz w:val="19"/>
                <w:szCs w:val="19"/>
                <w:rtl w:val="0"/>
              </w:rPr>
              <w:t xml:space="preserve">Methods, "Study design and setting"</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3C">
            <w:pPr>
              <w:spacing w:line="260" w:lineRule="auto"/>
              <w:rPr/>
            </w:pPr>
            <w:r w:rsidDel="00000000" w:rsidR="00000000" w:rsidRPr="00000000">
              <w:rPr>
                <w:sz w:val="19"/>
                <w:szCs w:val="19"/>
                <w:rtl w:val="0"/>
              </w:rPr>
              <w:t xml:space="preserve">Prospective cohort study at two tertiary university hospitals in Damascus, Syria (Al-Mouassat and Al-Watani).</w:t>
            </w:r>
            <w:r w:rsidDel="00000000" w:rsidR="00000000" w:rsidRPr="00000000">
              <w:rPr>
                <w:rtl w:val="0"/>
              </w:rPr>
            </w:r>
          </w:p>
        </w:tc>
      </w:tr>
      <w:tr>
        <w:trPr>
          <w:cantSplit w:val="1"/>
          <w:tblHeader w:val="0"/>
        </w:trPr>
        <w:tc>
          <w:tcPr>
            <w:tcMar>
              <w:top w:w="80.0" w:type="dxa"/>
              <w:left w:w="100.0" w:type="dxa"/>
              <w:bottom w:w="80.0" w:type="dxa"/>
              <w:right w:w="100.0" w:type="dxa"/>
            </w:tcMar>
            <w:vAlign w:val="center"/>
          </w:tcPr>
          <w:p w:rsidR="00000000" w:rsidDel="00000000" w:rsidP="00000000" w:rsidRDefault="00000000" w:rsidRPr="00000000" w14:paraId="0000003D">
            <w:pPr>
              <w:spacing w:line="260" w:lineRule="auto"/>
              <w:jc w:val="center"/>
              <w:rPr/>
            </w:pPr>
            <w:r w:rsidDel="00000000" w:rsidR="00000000" w:rsidRPr="00000000">
              <w:rPr>
                <w:b w:val="1"/>
                <w:bCs w:val="1"/>
                <w:color w:val="0b1f3a"/>
                <w:sz w:val="22"/>
                <w:szCs w:val="22"/>
                <w:rtl w:val="0"/>
              </w:rPr>
              <w:t xml:space="preserve">5</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3E">
            <w:pPr>
              <w:spacing w:line="260" w:lineRule="auto"/>
              <w:rPr/>
            </w:pPr>
            <w:r w:rsidDel="00000000" w:rsidR="00000000" w:rsidRPr="00000000">
              <w:rPr>
                <w:b w:val="1"/>
                <w:bCs w:val="1"/>
                <w:sz w:val="20"/>
                <w:szCs w:val="20"/>
                <w:rtl w:val="0"/>
              </w:rPr>
              <w:t xml:space="preserve">Setting</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3F">
            <w:pPr>
              <w:spacing w:line="260" w:lineRule="auto"/>
              <w:rPr/>
            </w:pPr>
            <w:r w:rsidDel="00000000" w:rsidR="00000000" w:rsidRPr="00000000">
              <w:rPr>
                <w:sz w:val="19"/>
                <w:szCs w:val="19"/>
                <w:rtl w:val="0"/>
              </w:rPr>
              <w:t xml:space="preserve">Describe the setting, locations, and relevant dates, including periods of recruitment, exposure, follow-up, and data collection.</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40">
            <w:pPr>
              <w:spacing w:line="260" w:lineRule="auto"/>
              <w:jc w:val="center"/>
              <w:rPr/>
            </w:pPr>
            <w:r w:rsidDel="00000000" w:rsidR="00000000" w:rsidRPr="00000000">
              <w:rPr>
                <w:b w:val="1"/>
                <w:bCs w:val="1"/>
                <w:color w:val="166534"/>
                <w:sz w:val="26"/>
                <w:szCs w:val="26"/>
                <w:rtl w:val="0"/>
              </w:rPr>
              <w:t xml:space="preserve">✓</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41">
            <w:pPr>
              <w:spacing w:line="260" w:lineRule="auto"/>
              <w:rPr/>
            </w:pPr>
            <w:r w:rsidDel="00000000" w:rsidR="00000000" w:rsidRPr="00000000">
              <w:rPr>
                <w:i w:val="1"/>
                <w:iCs w:val="1"/>
                <w:sz w:val="19"/>
                <w:szCs w:val="19"/>
                <w:rtl w:val="0"/>
              </w:rPr>
              <w:t xml:space="preserve">Methods, "Study design and setting"; Abstract (Methods)</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42">
            <w:pPr>
              <w:spacing w:line="260" w:lineRule="auto"/>
              <w:rPr/>
            </w:pPr>
            <w:bookmarkStart w:colFirst="0" w:colLast="0" w:name="_u8d8pvoegifl" w:id="0"/>
            <w:bookmarkEnd w:id="0"/>
            <w:r w:rsidDel="00000000" w:rsidR="00000000" w:rsidRPr="00000000">
              <w:rPr>
                <w:sz w:val="19"/>
                <w:szCs w:val="19"/>
                <w:rtl w:val="0"/>
              </w:rPr>
              <w:t xml:space="preserve">Two tertiary teaching and referral hospitals (Al-Mouassat and Al-Watani) in Damascus, Syria. Enrolment period: March 2025 to March 2026. In-hospital follow-up until discharge or death.</w:t>
            </w:r>
            <w:r w:rsidDel="00000000" w:rsidR="00000000" w:rsidRPr="00000000">
              <w:rPr>
                <w:rtl w:val="0"/>
              </w:rPr>
            </w:r>
          </w:p>
        </w:tc>
      </w:tr>
      <w:tr>
        <w:trPr>
          <w:cantSplit w:val="1"/>
          <w:tblHeader w:val="0"/>
        </w:trPr>
        <w:tc>
          <w:tcPr>
            <w:shd w:fill="fafbfc" w:val="clear"/>
            <w:tcMar>
              <w:top w:w="80.0" w:type="dxa"/>
              <w:left w:w="100.0" w:type="dxa"/>
              <w:bottom w:w="80.0" w:type="dxa"/>
              <w:right w:w="100.0" w:type="dxa"/>
            </w:tcMar>
            <w:vAlign w:val="center"/>
          </w:tcPr>
          <w:p w:rsidR="00000000" w:rsidDel="00000000" w:rsidP="00000000" w:rsidRDefault="00000000" w:rsidRPr="00000000" w14:paraId="00000043">
            <w:pPr>
              <w:spacing w:line="260" w:lineRule="auto"/>
              <w:jc w:val="center"/>
              <w:rPr/>
            </w:pPr>
            <w:r w:rsidDel="00000000" w:rsidR="00000000" w:rsidRPr="00000000">
              <w:rPr>
                <w:b w:val="1"/>
                <w:bCs w:val="1"/>
                <w:color w:val="0b1f3a"/>
                <w:sz w:val="22"/>
                <w:szCs w:val="22"/>
                <w:rtl w:val="0"/>
              </w:rPr>
              <w:t xml:space="preserve">6</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44">
            <w:pPr>
              <w:spacing w:line="260" w:lineRule="auto"/>
              <w:rPr/>
            </w:pPr>
            <w:r w:rsidDel="00000000" w:rsidR="00000000" w:rsidRPr="00000000">
              <w:rPr>
                <w:b w:val="1"/>
                <w:bCs w:val="1"/>
                <w:sz w:val="20"/>
                <w:szCs w:val="20"/>
                <w:rtl w:val="0"/>
              </w:rPr>
              <w:t xml:space="preserve">Participants</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45">
            <w:pPr>
              <w:spacing w:line="260" w:lineRule="auto"/>
              <w:rPr/>
            </w:pPr>
            <w:r w:rsidDel="00000000" w:rsidR="00000000" w:rsidRPr="00000000">
              <w:rPr>
                <w:sz w:val="19"/>
                <w:szCs w:val="19"/>
                <w:rtl w:val="0"/>
              </w:rPr>
              <w:t xml:space="preserve">(a) Give the eligibility criteria, and the sources and methods of selection of participants. (b) For matched studies, give matching criteria and the number of exposed and unexposed.</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46">
            <w:pPr>
              <w:spacing w:line="260" w:lineRule="auto"/>
              <w:jc w:val="center"/>
              <w:rPr/>
            </w:pPr>
            <w:r w:rsidDel="00000000" w:rsidR="00000000" w:rsidRPr="00000000">
              <w:rPr>
                <w:b w:val="1"/>
                <w:bCs w:val="1"/>
                <w:color w:val="166534"/>
                <w:sz w:val="26"/>
                <w:szCs w:val="26"/>
                <w:rtl w:val="0"/>
              </w:rPr>
              <w:t xml:space="preserve">✓</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47">
            <w:pPr>
              <w:spacing w:line="260" w:lineRule="auto"/>
              <w:rPr/>
            </w:pPr>
            <w:r w:rsidDel="00000000" w:rsidR="00000000" w:rsidRPr="00000000">
              <w:rPr>
                <w:i w:val="1"/>
                <w:iCs w:val="1"/>
                <w:sz w:val="19"/>
                <w:szCs w:val="19"/>
                <w:rtl w:val="0"/>
              </w:rPr>
              <w:t xml:space="preserve">Methods, "Study population"</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48">
            <w:pPr>
              <w:spacing w:line="260" w:lineRule="auto"/>
              <w:rPr/>
            </w:pPr>
            <w:r w:rsidDel="00000000" w:rsidR="00000000" w:rsidRPr="00000000">
              <w:rPr>
                <w:sz w:val="19"/>
                <w:szCs w:val="19"/>
                <w:rtl w:val="0"/>
              </w:rPr>
              <w:t xml:space="preserve">Inclusion criteria (4 items) and exclusion criteria (7 items) explicitly listed. Recruitment from ED, ICU, and cardiology ward via consecutive sampling. Not a matched study (b not applicable).</w:t>
            </w:r>
            <w:r w:rsidDel="00000000" w:rsidR="00000000" w:rsidRPr="00000000">
              <w:rPr>
                <w:rtl w:val="0"/>
              </w:rPr>
            </w:r>
          </w:p>
        </w:tc>
      </w:tr>
      <w:tr>
        <w:trPr>
          <w:cantSplit w:val="1"/>
          <w:tblHeader w:val="0"/>
        </w:trPr>
        <w:tc>
          <w:tcPr>
            <w:tcMar>
              <w:top w:w="80.0" w:type="dxa"/>
              <w:left w:w="100.0" w:type="dxa"/>
              <w:bottom w:w="80.0" w:type="dxa"/>
              <w:right w:w="100.0" w:type="dxa"/>
            </w:tcMar>
            <w:vAlign w:val="center"/>
          </w:tcPr>
          <w:p w:rsidR="00000000" w:rsidDel="00000000" w:rsidP="00000000" w:rsidRDefault="00000000" w:rsidRPr="00000000" w14:paraId="00000049">
            <w:pPr>
              <w:spacing w:line="260" w:lineRule="auto"/>
              <w:jc w:val="center"/>
              <w:rPr/>
            </w:pPr>
            <w:r w:rsidDel="00000000" w:rsidR="00000000" w:rsidRPr="00000000">
              <w:rPr>
                <w:b w:val="1"/>
                <w:bCs w:val="1"/>
                <w:color w:val="0b1f3a"/>
                <w:sz w:val="22"/>
                <w:szCs w:val="22"/>
                <w:rtl w:val="0"/>
              </w:rPr>
              <w:t xml:space="preserve">7</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4A">
            <w:pPr>
              <w:spacing w:line="260" w:lineRule="auto"/>
              <w:rPr/>
            </w:pPr>
            <w:r w:rsidDel="00000000" w:rsidR="00000000" w:rsidRPr="00000000">
              <w:rPr>
                <w:b w:val="1"/>
                <w:bCs w:val="1"/>
                <w:sz w:val="20"/>
                <w:szCs w:val="20"/>
                <w:rtl w:val="0"/>
              </w:rPr>
              <w:t xml:space="preserve">Variables</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4B">
            <w:pPr>
              <w:spacing w:line="260" w:lineRule="auto"/>
              <w:rPr/>
            </w:pPr>
            <w:r w:rsidDel="00000000" w:rsidR="00000000" w:rsidRPr="00000000">
              <w:rPr>
                <w:sz w:val="19"/>
                <w:szCs w:val="19"/>
                <w:rtl w:val="0"/>
              </w:rPr>
              <w:t xml:space="preserve">Clearly define all outcomes, exposures, predictors, potential confounders, and effect modifiers. Give diagnostic criteria, if applicable.</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4C">
            <w:pPr>
              <w:spacing w:line="260" w:lineRule="auto"/>
              <w:jc w:val="center"/>
              <w:rPr/>
            </w:pPr>
            <w:r w:rsidDel="00000000" w:rsidR="00000000" w:rsidRPr="00000000">
              <w:rPr>
                <w:b w:val="1"/>
                <w:bCs w:val="1"/>
                <w:color w:val="166534"/>
                <w:sz w:val="26"/>
                <w:szCs w:val="26"/>
                <w:rtl w:val="0"/>
              </w:rPr>
              <w:t xml:space="preserve">✓</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4D">
            <w:pPr>
              <w:spacing w:line="260" w:lineRule="auto"/>
              <w:rPr/>
            </w:pPr>
            <w:r w:rsidDel="00000000" w:rsidR="00000000" w:rsidRPr="00000000">
              <w:rPr>
                <w:i w:val="1"/>
                <w:iCs w:val="1"/>
                <w:sz w:val="19"/>
                <w:szCs w:val="19"/>
                <w:rtl w:val="0"/>
              </w:rPr>
              <w:t xml:space="preserve">Methods, "Data collection and definitions" and "Outcomes"</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4E">
            <w:pPr>
              <w:spacing w:line="260" w:lineRule="auto"/>
              <w:rPr/>
            </w:pPr>
            <w:r w:rsidDel="00000000" w:rsidR="00000000" w:rsidRPr="00000000">
              <w:rPr>
                <w:sz w:val="19"/>
                <w:szCs w:val="19"/>
                <w:rtl w:val="0"/>
              </w:rPr>
              <w:t xml:space="preserve">All variables defined: ADHF per 2021 ESC Guidelines; lipid profile (TC, LDL-C, HDL-C, triglycerides) measured enzymatically; LVEF via modified Simpson's biplane method. Primary outcome: in-hospital mortality (all-cause). Secondary outcomes: ROC discriminative performance of TC and LDL-C, and identification of independent predictors.</w:t>
            </w:r>
            <w:r w:rsidDel="00000000" w:rsidR="00000000" w:rsidRPr="00000000">
              <w:rPr>
                <w:rtl w:val="0"/>
              </w:rPr>
            </w:r>
          </w:p>
        </w:tc>
      </w:tr>
      <w:tr>
        <w:trPr>
          <w:cantSplit w:val="1"/>
          <w:tblHeader w:val="0"/>
        </w:trPr>
        <w:tc>
          <w:tcPr>
            <w:shd w:fill="fafbfc" w:val="clear"/>
            <w:tcMar>
              <w:top w:w="80.0" w:type="dxa"/>
              <w:left w:w="100.0" w:type="dxa"/>
              <w:bottom w:w="80.0" w:type="dxa"/>
              <w:right w:w="100.0" w:type="dxa"/>
            </w:tcMar>
            <w:vAlign w:val="center"/>
          </w:tcPr>
          <w:p w:rsidR="00000000" w:rsidDel="00000000" w:rsidP="00000000" w:rsidRDefault="00000000" w:rsidRPr="00000000" w14:paraId="0000004F">
            <w:pPr>
              <w:spacing w:line="260" w:lineRule="auto"/>
              <w:jc w:val="center"/>
              <w:rPr/>
            </w:pPr>
            <w:r w:rsidDel="00000000" w:rsidR="00000000" w:rsidRPr="00000000">
              <w:rPr>
                <w:b w:val="1"/>
                <w:bCs w:val="1"/>
                <w:color w:val="0b1f3a"/>
                <w:sz w:val="22"/>
                <w:szCs w:val="22"/>
                <w:rtl w:val="0"/>
              </w:rPr>
              <w:t xml:space="preserve">8</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50">
            <w:pPr>
              <w:spacing w:line="260" w:lineRule="auto"/>
              <w:rPr/>
            </w:pPr>
            <w:r w:rsidDel="00000000" w:rsidR="00000000" w:rsidRPr="00000000">
              <w:rPr>
                <w:b w:val="1"/>
                <w:bCs w:val="1"/>
                <w:sz w:val="20"/>
                <w:szCs w:val="20"/>
                <w:rtl w:val="0"/>
              </w:rPr>
              <w:t xml:space="preserve">Data sources / measurement</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51">
            <w:pPr>
              <w:spacing w:line="260" w:lineRule="auto"/>
              <w:rPr/>
            </w:pPr>
            <w:r w:rsidDel="00000000" w:rsidR="00000000" w:rsidRPr="00000000">
              <w:rPr>
                <w:sz w:val="19"/>
                <w:szCs w:val="19"/>
                <w:rtl w:val="0"/>
              </w:rPr>
              <w:t xml:space="preserve">For each variable of interest, give sources of data and details of methods of assessment (measurement). Describe comparability of assessment methods if there is more than one group.</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52">
            <w:pPr>
              <w:spacing w:line="260" w:lineRule="auto"/>
              <w:jc w:val="center"/>
              <w:rPr/>
            </w:pPr>
            <w:r w:rsidDel="00000000" w:rsidR="00000000" w:rsidRPr="00000000">
              <w:rPr>
                <w:b w:val="1"/>
                <w:bCs w:val="1"/>
                <w:color w:val="166534"/>
                <w:sz w:val="26"/>
                <w:szCs w:val="26"/>
                <w:rtl w:val="0"/>
              </w:rPr>
              <w:t xml:space="preserve">✓</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53">
            <w:pPr>
              <w:spacing w:line="260" w:lineRule="auto"/>
              <w:rPr/>
            </w:pPr>
            <w:r w:rsidDel="00000000" w:rsidR="00000000" w:rsidRPr="00000000">
              <w:rPr>
                <w:i w:val="1"/>
                <w:iCs w:val="1"/>
                <w:sz w:val="19"/>
                <w:szCs w:val="19"/>
                <w:rtl w:val="0"/>
              </w:rPr>
              <w:t xml:space="preserve">Methods, "Data collection and definitions"</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54">
            <w:pPr>
              <w:spacing w:line="260" w:lineRule="auto"/>
              <w:rPr/>
            </w:pPr>
            <w:r w:rsidDel="00000000" w:rsidR="00000000" w:rsidRPr="00000000">
              <w:rPr>
                <w:sz w:val="19"/>
                <w:szCs w:val="19"/>
                <w:rtl w:val="0"/>
              </w:rPr>
              <w:t xml:space="preserve">Demographic and clinical data collected by patient interview and medical-record review. Laboratory values from central hospital laboratory using standardized enzymatic methods (COBAS c311 analyzer; Roche Diagnostics); LDL-C calculated by Friedewald equation when triglycerides &lt; 400 mg/dL. Echocardiography performed on a single machine model (GE Healthcare Vivid T8) using Simpson's biplane method.</w:t>
            </w:r>
            <w:r w:rsidDel="00000000" w:rsidR="00000000" w:rsidRPr="00000000">
              <w:rPr>
                <w:rtl w:val="0"/>
              </w:rPr>
            </w:r>
          </w:p>
        </w:tc>
      </w:tr>
      <w:tr>
        <w:trPr>
          <w:cantSplit w:val="1"/>
          <w:tblHeader w:val="0"/>
        </w:trPr>
        <w:tc>
          <w:tcPr>
            <w:tcMar>
              <w:top w:w="80.0" w:type="dxa"/>
              <w:left w:w="100.0" w:type="dxa"/>
              <w:bottom w:w="80.0" w:type="dxa"/>
              <w:right w:w="100.0" w:type="dxa"/>
            </w:tcMar>
            <w:vAlign w:val="center"/>
          </w:tcPr>
          <w:p w:rsidR="00000000" w:rsidDel="00000000" w:rsidP="00000000" w:rsidRDefault="00000000" w:rsidRPr="00000000" w14:paraId="00000055">
            <w:pPr>
              <w:spacing w:line="260" w:lineRule="auto"/>
              <w:jc w:val="center"/>
              <w:rPr/>
            </w:pPr>
            <w:r w:rsidDel="00000000" w:rsidR="00000000" w:rsidRPr="00000000">
              <w:rPr>
                <w:b w:val="1"/>
                <w:bCs w:val="1"/>
                <w:color w:val="0b1f3a"/>
                <w:sz w:val="22"/>
                <w:szCs w:val="22"/>
                <w:rtl w:val="0"/>
              </w:rPr>
              <w:t xml:space="preserve">9</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56">
            <w:pPr>
              <w:spacing w:line="260" w:lineRule="auto"/>
              <w:rPr/>
            </w:pPr>
            <w:r w:rsidDel="00000000" w:rsidR="00000000" w:rsidRPr="00000000">
              <w:rPr>
                <w:b w:val="1"/>
                <w:bCs w:val="1"/>
                <w:sz w:val="20"/>
                <w:szCs w:val="20"/>
                <w:rtl w:val="0"/>
              </w:rPr>
              <w:t xml:space="preserve">Bias</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57">
            <w:pPr>
              <w:spacing w:line="260" w:lineRule="auto"/>
              <w:rPr/>
            </w:pPr>
            <w:r w:rsidDel="00000000" w:rsidR="00000000" w:rsidRPr="00000000">
              <w:rPr>
                <w:sz w:val="19"/>
                <w:szCs w:val="19"/>
                <w:rtl w:val="0"/>
              </w:rPr>
              <w:t xml:space="preserve">Describe any efforts to address potential sources of bias.</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58">
            <w:pPr>
              <w:spacing w:line="260" w:lineRule="auto"/>
              <w:jc w:val="center"/>
              <w:rPr/>
            </w:pPr>
            <w:r w:rsidDel="00000000" w:rsidR="00000000" w:rsidRPr="00000000">
              <w:rPr>
                <w:b w:val="1"/>
                <w:bCs w:val="1"/>
                <w:color w:val="166534"/>
                <w:sz w:val="26"/>
                <w:szCs w:val="26"/>
                <w:rtl w:val="0"/>
              </w:rPr>
              <w:t xml:space="preserve">✓</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59">
            <w:pPr>
              <w:spacing w:line="260" w:lineRule="auto"/>
              <w:rPr/>
            </w:pPr>
            <w:r w:rsidDel="00000000" w:rsidR="00000000" w:rsidRPr="00000000">
              <w:rPr>
                <w:i w:val="1"/>
                <w:iCs w:val="1"/>
                <w:sz w:val="19"/>
                <w:szCs w:val="19"/>
                <w:rtl w:val="0"/>
              </w:rPr>
              <w:t xml:space="preserve">Methods, "Bias"</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5A">
            <w:pPr>
              <w:spacing w:line="260" w:lineRule="auto"/>
              <w:rPr/>
            </w:pPr>
            <w:r w:rsidDel="00000000" w:rsidR="00000000" w:rsidRPr="00000000">
              <w:rPr>
                <w:sz w:val="19"/>
                <w:szCs w:val="19"/>
                <w:rtl w:val="0"/>
              </w:rPr>
              <w:t xml:space="preserve">Dedicated subsection on bias. Selection bias minimized by consecutive enrolment. Information bias limited by standardized data collection, central laboratory, and a single echocardiography machine. Residual confounding by unmeasured variables (natriuretic peptides, inflammatory markers, nutritional status) acknowledged. Survivorship bias from 48-hour exclusion discussed.</w:t>
            </w:r>
            <w:r w:rsidDel="00000000" w:rsidR="00000000" w:rsidRPr="00000000">
              <w:rPr>
                <w:rtl w:val="0"/>
              </w:rPr>
            </w:r>
          </w:p>
        </w:tc>
      </w:tr>
      <w:tr>
        <w:trPr>
          <w:cantSplit w:val="1"/>
          <w:tblHeader w:val="0"/>
        </w:trPr>
        <w:tc>
          <w:tcPr>
            <w:shd w:fill="fafbfc" w:val="clear"/>
            <w:tcMar>
              <w:top w:w="80.0" w:type="dxa"/>
              <w:left w:w="100.0" w:type="dxa"/>
              <w:bottom w:w="80.0" w:type="dxa"/>
              <w:right w:w="100.0" w:type="dxa"/>
            </w:tcMar>
            <w:vAlign w:val="center"/>
          </w:tcPr>
          <w:p w:rsidR="00000000" w:rsidDel="00000000" w:rsidP="00000000" w:rsidRDefault="00000000" w:rsidRPr="00000000" w14:paraId="0000005B">
            <w:pPr>
              <w:spacing w:line="260" w:lineRule="auto"/>
              <w:jc w:val="center"/>
              <w:rPr/>
            </w:pPr>
            <w:r w:rsidDel="00000000" w:rsidR="00000000" w:rsidRPr="00000000">
              <w:rPr>
                <w:b w:val="1"/>
                <w:bCs w:val="1"/>
                <w:color w:val="0b1f3a"/>
                <w:sz w:val="22"/>
                <w:szCs w:val="22"/>
                <w:rtl w:val="0"/>
              </w:rPr>
              <w:t xml:space="preserve">10</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5C">
            <w:pPr>
              <w:spacing w:line="260" w:lineRule="auto"/>
              <w:rPr/>
            </w:pPr>
            <w:r w:rsidDel="00000000" w:rsidR="00000000" w:rsidRPr="00000000">
              <w:rPr>
                <w:b w:val="1"/>
                <w:bCs w:val="1"/>
                <w:sz w:val="20"/>
                <w:szCs w:val="20"/>
                <w:rtl w:val="0"/>
              </w:rPr>
              <w:t xml:space="preserve">Study size</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5D">
            <w:pPr>
              <w:spacing w:line="260" w:lineRule="auto"/>
              <w:rPr/>
            </w:pPr>
            <w:r w:rsidDel="00000000" w:rsidR="00000000" w:rsidRPr="00000000">
              <w:rPr>
                <w:sz w:val="19"/>
                <w:szCs w:val="19"/>
                <w:rtl w:val="0"/>
              </w:rPr>
              <w:t xml:space="preserve">Explain how the study size was arrived at.</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5E">
            <w:pPr>
              <w:spacing w:line="260" w:lineRule="auto"/>
              <w:jc w:val="center"/>
              <w:rPr/>
            </w:pPr>
            <w:r w:rsidDel="00000000" w:rsidR="00000000" w:rsidRPr="00000000">
              <w:rPr>
                <w:b w:val="1"/>
                <w:bCs w:val="1"/>
                <w:color w:val="166534"/>
                <w:sz w:val="26"/>
                <w:szCs w:val="26"/>
                <w:rtl w:val="0"/>
              </w:rPr>
              <w:t xml:space="preserve">✓</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5F">
            <w:pPr>
              <w:spacing w:line="260" w:lineRule="auto"/>
              <w:rPr/>
            </w:pPr>
            <w:r w:rsidDel="00000000" w:rsidR="00000000" w:rsidRPr="00000000">
              <w:rPr>
                <w:i w:val="1"/>
                <w:iCs w:val="1"/>
                <w:sz w:val="19"/>
                <w:szCs w:val="19"/>
                <w:rtl w:val="0"/>
              </w:rPr>
              <w:t xml:space="preserve">Methods, "Sample size"</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60">
            <w:pPr>
              <w:spacing w:line="260" w:lineRule="auto"/>
              <w:rPr/>
            </w:pPr>
            <w:r w:rsidDel="00000000" w:rsidR="00000000" w:rsidRPr="00000000">
              <w:rPr>
                <w:sz w:val="19"/>
                <w:szCs w:val="19"/>
                <w:rtl w:val="0"/>
              </w:rPr>
              <w:t xml:space="preserve">A priori sample-size calculation using G*Power 3.1.9.7. α = 0.05, power = 80%, expected mortality 10%, effect size w = 0.27 (Phi coefficient). Minimum required 156 patients, inflated to 166 for missing data and multivariate analysis.</w:t>
            </w:r>
            <w:r w:rsidDel="00000000" w:rsidR="00000000" w:rsidRPr="00000000">
              <w:rPr>
                <w:rtl w:val="0"/>
              </w:rPr>
            </w:r>
          </w:p>
        </w:tc>
      </w:tr>
      <w:tr>
        <w:trPr>
          <w:cantSplit w:val="1"/>
          <w:tblHeader w:val="0"/>
        </w:trPr>
        <w:tc>
          <w:tcPr>
            <w:tcMar>
              <w:top w:w="80.0" w:type="dxa"/>
              <w:left w:w="100.0" w:type="dxa"/>
              <w:bottom w:w="80.0" w:type="dxa"/>
              <w:right w:w="100.0" w:type="dxa"/>
            </w:tcMar>
            <w:vAlign w:val="center"/>
          </w:tcPr>
          <w:p w:rsidR="00000000" w:rsidDel="00000000" w:rsidP="00000000" w:rsidRDefault="00000000" w:rsidRPr="00000000" w14:paraId="00000061">
            <w:pPr>
              <w:spacing w:line="260" w:lineRule="auto"/>
              <w:jc w:val="center"/>
              <w:rPr/>
            </w:pPr>
            <w:r w:rsidDel="00000000" w:rsidR="00000000" w:rsidRPr="00000000">
              <w:rPr>
                <w:b w:val="1"/>
                <w:bCs w:val="1"/>
                <w:color w:val="0b1f3a"/>
                <w:sz w:val="22"/>
                <w:szCs w:val="22"/>
                <w:rtl w:val="0"/>
              </w:rPr>
              <w:t xml:space="preserve">11</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62">
            <w:pPr>
              <w:spacing w:line="260" w:lineRule="auto"/>
              <w:rPr/>
            </w:pPr>
            <w:r w:rsidDel="00000000" w:rsidR="00000000" w:rsidRPr="00000000">
              <w:rPr>
                <w:b w:val="1"/>
                <w:bCs w:val="1"/>
                <w:sz w:val="20"/>
                <w:szCs w:val="20"/>
                <w:rtl w:val="0"/>
              </w:rPr>
              <w:t xml:space="preserve">Quantitative variables</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63">
            <w:pPr>
              <w:spacing w:line="260" w:lineRule="auto"/>
              <w:rPr/>
            </w:pPr>
            <w:r w:rsidDel="00000000" w:rsidR="00000000" w:rsidRPr="00000000">
              <w:rPr>
                <w:sz w:val="19"/>
                <w:szCs w:val="19"/>
                <w:rtl w:val="0"/>
              </w:rPr>
              <w:t xml:space="preserve">Explain how quantitative variables were handled in the analyses. If applicable, describe which groupings were chosen, and why.</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64">
            <w:pPr>
              <w:spacing w:line="260" w:lineRule="auto"/>
              <w:jc w:val="center"/>
              <w:rPr/>
            </w:pPr>
            <w:r w:rsidDel="00000000" w:rsidR="00000000" w:rsidRPr="00000000">
              <w:rPr>
                <w:b w:val="1"/>
                <w:bCs w:val="1"/>
                <w:color w:val="166534"/>
                <w:sz w:val="26"/>
                <w:szCs w:val="26"/>
                <w:rtl w:val="0"/>
              </w:rPr>
              <w:t xml:space="preserve">✓</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65">
            <w:pPr>
              <w:spacing w:line="260" w:lineRule="auto"/>
              <w:rPr/>
            </w:pPr>
            <w:r w:rsidDel="00000000" w:rsidR="00000000" w:rsidRPr="00000000">
              <w:rPr>
                <w:i w:val="1"/>
                <w:iCs w:val="1"/>
                <w:sz w:val="19"/>
                <w:szCs w:val="19"/>
                <w:rtl w:val="0"/>
              </w:rPr>
              <w:t xml:space="preserve">Methods, "Data collection and definitions" and "Statistical analysis"</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66">
            <w:pPr>
              <w:spacing w:line="260" w:lineRule="auto"/>
              <w:rPr/>
            </w:pPr>
            <w:r w:rsidDel="00000000" w:rsidR="00000000" w:rsidRPr="00000000">
              <w:rPr>
                <w:sz w:val="19"/>
                <w:szCs w:val="19"/>
                <w:rtl w:val="0"/>
              </w:rPr>
              <w:t xml:space="preserve">Continuous variables normally distributed and expressed as mean ± SD. Cutoffs for binary transformation selected a priori based on ROC-derived thresholds, clinical interpretability, and consistency with prior literature [6, 7, 8]: TC &lt; 150 mg/dL (multivariate) and ≤ 130 mg/dL (ROC-optimal); LDL-C &lt; 88 mg/dL; age ≥ 70 years; sodium &lt; 135 mEq/L (clinical hyponatremia); O₂ saturation &lt; 90% (clinical hypoxaemia). LVEF categories (HFpEF ≥ 50%, HFmrEF 40–49%, HFrEF &lt; 40%) per ESC classification. The discrepancy between ROC-optimal (≤ 130 mg/dL) and multivariate (&lt; 150 mg/dL) TC cutoffs is explicitly justified in the Statistical analysis subsection.</w:t>
            </w:r>
            <w:r w:rsidDel="00000000" w:rsidR="00000000" w:rsidRPr="00000000">
              <w:rPr>
                <w:rtl w:val="0"/>
              </w:rPr>
            </w:r>
          </w:p>
        </w:tc>
      </w:tr>
      <w:tr>
        <w:trPr>
          <w:cantSplit w:val="1"/>
          <w:tblHeader w:val="0"/>
        </w:trPr>
        <w:tc>
          <w:tcPr>
            <w:shd w:fill="fafbfc" w:val="clear"/>
            <w:tcMar>
              <w:top w:w="80.0" w:type="dxa"/>
              <w:left w:w="100.0" w:type="dxa"/>
              <w:bottom w:w="80.0" w:type="dxa"/>
              <w:right w:w="100.0" w:type="dxa"/>
            </w:tcMar>
            <w:vAlign w:val="center"/>
          </w:tcPr>
          <w:p w:rsidR="00000000" w:rsidDel="00000000" w:rsidP="00000000" w:rsidRDefault="00000000" w:rsidRPr="00000000" w14:paraId="00000067">
            <w:pPr>
              <w:spacing w:line="260" w:lineRule="auto"/>
              <w:jc w:val="center"/>
              <w:rPr/>
            </w:pPr>
            <w:r w:rsidDel="00000000" w:rsidR="00000000" w:rsidRPr="00000000">
              <w:rPr>
                <w:b w:val="1"/>
                <w:bCs w:val="1"/>
                <w:color w:val="0b1f3a"/>
                <w:sz w:val="22"/>
                <w:szCs w:val="22"/>
                <w:rtl w:val="0"/>
              </w:rPr>
              <w:t xml:space="preserve">12</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68">
            <w:pPr>
              <w:spacing w:line="260" w:lineRule="auto"/>
              <w:rPr/>
            </w:pPr>
            <w:r w:rsidDel="00000000" w:rsidR="00000000" w:rsidRPr="00000000">
              <w:rPr>
                <w:b w:val="1"/>
                <w:bCs w:val="1"/>
                <w:sz w:val="20"/>
                <w:szCs w:val="20"/>
                <w:rtl w:val="0"/>
              </w:rPr>
              <w:t xml:space="preserve">Statistical methods</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69">
            <w:pPr>
              <w:spacing w:line="260" w:lineRule="auto"/>
              <w:rPr/>
            </w:pPr>
            <w:r w:rsidDel="00000000" w:rsidR="00000000" w:rsidRPr="00000000">
              <w:rPr>
                <w:sz w:val="19"/>
                <w:szCs w:val="19"/>
                <w:rtl w:val="0"/>
              </w:rPr>
              <w:t xml:space="preserve">(a) Describe all statistical methods, including those used to control for confounding. (b) Describe any methods used to examine subgroups and interactions. (c) Explain how missing data were addressed. (d) If applicable, describe analytical methods taking account of sampling strategy. (e) Describe any sensitivity analyses.</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6A">
            <w:pPr>
              <w:spacing w:line="260" w:lineRule="auto"/>
              <w:jc w:val="center"/>
              <w:rPr/>
            </w:pPr>
            <w:r w:rsidDel="00000000" w:rsidR="00000000" w:rsidRPr="00000000">
              <w:rPr>
                <w:b w:val="1"/>
                <w:bCs w:val="1"/>
                <w:color w:val="166534"/>
                <w:sz w:val="26"/>
                <w:szCs w:val="26"/>
                <w:rtl w:val="0"/>
              </w:rPr>
              <w:t xml:space="preserve">✓</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6B">
            <w:pPr>
              <w:spacing w:line="260" w:lineRule="auto"/>
              <w:rPr/>
            </w:pPr>
            <w:r w:rsidDel="00000000" w:rsidR="00000000" w:rsidRPr="00000000">
              <w:rPr>
                <w:i w:val="1"/>
                <w:iCs w:val="1"/>
                <w:sz w:val="19"/>
                <w:szCs w:val="19"/>
                <w:rtl w:val="0"/>
              </w:rPr>
              <w:t xml:space="preserve">Methods, "Statistical analysis"</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6C">
            <w:pPr>
              <w:spacing w:line="260" w:lineRule="auto"/>
              <w:rPr/>
            </w:pPr>
            <w:r w:rsidDel="00000000" w:rsidR="00000000" w:rsidRPr="00000000">
              <w:rPr>
                <w:sz w:val="19"/>
                <w:szCs w:val="19"/>
                <w:rtl w:val="0"/>
              </w:rPr>
              <w:t xml:space="preserve">(a) Independent samples t-test, chi-square test, Fisher's exact test, ROC curve analysis with AUC, optimal cutoff (Youden's index), sensitivity/specificity/PPV/NPV, bivariate and multivariate logistic regression with P &lt; 0.10 entry threshold, Hosmer–Lemeshow goodness-of-fit. Multivariate logistic regression used to control for confounding. (b) No formal subgroup analyses or interaction tests were performed; this is acknowledged as a limitation. (c) Missing data &lt; 1% per variable; complete-case analysis without imputation. (d) Not applicable (no complex sampling). (e) Sensitivity analysis: Firth's penalized likelihood logistic regression [18] was performed to assess the robustness of the multivariate model given the limited number of events (EPV = 5:1).</w:t>
            </w:r>
            <w:r w:rsidDel="00000000" w:rsidR="00000000" w:rsidRPr="00000000">
              <w:rPr>
                <w:rtl w:val="0"/>
              </w:rPr>
            </w:r>
          </w:p>
        </w:tc>
      </w:tr>
      <w:tr>
        <w:trPr>
          <w:cantSplit w:val="1"/>
          <w:tblHeader w:val="0"/>
        </w:trPr>
        <w:tc>
          <w:tcPr>
            <w:tcMar>
              <w:top w:w="80.0" w:type="dxa"/>
              <w:left w:w="100.0" w:type="dxa"/>
              <w:bottom w:w="80.0" w:type="dxa"/>
              <w:right w:w="100.0" w:type="dxa"/>
            </w:tcMar>
            <w:vAlign w:val="center"/>
          </w:tcPr>
          <w:p w:rsidR="00000000" w:rsidDel="00000000" w:rsidP="00000000" w:rsidRDefault="00000000" w:rsidRPr="00000000" w14:paraId="0000006D">
            <w:pPr>
              <w:spacing w:line="260" w:lineRule="auto"/>
              <w:jc w:val="center"/>
              <w:rPr/>
            </w:pPr>
            <w:r w:rsidDel="00000000" w:rsidR="00000000" w:rsidRPr="00000000">
              <w:rPr>
                <w:b w:val="1"/>
                <w:bCs w:val="1"/>
                <w:color w:val="0b1f3a"/>
                <w:sz w:val="22"/>
                <w:szCs w:val="22"/>
                <w:rtl w:val="0"/>
              </w:rPr>
              <w:t xml:space="preserve">13</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6E">
            <w:pPr>
              <w:spacing w:line="260" w:lineRule="auto"/>
              <w:rPr/>
            </w:pPr>
            <w:r w:rsidDel="00000000" w:rsidR="00000000" w:rsidRPr="00000000">
              <w:rPr>
                <w:b w:val="1"/>
                <w:bCs w:val="1"/>
                <w:sz w:val="20"/>
                <w:szCs w:val="20"/>
                <w:rtl w:val="0"/>
              </w:rPr>
              <w:t xml:space="preserve">Participants</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6F">
            <w:pPr>
              <w:spacing w:line="260" w:lineRule="auto"/>
              <w:rPr/>
            </w:pPr>
            <w:r w:rsidDel="00000000" w:rsidR="00000000" w:rsidRPr="00000000">
              <w:rPr>
                <w:sz w:val="19"/>
                <w:szCs w:val="19"/>
                <w:rtl w:val="0"/>
              </w:rPr>
              <w:t xml:space="preserve">(a) Report the numbers of individuals at each stage of the study. (b) Give reasons for non-participation at each stage. (c) Consider use of a flow diagram.</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70">
            <w:pPr>
              <w:spacing w:line="260" w:lineRule="auto"/>
              <w:jc w:val="center"/>
              <w:rPr/>
            </w:pPr>
            <w:r w:rsidDel="00000000" w:rsidR="00000000" w:rsidRPr="00000000">
              <w:rPr>
                <w:b w:val="1"/>
                <w:bCs w:val="1"/>
                <w:color w:val="166534"/>
                <w:sz w:val="26"/>
                <w:szCs w:val="26"/>
                <w:rtl w:val="0"/>
              </w:rPr>
              <w:t xml:space="preserve">✓</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71">
            <w:pPr>
              <w:spacing w:line="260" w:lineRule="auto"/>
              <w:rPr/>
            </w:pPr>
            <w:r w:rsidDel="00000000" w:rsidR="00000000" w:rsidRPr="00000000">
              <w:rPr>
                <w:i w:val="1"/>
                <w:iCs w:val="1"/>
                <w:sz w:val="19"/>
                <w:szCs w:val="19"/>
                <w:rtl w:val="0"/>
              </w:rPr>
              <w:t xml:space="preserve">Results, "Participant flow"; Figure 1</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72">
            <w:pPr>
              <w:spacing w:line="260" w:lineRule="auto"/>
              <w:rPr/>
            </w:pPr>
            <w:r w:rsidDel="00000000" w:rsidR="00000000" w:rsidRPr="00000000">
              <w:rPr>
                <w:sz w:val="19"/>
                <w:szCs w:val="19"/>
                <w:rtl w:val="0"/>
              </w:rPr>
              <w:t xml:space="preserve">(a) Final analysed sample (n = 166) reported; screening numbers reported (198 screened, 32 excluded) but a formal screening log was not maintained during enrolment; this is acknowledged as a study limitation. (b) Exclusion categories with counts listed in Methods and Figure 1. (c) STROBE-style participant flow diagram provided as Figure 1, showing enrolment, exclusion categories, and final analysis cohort (n = 166).</w:t>
            </w:r>
            <w:r w:rsidDel="00000000" w:rsidR="00000000" w:rsidRPr="00000000">
              <w:rPr>
                <w:rtl w:val="0"/>
              </w:rPr>
            </w:r>
          </w:p>
        </w:tc>
      </w:tr>
      <w:tr>
        <w:trPr>
          <w:cantSplit w:val="1"/>
          <w:tblHeader w:val="0"/>
        </w:trPr>
        <w:tc>
          <w:tcPr>
            <w:shd w:fill="fafbfc" w:val="clear"/>
            <w:tcMar>
              <w:top w:w="80.0" w:type="dxa"/>
              <w:left w:w="100.0" w:type="dxa"/>
              <w:bottom w:w="80.0" w:type="dxa"/>
              <w:right w:w="100.0" w:type="dxa"/>
            </w:tcMar>
            <w:vAlign w:val="center"/>
          </w:tcPr>
          <w:p w:rsidR="00000000" w:rsidDel="00000000" w:rsidP="00000000" w:rsidRDefault="00000000" w:rsidRPr="00000000" w14:paraId="00000073">
            <w:pPr>
              <w:spacing w:line="260" w:lineRule="auto"/>
              <w:jc w:val="center"/>
              <w:rPr/>
            </w:pPr>
            <w:r w:rsidDel="00000000" w:rsidR="00000000" w:rsidRPr="00000000">
              <w:rPr>
                <w:b w:val="1"/>
                <w:bCs w:val="1"/>
                <w:color w:val="0b1f3a"/>
                <w:sz w:val="22"/>
                <w:szCs w:val="22"/>
                <w:rtl w:val="0"/>
              </w:rPr>
              <w:t xml:space="preserve">14</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74">
            <w:pPr>
              <w:spacing w:line="260" w:lineRule="auto"/>
              <w:rPr/>
            </w:pPr>
            <w:r w:rsidDel="00000000" w:rsidR="00000000" w:rsidRPr="00000000">
              <w:rPr>
                <w:b w:val="1"/>
                <w:bCs w:val="1"/>
                <w:sz w:val="20"/>
                <w:szCs w:val="20"/>
                <w:rtl w:val="0"/>
              </w:rPr>
              <w:t xml:space="preserve">Descriptive data</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75">
            <w:pPr>
              <w:spacing w:line="260" w:lineRule="auto"/>
              <w:rPr/>
            </w:pPr>
            <w:r w:rsidDel="00000000" w:rsidR="00000000" w:rsidRPr="00000000">
              <w:rPr>
                <w:sz w:val="19"/>
                <w:szCs w:val="19"/>
                <w:rtl w:val="0"/>
              </w:rPr>
              <w:t xml:space="preserve">(a) Give characteristics of study participants and information on exposures and potential confounders. (b) Indicate the number of participants with missing data for each variable of interest.</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76">
            <w:pPr>
              <w:spacing w:line="260" w:lineRule="auto"/>
              <w:jc w:val="center"/>
              <w:rPr/>
            </w:pPr>
            <w:r w:rsidDel="00000000" w:rsidR="00000000" w:rsidRPr="00000000">
              <w:rPr>
                <w:b w:val="1"/>
                <w:bCs w:val="1"/>
                <w:color w:val="166534"/>
                <w:sz w:val="26"/>
                <w:szCs w:val="26"/>
                <w:rtl w:val="0"/>
              </w:rPr>
              <w:t xml:space="preserve">✓</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77">
            <w:pPr>
              <w:spacing w:line="260" w:lineRule="auto"/>
              <w:rPr/>
            </w:pPr>
            <w:r w:rsidDel="00000000" w:rsidR="00000000" w:rsidRPr="00000000">
              <w:rPr>
                <w:i w:val="1"/>
                <w:iCs w:val="1"/>
                <w:sz w:val="19"/>
                <w:szCs w:val="19"/>
                <w:rtl w:val="0"/>
              </w:rPr>
              <w:t xml:space="preserve">Results, "Baseline characteristics" (Table 1); "Laboratory findings" (Table 2)</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78">
            <w:pPr>
              <w:spacing w:line="260" w:lineRule="auto"/>
              <w:rPr/>
            </w:pPr>
            <w:r w:rsidDel="00000000" w:rsidR="00000000" w:rsidRPr="00000000">
              <w:rPr>
                <w:sz w:val="19"/>
                <w:szCs w:val="19"/>
                <w:rtl w:val="0"/>
              </w:rPr>
              <w:t xml:space="preserve">Tables 1 and 2 report age, sex, BMI, etiology, comorbidities, prior medications, vital signs, NYHA, LVEF categories, and laboratory values for deaths vs. survivors. Missing data rate &lt; 1% per variable (stated in Methods).</w:t>
            </w:r>
            <w:r w:rsidDel="00000000" w:rsidR="00000000" w:rsidRPr="00000000">
              <w:rPr>
                <w:rtl w:val="0"/>
              </w:rPr>
            </w:r>
          </w:p>
        </w:tc>
      </w:tr>
      <w:tr>
        <w:trPr>
          <w:cantSplit w:val="1"/>
          <w:tblHeader w:val="0"/>
        </w:trPr>
        <w:tc>
          <w:tcPr>
            <w:tcMar>
              <w:top w:w="80.0" w:type="dxa"/>
              <w:left w:w="100.0" w:type="dxa"/>
              <w:bottom w:w="80.0" w:type="dxa"/>
              <w:right w:w="100.0" w:type="dxa"/>
            </w:tcMar>
            <w:vAlign w:val="center"/>
          </w:tcPr>
          <w:p w:rsidR="00000000" w:rsidDel="00000000" w:rsidP="00000000" w:rsidRDefault="00000000" w:rsidRPr="00000000" w14:paraId="00000079">
            <w:pPr>
              <w:spacing w:line="260" w:lineRule="auto"/>
              <w:jc w:val="center"/>
              <w:rPr/>
            </w:pPr>
            <w:r w:rsidDel="00000000" w:rsidR="00000000" w:rsidRPr="00000000">
              <w:rPr>
                <w:b w:val="1"/>
                <w:bCs w:val="1"/>
                <w:color w:val="0b1f3a"/>
                <w:sz w:val="22"/>
                <w:szCs w:val="22"/>
                <w:rtl w:val="0"/>
              </w:rPr>
              <w:t xml:space="preserve">15</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7A">
            <w:pPr>
              <w:spacing w:line="260" w:lineRule="auto"/>
              <w:rPr/>
            </w:pPr>
            <w:r w:rsidDel="00000000" w:rsidR="00000000" w:rsidRPr="00000000">
              <w:rPr>
                <w:b w:val="1"/>
                <w:bCs w:val="1"/>
                <w:sz w:val="20"/>
                <w:szCs w:val="20"/>
                <w:rtl w:val="0"/>
              </w:rPr>
              <w:t xml:space="preserve">Outcome data</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7B">
            <w:pPr>
              <w:spacing w:line="260" w:lineRule="auto"/>
              <w:rPr/>
            </w:pPr>
            <w:r w:rsidDel="00000000" w:rsidR="00000000" w:rsidRPr="00000000">
              <w:rPr>
                <w:sz w:val="19"/>
                <w:szCs w:val="19"/>
                <w:rtl w:val="0"/>
              </w:rPr>
              <w:t xml:space="preserve">Report numbers of outcome events or summary measures over time.</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7C">
            <w:pPr>
              <w:spacing w:line="260" w:lineRule="auto"/>
              <w:jc w:val="center"/>
              <w:rPr/>
            </w:pPr>
            <w:r w:rsidDel="00000000" w:rsidR="00000000" w:rsidRPr="00000000">
              <w:rPr>
                <w:b w:val="1"/>
                <w:bCs w:val="1"/>
                <w:color w:val="166534"/>
                <w:sz w:val="26"/>
                <w:szCs w:val="26"/>
                <w:rtl w:val="0"/>
              </w:rPr>
              <w:t xml:space="preserve">✓</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7D">
            <w:pPr>
              <w:spacing w:line="260" w:lineRule="auto"/>
              <w:rPr/>
            </w:pPr>
            <w:r w:rsidDel="00000000" w:rsidR="00000000" w:rsidRPr="00000000">
              <w:rPr>
                <w:i w:val="1"/>
                <w:iCs w:val="1"/>
                <w:sz w:val="19"/>
                <w:szCs w:val="19"/>
                <w:rtl w:val="0"/>
              </w:rPr>
              <w:t xml:space="preserve">Results, "Baseline characteristics" and "Participant flow" (Table 1, Figure 1)</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7E">
            <w:pPr>
              <w:spacing w:line="260" w:lineRule="auto"/>
              <w:rPr/>
            </w:pPr>
            <w:r w:rsidDel="00000000" w:rsidR="00000000" w:rsidRPr="00000000">
              <w:rPr>
                <w:sz w:val="19"/>
                <w:szCs w:val="19"/>
                <w:rtl w:val="0"/>
              </w:rPr>
              <w:t xml:space="preserve">In-hospital mortality: 25/166 (15.1%) deaths, 141/166 (84.9%) survivors. Outcome events reported as count and percentage.</w:t>
            </w:r>
            <w:r w:rsidDel="00000000" w:rsidR="00000000" w:rsidRPr="00000000">
              <w:rPr>
                <w:rtl w:val="0"/>
              </w:rPr>
            </w:r>
          </w:p>
        </w:tc>
      </w:tr>
      <w:tr>
        <w:trPr>
          <w:cantSplit w:val="1"/>
          <w:tblHeader w:val="0"/>
        </w:trPr>
        <w:tc>
          <w:tcPr>
            <w:shd w:fill="fafbfc" w:val="clear"/>
            <w:tcMar>
              <w:top w:w="80.0" w:type="dxa"/>
              <w:left w:w="100.0" w:type="dxa"/>
              <w:bottom w:w="80.0" w:type="dxa"/>
              <w:right w:w="100.0" w:type="dxa"/>
            </w:tcMar>
            <w:vAlign w:val="center"/>
          </w:tcPr>
          <w:p w:rsidR="00000000" w:rsidDel="00000000" w:rsidP="00000000" w:rsidRDefault="00000000" w:rsidRPr="00000000" w14:paraId="0000007F">
            <w:pPr>
              <w:spacing w:line="260" w:lineRule="auto"/>
              <w:jc w:val="center"/>
              <w:rPr/>
            </w:pPr>
            <w:r w:rsidDel="00000000" w:rsidR="00000000" w:rsidRPr="00000000">
              <w:rPr>
                <w:b w:val="1"/>
                <w:bCs w:val="1"/>
                <w:color w:val="0b1f3a"/>
                <w:sz w:val="22"/>
                <w:szCs w:val="22"/>
                <w:rtl w:val="0"/>
              </w:rPr>
              <w:t xml:space="preserve">16</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80">
            <w:pPr>
              <w:spacing w:line="260" w:lineRule="auto"/>
              <w:rPr/>
            </w:pPr>
            <w:r w:rsidDel="00000000" w:rsidR="00000000" w:rsidRPr="00000000">
              <w:rPr>
                <w:b w:val="1"/>
                <w:bCs w:val="1"/>
                <w:sz w:val="20"/>
                <w:szCs w:val="20"/>
                <w:rtl w:val="0"/>
              </w:rPr>
              <w:t xml:space="preserve">Main results</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81">
            <w:pPr>
              <w:spacing w:line="260" w:lineRule="auto"/>
              <w:rPr/>
            </w:pPr>
            <w:r w:rsidDel="00000000" w:rsidR="00000000" w:rsidRPr="00000000">
              <w:rPr>
                <w:sz w:val="19"/>
                <w:szCs w:val="19"/>
                <w:rtl w:val="0"/>
              </w:rPr>
              <w:t xml:space="preserve">(a) Give unadjusted estimates and, if applicable, confounder-adjusted estimates and their precision (e.g., 95% confidence interval). (b) Report category boundaries when continuous variables were categorized. (c) If relevant, consider translating estimates of relative risk into absolute risk for a meaningful time period.</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82">
            <w:pPr>
              <w:spacing w:line="260" w:lineRule="auto"/>
              <w:jc w:val="center"/>
              <w:rPr/>
            </w:pPr>
            <w:r w:rsidDel="00000000" w:rsidR="00000000" w:rsidRPr="00000000">
              <w:rPr>
                <w:b w:val="1"/>
                <w:bCs w:val="1"/>
                <w:color w:val="166534"/>
                <w:sz w:val="26"/>
                <w:szCs w:val="26"/>
                <w:rtl w:val="0"/>
              </w:rPr>
              <w:t xml:space="preserve">✓</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83">
            <w:pPr>
              <w:spacing w:line="260" w:lineRule="auto"/>
              <w:rPr/>
            </w:pPr>
            <w:r w:rsidDel="00000000" w:rsidR="00000000" w:rsidRPr="00000000">
              <w:rPr>
                <w:i w:val="1"/>
                <w:iCs w:val="1"/>
                <w:sz w:val="19"/>
                <w:szCs w:val="19"/>
                <w:rtl w:val="0"/>
              </w:rPr>
              <w:t xml:space="preserve">Results, Tables 3–6; Figures 2–4</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84">
            <w:pPr>
              <w:spacing w:line="260" w:lineRule="auto"/>
              <w:rPr/>
            </w:pPr>
            <w:r w:rsidDel="00000000" w:rsidR="00000000" w:rsidRPr="00000000">
              <w:rPr>
                <w:sz w:val="19"/>
                <w:szCs w:val="19"/>
                <w:rtl w:val="0"/>
              </w:rPr>
              <w:t xml:space="preserve">(a) Adjusted odds ratios (AOR) with 95% CIs reported for mortality predictors (Table 6). AUCs with 95% CIs reported for TC and LDL-C (Table 5). Hosmer–Lemeshow goodness-of-fit reported (χ² = 5.30, df = 7, P = 0.626); model AUC = 0.827 (95% CI: 0.752–0.902). (b) Category boundaries given in Methods, Tables 3 and 4, and footnotes. (c) Absolute risks (sensitivity, specificity, PPV, NPV) reported for ROC cutoffs (Table 5).</w:t>
            </w:r>
            <w:r w:rsidDel="00000000" w:rsidR="00000000" w:rsidRPr="00000000">
              <w:rPr>
                <w:rtl w:val="0"/>
              </w:rPr>
            </w:r>
          </w:p>
        </w:tc>
      </w:tr>
      <w:tr>
        <w:trPr>
          <w:cantSplit w:val="1"/>
          <w:tblHeader w:val="0"/>
        </w:trPr>
        <w:tc>
          <w:tcPr>
            <w:tcMar>
              <w:top w:w="80.0" w:type="dxa"/>
              <w:left w:w="100.0" w:type="dxa"/>
              <w:bottom w:w="80.0" w:type="dxa"/>
              <w:right w:w="100.0" w:type="dxa"/>
            </w:tcMar>
            <w:vAlign w:val="center"/>
          </w:tcPr>
          <w:p w:rsidR="00000000" w:rsidDel="00000000" w:rsidP="00000000" w:rsidRDefault="00000000" w:rsidRPr="00000000" w14:paraId="00000085">
            <w:pPr>
              <w:spacing w:line="260" w:lineRule="auto"/>
              <w:jc w:val="center"/>
              <w:rPr/>
            </w:pPr>
            <w:r w:rsidDel="00000000" w:rsidR="00000000" w:rsidRPr="00000000">
              <w:rPr>
                <w:b w:val="1"/>
                <w:bCs w:val="1"/>
                <w:color w:val="0b1f3a"/>
                <w:sz w:val="22"/>
                <w:szCs w:val="22"/>
                <w:rtl w:val="0"/>
              </w:rPr>
              <w:t xml:space="preserve">17</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86">
            <w:pPr>
              <w:spacing w:line="260" w:lineRule="auto"/>
              <w:rPr/>
            </w:pPr>
            <w:r w:rsidDel="00000000" w:rsidR="00000000" w:rsidRPr="00000000">
              <w:rPr>
                <w:b w:val="1"/>
                <w:bCs w:val="1"/>
                <w:sz w:val="20"/>
                <w:szCs w:val="20"/>
                <w:rtl w:val="0"/>
              </w:rPr>
              <w:t xml:space="preserve">Other analyses</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87">
            <w:pPr>
              <w:spacing w:line="260" w:lineRule="auto"/>
              <w:rPr/>
            </w:pPr>
            <w:r w:rsidDel="00000000" w:rsidR="00000000" w:rsidRPr="00000000">
              <w:rPr>
                <w:sz w:val="19"/>
                <w:szCs w:val="19"/>
                <w:rtl w:val="0"/>
              </w:rPr>
              <w:t xml:space="preserve">Report other analyses done — e.g., analyses of subgroups and interactions, and sensitivity analyses.</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88">
            <w:pPr>
              <w:spacing w:line="260" w:lineRule="auto"/>
              <w:jc w:val="center"/>
              <w:rPr/>
            </w:pPr>
            <w:r w:rsidDel="00000000" w:rsidR="00000000" w:rsidRPr="00000000">
              <w:rPr>
                <w:b w:val="1"/>
                <w:bCs w:val="1"/>
                <w:color w:val="166534"/>
                <w:sz w:val="26"/>
                <w:szCs w:val="26"/>
                <w:rtl w:val="0"/>
              </w:rPr>
              <w:t xml:space="preserve">✓</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89">
            <w:pPr>
              <w:spacing w:line="260" w:lineRule="auto"/>
              <w:rPr/>
            </w:pPr>
            <w:r w:rsidDel="00000000" w:rsidR="00000000" w:rsidRPr="00000000">
              <w:rPr>
                <w:i w:val="1"/>
                <w:iCs w:val="1"/>
                <w:sz w:val="19"/>
                <w:szCs w:val="19"/>
                <w:rtl w:val="0"/>
              </w:rPr>
              <w:t xml:space="preserve">Results, "ROC curve analysis" (Table 5, Figure 3); "Distribution of cholesterol categories" (Tables 3, 4); "Independent predictors" (Table 6, Figure 4); Supplementary Table S1</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8A">
            <w:pPr>
              <w:spacing w:line="260" w:lineRule="auto"/>
              <w:rPr/>
            </w:pPr>
            <w:r w:rsidDel="00000000" w:rsidR="00000000" w:rsidRPr="00000000">
              <w:rPr>
                <w:sz w:val="19"/>
                <w:szCs w:val="19"/>
                <w:rtl w:val="0"/>
              </w:rPr>
              <w:t xml:space="preserve">ROC analysis for TC and LDL-C reported with AUCs and optimal cutoffs (Table 5, Figure 3). Distribution of TC categories (&lt; 150, 150–199, ≥ 200 mg/dL) and LDL-C categories (&lt; 70, 70–99, ≥ 100 mg/dL) reported (Tables 3 and 4). Sensitivity analysis using Firth's penalized likelihood logistic regression reported in Supplementary Table S1.</w:t>
            </w:r>
            <w:r w:rsidDel="00000000" w:rsidR="00000000" w:rsidRPr="00000000">
              <w:rPr>
                <w:rtl w:val="0"/>
              </w:rPr>
            </w:r>
          </w:p>
        </w:tc>
      </w:tr>
      <w:tr>
        <w:trPr>
          <w:cantSplit w:val="1"/>
          <w:tblHeader w:val="0"/>
        </w:trPr>
        <w:tc>
          <w:tcPr>
            <w:shd w:fill="fafbfc" w:val="clear"/>
            <w:tcMar>
              <w:top w:w="80.0" w:type="dxa"/>
              <w:left w:w="100.0" w:type="dxa"/>
              <w:bottom w:w="80.0" w:type="dxa"/>
              <w:right w:w="100.0" w:type="dxa"/>
            </w:tcMar>
            <w:vAlign w:val="center"/>
          </w:tcPr>
          <w:p w:rsidR="00000000" w:rsidDel="00000000" w:rsidP="00000000" w:rsidRDefault="00000000" w:rsidRPr="00000000" w14:paraId="0000008B">
            <w:pPr>
              <w:spacing w:line="260" w:lineRule="auto"/>
              <w:jc w:val="center"/>
              <w:rPr/>
            </w:pPr>
            <w:r w:rsidDel="00000000" w:rsidR="00000000" w:rsidRPr="00000000">
              <w:rPr>
                <w:b w:val="1"/>
                <w:bCs w:val="1"/>
                <w:color w:val="0b1f3a"/>
                <w:sz w:val="22"/>
                <w:szCs w:val="22"/>
                <w:rtl w:val="0"/>
              </w:rPr>
              <w:t xml:space="preserve">18</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8C">
            <w:pPr>
              <w:spacing w:line="260" w:lineRule="auto"/>
              <w:rPr/>
            </w:pPr>
            <w:r w:rsidDel="00000000" w:rsidR="00000000" w:rsidRPr="00000000">
              <w:rPr>
                <w:b w:val="1"/>
                <w:bCs w:val="1"/>
                <w:sz w:val="20"/>
                <w:szCs w:val="20"/>
                <w:rtl w:val="0"/>
              </w:rPr>
              <w:t xml:space="preserve">Key results</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8D">
            <w:pPr>
              <w:spacing w:line="260" w:lineRule="auto"/>
              <w:rPr/>
            </w:pPr>
            <w:r w:rsidDel="00000000" w:rsidR="00000000" w:rsidRPr="00000000">
              <w:rPr>
                <w:sz w:val="19"/>
                <w:szCs w:val="19"/>
                <w:rtl w:val="0"/>
              </w:rPr>
              <w:t xml:space="preserve">Summarize key results with reference to study objectives.</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8E">
            <w:pPr>
              <w:spacing w:line="260" w:lineRule="auto"/>
              <w:jc w:val="center"/>
              <w:rPr/>
            </w:pPr>
            <w:r w:rsidDel="00000000" w:rsidR="00000000" w:rsidRPr="00000000">
              <w:rPr>
                <w:b w:val="1"/>
                <w:bCs w:val="1"/>
                <w:color w:val="166534"/>
                <w:sz w:val="26"/>
                <w:szCs w:val="26"/>
                <w:rtl w:val="0"/>
              </w:rPr>
              <w:t xml:space="preserve">✓</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8F">
            <w:pPr>
              <w:spacing w:line="260" w:lineRule="auto"/>
              <w:rPr/>
            </w:pPr>
            <w:r w:rsidDel="00000000" w:rsidR="00000000" w:rsidRPr="00000000">
              <w:rPr>
                <w:i w:val="1"/>
                <w:iCs w:val="1"/>
                <w:sz w:val="19"/>
                <w:szCs w:val="19"/>
                <w:rtl w:val="0"/>
              </w:rPr>
              <w:t xml:space="preserve">Discussion, opening paragraph; Conclusions</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90">
            <w:pPr>
              <w:spacing w:line="260" w:lineRule="auto"/>
              <w:rPr/>
            </w:pPr>
            <w:r w:rsidDel="00000000" w:rsidR="00000000" w:rsidRPr="00000000">
              <w:rPr>
                <w:sz w:val="19"/>
                <w:szCs w:val="19"/>
                <w:rtl w:val="0"/>
              </w:rPr>
              <w:t xml:space="preserve">First Discussion paragraph summarizes overall mortality (15.1%), the cholesterol paradox finding (lower TC independently associated with higher mortality), LDL-C bivariate-only significance, and the five-predictor model (AUC = 0.827). Conclusions section restates key findings with reference to the primary and secondary objectives.</w:t>
            </w:r>
            <w:r w:rsidDel="00000000" w:rsidR="00000000" w:rsidRPr="00000000">
              <w:rPr>
                <w:rtl w:val="0"/>
              </w:rPr>
            </w:r>
          </w:p>
        </w:tc>
      </w:tr>
      <w:tr>
        <w:trPr>
          <w:cantSplit w:val="1"/>
          <w:tblHeader w:val="0"/>
        </w:trPr>
        <w:tc>
          <w:tcPr>
            <w:tcMar>
              <w:top w:w="80.0" w:type="dxa"/>
              <w:left w:w="100.0" w:type="dxa"/>
              <w:bottom w:w="80.0" w:type="dxa"/>
              <w:right w:w="100.0" w:type="dxa"/>
            </w:tcMar>
            <w:vAlign w:val="center"/>
          </w:tcPr>
          <w:p w:rsidR="00000000" w:rsidDel="00000000" w:rsidP="00000000" w:rsidRDefault="00000000" w:rsidRPr="00000000" w14:paraId="00000091">
            <w:pPr>
              <w:spacing w:line="260" w:lineRule="auto"/>
              <w:jc w:val="center"/>
              <w:rPr/>
            </w:pPr>
            <w:r w:rsidDel="00000000" w:rsidR="00000000" w:rsidRPr="00000000">
              <w:rPr>
                <w:b w:val="1"/>
                <w:bCs w:val="1"/>
                <w:color w:val="0b1f3a"/>
                <w:sz w:val="22"/>
                <w:szCs w:val="22"/>
                <w:rtl w:val="0"/>
              </w:rPr>
              <w:t xml:space="preserve">19</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92">
            <w:pPr>
              <w:spacing w:line="260" w:lineRule="auto"/>
              <w:rPr/>
            </w:pPr>
            <w:r w:rsidDel="00000000" w:rsidR="00000000" w:rsidRPr="00000000">
              <w:rPr>
                <w:b w:val="1"/>
                <w:bCs w:val="1"/>
                <w:sz w:val="20"/>
                <w:szCs w:val="20"/>
                <w:rtl w:val="0"/>
              </w:rPr>
              <w:t xml:space="preserve">Limitations</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93">
            <w:pPr>
              <w:spacing w:line="260" w:lineRule="auto"/>
              <w:rPr/>
            </w:pPr>
            <w:r w:rsidDel="00000000" w:rsidR="00000000" w:rsidRPr="00000000">
              <w:rPr>
                <w:sz w:val="19"/>
                <w:szCs w:val="19"/>
                <w:rtl w:val="0"/>
              </w:rPr>
              <w:t xml:space="preserve">Discuss limitations of the study, taking into account sources of potential bias or imprecision. Discuss both direction and magnitude of any potential bias.</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94">
            <w:pPr>
              <w:spacing w:line="260" w:lineRule="auto"/>
              <w:jc w:val="center"/>
              <w:rPr/>
            </w:pPr>
            <w:r w:rsidDel="00000000" w:rsidR="00000000" w:rsidRPr="00000000">
              <w:rPr>
                <w:b w:val="1"/>
                <w:bCs w:val="1"/>
                <w:color w:val="166534"/>
                <w:sz w:val="26"/>
                <w:szCs w:val="26"/>
                <w:rtl w:val="0"/>
              </w:rPr>
              <w:t xml:space="preserve">✓</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95">
            <w:pPr>
              <w:spacing w:line="260" w:lineRule="auto"/>
              <w:rPr/>
            </w:pPr>
            <w:r w:rsidDel="00000000" w:rsidR="00000000" w:rsidRPr="00000000">
              <w:rPr>
                <w:i w:val="1"/>
                <w:iCs w:val="1"/>
                <w:sz w:val="19"/>
                <w:szCs w:val="19"/>
                <w:rtl w:val="0"/>
              </w:rPr>
              <w:t xml:space="preserve">Discussion, "Limitations"</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96">
            <w:pPr>
              <w:spacing w:line="260" w:lineRule="auto"/>
              <w:rPr/>
            </w:pPr>
            <w:r w:rsidDel="00000000" w:rsidR="00000000" w:rsidRPr="00000000">
              <w:rPr>
                <w:sz w:val="19"/>
                <w:szCs w:val="19"/>
                <w:rtl w:val="0"/>
              </w:rPr>
              <w:t xml:space="preserve">Nine limitations explicitly addressed: (1) single-city, two-centre design limiting generalizability; (2) observational design precluding causal inference; (3) absence of propensity score matching; (4) survivorship bias from 48-hour exclusion (lipid data not available for sensitivity analysis); (5) lack of formal screening log; (6) EPV = 5:1 below recommended threshold; (7) non-fasting lipid measurements; (8) no data on prior statin duration/intensity and absence of Lp(a), ApoB, natriuretic peptides; (9) follow-up limited to index hospitalization.</w:t>
            </w:r>
            <w:r w:rsidDel="00000000" w:rsidR="00000000" w:rsidRPr="00000000">
              <w:rPr>
                <w:rtl w:val="0"/>
              </w:rPr>
            </w:r>
          </w:p>
        </w:tc>
      </w:tr>
      <w:tr>
        <w:trPr>
          <w:cantSplit w:val="1"/>
          <w:tblHeader w:val="0"/>
        </w:trPr>
        <w:tc>
          <w:tcPr>
            <w:shd w:fill="fafbfc" w:val="clear"/>
            <w:tcMar>
              <w:top w:w="80.0" w:type="dxa"/>
              <w:left w:w="100.0" w:type="dxa"/>
              <w:bottom w:w="80.0" w:type="dxa"/>
              <w:right w:w="100.0" w:type="dxa"/>
            </w:tcMar>
            <w:vAlign w:val="center"/>
          </w:tcPr>
          <w:p w:rsidR="00000000" w:rsidDel="00000000" w:rsidP="00000000" w:rsidRDefault="00000000" w:rsidRPr="00000000" w14:paraId="00000097">
            <w:pPr>
              <w:spacing w:line="260" w:lineRule="auto"/>
              <w:jc w:val="center"/>
              <w:rPr/>
            </w:pPr>
            <w:r w:rsidDel="00000000" w:rsidR="00000000" w:rsidRPr="00000000">
              <w:rPr>
                <w:b w:val="1"/>
                <w:bCs w:val="1"/>
                <w:color w:val="0b1f3a"/>
                <w:sz w:val="22"/>
                <w:szCs w:val="22"/>
                <w:rtl w:val="0"/>
              </w:rPr>
              <w:t xml:space="preserve">20</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98">
            <w:pPr>
              <w:spacing w:line="260" w:lineRule="auto"/>
              <w:rPr/>
            </w:pPr>
            <w:r w:rsidDel="00000000" w:rsidR="00000000" w:rsidRPr="00000000">
              <w:rPr>
                <w:b w:val="1"/>
                <w:bCs w:val="1"/>
                <w:sz w:val="20"/>
                <w:szCs w:val="20"/>
                <w:rtl w:val="0"/>
              </w:rPr>
              <w:t xml:space="preserve">Interpretation</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99">
            <w:pPr>
              <w:spacing w:line="260" w:lineRule="auto"/>
              <w:rPr/>
            </w:pPr>
            <w:r w:rsidDel="00000000" w:rsidR="00000000" w:rsidRPr="00000000">
              <w:rPr>
                <w:sz w:val="19"/>
                <w:szCs w:val="19"/>
                <w:rtl w:val="0"/>
              </w:rPr>
              <w:t xml:space="preserve">Give a cautious overall interpretation of results considering objectives, limitations, multiplicity of analyses, results from similar studies, and other relevant evidence.</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9A">
            <w:pPr>
              <w:spacing w:line="260" w:lineRule="auto"/>
              <w:jc w:val="center"/>
              <w:rPr/>
            </w:pPr>
            <w:r w:rsidDel="00000000" w:rsidR="00000000" w:rsidRPr="00000000">
              <w:rPr>
                <w:b w:val="1"/>
                <w:bCs w:val="1"/>
                <w:color w:val="166534"/>
                <w:sz w:val="26"/>
                <w:szCs w:val="26"/>
                <w:rtl w:val="0"/>
              </w:rPr>
              <w:t xml:space="preserve">✓</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9B">
            <w:pPr>
              <w:spacing w:line="260" w:lineRule="auto"/>
              <w:rPr/>
            </w:pPr>
            <w:r w:rsidDel="00000000" w:rsidR="00000000" w:rsidRPr="00000000">
              <w:rPr>
                <w:i w:val="1"/>
                <w:iCs w:val="1"/>
                <w:sz w:val="19"/>
                <w:szCs w:val="19"/>
                <w:rtl w:val="0"/>
              </w:rPr>
              <w:t xml:space="preserve">Discussion, all subsections; Conclusions</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9C">
            <w:pPr>
              <w:spacing w:line="260" w:lineRule="auto"/>
              <w:rPr/>
            </w:pPr>
            <w:r w:rsidDel="00000000" w:rsidR="00000000" w:rsidRPr="00000000">
              <w:rPr>
                <w:sz w:val="19"/>
                <w:szCs w:val="19"/>
                <w:rtl w:val="0"/>
              </w:rPr>
              <w:t xml:space="preserve">Interpretation framed by comparison with six international studies (Horwich, Wang, Charach, Brito, Yoon, He). Cautious wording throughout, especially regarding causality (explicitly acknowledged reverse causation and residual confounding). Clinical implications and statin therapy guidance discussed. Conclusions section summarizes clinical implications and directions for future research.</w:t>
            </w:r>
            <w:r w:rsidDel="00000000" w:rsidR="00000000" w:rsidRPr="00000000">
              <w:rPr>
                <w:rtl w:val="0"/>
              </w:rPr>
            </w:r>
          </w:p>
        </w:tc>
      </w:tr>
      <w:tr>
        <w:trPr>
          <w:cantSplit w:val="1"/>
          <w:tblHeader w:val="0"/>
        </w:trPr>
        <w:tc>
          <w:tcPr>
            <w:tcMar>
              <w:top w:w="80.0" w:type="dxa"/>
              <w:left w:w="100.0" w:type="dxa"/>
              <w:bottom w:w="80.0" w:type="dxa"/>
              <w:right w:w="100.0" w:type="dxa"/>
            </w:tcMar>
            <w:vAlign w:val="center"/>
          </w:tcPr>
          <w:p w:rsidR="00000000" w:rsidDel="00000000" w:rsidP="00000000" w:rsidRDefault="00000000" w:rsidRPr="00000000" w14:paraId="0000009D">
            <w:pPr>
              <w:spacing w:line="260" w:lineRule="auto"/>
              <w:jc w:val="center"/>
              <w:rPr/>
            </w:pPr>
            <w:r w:rsidDel="00000000" w:rsidR="00000000" w:rsidRPr="00000000">
              <w:rPr>
                <w:b w:val="1"/>
                <w:bCs w:val="1"/>
                <w:color w:val="0b1f3a"/>
                <w:sz w:val="22"/>
                <w:szCs w:val="22"/>
                <w:rtl w:val="0"/>
              </w:rPr>
              <w:t xml:space="preserve">21</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9E">
            <w:pPr>
              <w:spacing w:line="260" w:lineRule="auto"/>
              <w:rPr/>
            </w:pPr>
            <w:r w:rsidDel="00000000" w:rsidR="00000000" w:rsidRPr="00000000">
              <w:rPr>
                <w:b w:val="1"/>
                <w:bCs w:val="1"/>
                <w:sz w:val="20"/>
                <w:szCs w:val="20"/>
                <w:rtl w:val="0"/>
              </w:rPr>
              <w:t xml:space="preserve">Generalizability</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9F">
            <w:pPr>
              <w:spacing w:line="260" w:lineRule="auto"/>
              <w:rPr/>
            </w:pPr>
            <w:r w:rsidDel="00000000" w:rsidR="00000000" w:rsidRPr="00000000">
              <w:rPr>
                <w:sz w:val="19"/>
                <w:szCs w:val="19"/>
                <w:rtl w:val="0"/>
              </w:rPr>
              <w:t xml:space="preserve">Discuss the generalizability (external validity) of the study results.</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A0">
            <w:pPr>
              <w:spacing w:line="260" w:lineRule="auto"/>
              <w:jc w:val="center"/>
              <w:rPr/>
            </w:pPr>
            <w:r w:rsidDel="00000000" w:rsidR="00000000" w:rsidRPr="00000000">
              <w:rPr>
                <w:b w:val="1"/>
                <w:bCs w:val="1"/>
                <w:color w:val="166534"/>
                <w:sz w:val="26"/>
                <w:szCs w:val="26"/>
                <w:rtl w:val="0"/>
              </w:rPr>
              <w:t xml:space="preserve">✓</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A1">
            <w:pPr>
              <w:spacing w:line="260" w:lineRule="auto"/>
              <w:rPr/>
            </w:pPr>
            <w:r w:rsidDel="00000000" w:rsidR="00000000" w:rsidRPr="00000000">
              <w:rPr>
                <w:i w:val="1"/>
                <w:iCs w:val="1"/>
                <w:sz w:val="19"/>
                <w:szCs w:val="19"/>
                <w:rtl w:val="0"/>
              </w:rPr>
              <w:t xml:space="preserve">Discussion, "Limitations" (first limitation); "Clinical implications"</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A2">
            <w:pPr>
              <w:spacing w:line="260" w:lineRule="auto"/>
              <w:rPr/>
            </w:pPr>
            <w:r w:rsidDel="00000000" w:rsidR="00000000" w:rsidRPr="00000000">
              <w:rPr>
                <w:sz w:val="19"/>
                <w:szCs w:val="19"/>
                <w:rtl w:val="0"/>
              </w:rPr>
              <w:t xml:space="preserve">Single-city, two tertiary centres — generalizability to other Syrian regions and non-tertiary hospitals explicitly discussed as the first limitation. Clinical implications subsection notes that the cholesterol paradox should not be extrapolated to the general population or to stable chronic HF.</w:t>
            </w:r>
            <w:r w:rsidDel="00000000" w:rsidR="00000000" w:rsidRPr="00000000">
              <w:rPr>
                <w:rtl w:val="0"/>
              </w:rPr>
            </w:r>
          </w:p>
        </w:tc>
      </w:tr>
      <w:tr>
        <w:trPr>
          <w:cantSplit w:val="1"/>
          <w:tblHeader w:val="0"/>
        </w:trPr>
        <w:tc>
          <w:tcPr>
            <w:shd w:fill="fafbfc" w:val="clear"/>
            <w:tcMar>
              <w:top w:w="80.0" w:type="dxa"/>
              <w:left w:w="100.0" w:type="dxa"/>
              <w:bottom w:w="80.0" w:type="dxa"/>
              <w:right w:w="100.0" w:type="dxa"/>
            </w:tcMar>
            <w:vAlign w:val="center"/>
          </w:tcPr>
          <w:p w:rsidR="00000000" w:rsidDel="00000000" w:rsidP="00000000" w:rsidRDefault="00000000" w:rsidRPr="00000000" w14:paraId="000000A3">
            <w:pPr>
              <w:spacing w:line="260" w:lineRule="auto"/>
              <w:jc w:val="center"/>
              <w:rPr/>
            </w:pPr>
            <w:r w:rsidDel="00000000" w:rsidR="00000000" w:rsidRPr="00000000">
              <w:rPr>
                <w:b w:val="1"/>
                <w:bCs w:val="1"/>
                <w:color w:val="0b1f3a"/>
                <w:sz w:val="22"/>
                <w:szCs w:val="22"/>
                <w:rtl w:val="0"/>
              </w:rPr>
              <w:t xml:space="preserve">22</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A4">
            <w:pPr>
              <w:spacing w:line="260" w:lineRule="auto"/>
              <w:rPr/>
            </w:pPr>
            <w:r w:rsidDel="00000000" w:rsidR="00000000" w:rsidRPr="00000000">
              <w:rPr>
                <w:b w:val="1"/>
                <w:bCs w:val="1"/>
                <w:sz w:val="20"/>
                <w:szCs w:val="20"/>
                <w:rtl w:val="0"/>
              </w:rPr>
              <w:t xml:space="preserve">Funding</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A5">
            <w:pPr>
              <w:spacing w:line="260" w:lineRule="auto"/>
              <w:rPr/>
            </w:pPr>
            <w:r w:rsidDel="00000000" w:rsidR="00000000" w:rsidRPr="00000000">
              <w:rPr>
                <w:sz w:val="19"/>
                <w:szCs w:val="19"/>
                <w:rtl w:val="0"/>
              </w:rPr>
              <w:t xml:space="preserve">Give the source of funding and the role of the funders for the present study and, if applicable, for the original study on which the present article is based.</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A6">
            <w:pPr>
              <w:spacing w:line="260" w:lineRule="auto"/>
              <w:jc w:val="center"/>
              <w:rPr/>
            </w:pPr>
            <w:r w:rsidDel="00000000" w:rsidR="00000000" w:rsidRPr="00000000">
              <w:rPr>
                <w:b w:val="1"/>
                <w:bCs w:val="1"/>
                <w:color w:val="166534"/>
                <w:sz w:val="26"/>
                <w:szCs w:val="26"/>
                <w:rtl w:val="0"/>
              </w:rPr>
              <w:t xml:space="preserve">✓</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A7">
            <w:pPr>
              <w:spacing w:line="260" w:lineRule="auto"/>
              <w:rPr/>
            </w:pPr>
            <w:r w:rsidDel="00000000" w:rsidR="00000000" w:rsidRPr="00000000">
              <w:rPr>
                <w:i w:val="1"/>
                <w:iCs w:val="1"/>
                <w:sz w:val="19"/>
                <w:szCs w:val="19"/>
                <w:rtl w:val="0"/>
              </w:rPr>
              <w:t xml:space="preserve">Declarations, "Funding"</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A8">
            <w:pPr>
              <w:spacing w:line="260" w:lineRule="auto"/>
              <w:rPr/>
            </w:pPr>
            <w:r w:rsidDel="00000000" w:rsidR="00000000" w:rsidRPr="00000000">
              <w:rPr>
                <w:sz w:val="19"/>
                <w:szCs w:val="19"/>
                <w:rtl w:val="0"/>
              </w:rPr>
              <w:t xml:space="preserve">Study received no specific grant from any funding agency in the public, commercial, or not-for-profit sectors.</w:t>
            </w:r>
            <w:r w:rsidDel="00000000" w:rsidR="00000000" w:rsidRPr="00000000">
              <w:rPr>
                <w:rtl w:val="0"/>
              </w:rPr>
            </w:r>
          </w:p>
        </w:tc>
      </w:tr>
    </w:tbl>
    <w:p w:rsidR="00000000" w:rsidDel="00000000" w:rsidP="00000000" w:rsidRDefault="00000000" w:rsidRPr="00000000" w14:paraId="000000A9">
      <w:pPr>
        <w:spacing w:after="240" w:lineRule="auto"/>
        <w:rPr/>
      </w:pPr>
      <w:r w:rsidDel="00000000" w:rsidR="00000000" w:rsidRPr="00000000">
        <w:rPr>
          <w:rtl w:val="0"/>
        </w:rPr>
      </w:r>
    </w:p>
    <w:p w:rsidR="00000000" w:rsidDel="00000000" w:rsidP="00000000" w:rsidRDefault="00000000" w:rsidRPr="00000000" w14:paraId="000000AA">
      <w:pPr>
        <w:pStyle w:val="Heading1"/>
        <w:pBdr>
          <w:bottom w:color="8b7e5a" w:space="4" w:sz="8" w:val="single"/>
        </w:pBdr>
        <w:rPr/>
      </w:pPr>
      <w:r w:rsidDel="00000000" w:rsidR="00000000" w:rsidRPr="00000000">
        <w:rPr>
          <w:rtl w:val="0"/>
        </w:rPr>
        <w:t xml:space="preserve">Summary of STROBE Compliance</w:t>
      </w:r>
    </w:p>
    <w:tbl>
      <w:tblPr>
        <w:tblStyle w:val="Table4"/>
        <w:tblW w:w="14560.0" w:type="dxa"/>
        <w:jc w:val="left"/>
        <w:tblInd w:w="-15.0" w:type="dxa"/>
        <w:tblBorders>
          <w:top w:color="0b1f3a" w:space="0" w:sz="6" w:val="single"/>
          <w:left w:color="c9cdd2" w:space="0" w:sz="4" w:val="single"/>
          <w:bottom w:color="0b1f3a" w:space="0" w:sz="6" w:val="single"/>
          <w:right w:color="c9cdd2" w:space="0" w:sz="4" w:val="single"/>
          <w:insideH w:color="c9cdd2" w:space="0" w:sz="4" w:val="single"/>
          <w:insideV w:color="c9cdd2" w:space="0" w:sz="4" w:val="single"/>
        </w:tblBorders>
        <w:tblLayout w:type="fixed"/>
        <w:tblLook w:val="0400"/>
      </w:tblPr>
      <w:tblGrid>
        <w:gridCol w:w="7280"/>
        <w:gridCol w:w="3640"/>
        <w:gridCol w:w="3640"/>
        <w:tblGridChange w:id="0">
          <w:tblGrid>
            <w:gridCol w:w="7280"/>
            <w:gridCol w:w="3640"/>
            <w:gridCol w:w="3640"/>
          </w:tblGrid>
        </w:tblGridChange>
      </w:tblGrid>
      <w:tr>
        <w:trPr>
          <w:cantSplit w:val="1"/>
          <w:tblHeader w:val="1"/>
        </w:trPr>
        <w:tc>
          <w:tcPr>
            <w:shd w:fill="0b1f3a" w:val="clear"/>
            <w:tcMar>
              <w:top w:w="80.0" w:type="dxa"/>
              <w:left w:w="100.0" w:type="dxa"/>
              <w:bottom w:w="80.0" w:type="dxa"/>
              <w:right w:w="100.0" w:type="dxa"/>
            </w:tcMar>
            <w:vAlign w:val="center"/>
          </w:tcPr>
          <w:p w:rsidR="00000000" w:rsidDel="00000000" w:rsidP="00000000" w:rsidRDefault="00000000" w:rsidRPr="00000000" w14:paraId="000000AB">
            <w:pPr>
              <w:spacing w:line="260" w:lineRule="auto"/>
              <w:jc w:val="center"/>
              <w:rPr/>
            </w:pPr>
            <w:r w:rsidDel="00000000" w:rsidR="00000000" w:rsidRPr="00000000">
              <w:rPr>
                <w:b w:val="1"/>
                <w:bCs w:val="1"/>
                <w:color w:val="ffffff"/>
                <w:sz w:val="20"/>
                <w:szCs w:val="20"/>
                <w:rtl w:val="0"/>
              </w:rPr>
              <w:t xml:space="preserve">Status</w:t>
            </w:r>
            <w:r w:rsidDel="00000000" w:rsidR="00000000" w:rsidRPr="00000000">
              <w:rPr>
                <w:rtl w:val="0"/>
              </w:rPr>
            </w:r>
          </w:p>
        </w:tc>
        <w:tc>
          <w:tcPr>
            <w:shd w:fill="0b1f3a" w:val="clear"/>
            <w:tcMar>
              <w:top w:w="80.0" w:type="dxa"/>
              <w:left w:w="100.0" w:type="dxa"/>
              <w:bottom w:w="80.0" w:type="dxa"/>
              <w:right w:w="100.0" w:type="dxa"/>
            </w:tcMar>
            <w:vAlign w:val="center"/>
          </w:tcPr>
          <w:p w:rsidR="00000000" w:rsidDel="00000000" w:rsidP="00000000" w:rsidRDefault="00000000" w:rsidRPr="00000000" w14:paraId="000000AC">
            <w:pPr>
              <w:spacing w:line="260" w:lineRule="auto"/>
              <w:jc w:val="center"/>
              <w:rPr/>
            </w:pPr>
            <w:r w:rsidDel="00000000" w:rsidR="00000000" w:rsidRPr="00000000">
              <w:rPr>
                <w:b w:val="1"/>
                <w:bCs w:val="1"/>
                <w:color w:val="ffffff"/>
                <w:sz w:val="20"/>
                <w:szCs w:val="20"/>
                <w:rtl w:val="0"/>
              </w:rPr>
              <w:t xml:space="preserve">Count</w:t>
            </w:r>
            <w:r w:rsidDel="00000000" w:rsidR="00000000" w:rsidRPr="00000000">
              <w:rPr>
                <w:rtl w:val="0"/>
              </w:rPr>
            </w:r>
          </w:p>
        </w:tc>
        <w:tc>
          <w:tcPr>
            <w:shd w:fill="0b1f3a" w:val="clear"/>
            <w:tcMar>
              <w:top w:w="80.0" w:type="dxa"/>
              <w:left w:w="100.0" w:type="dxa"/>
              <w:bottom w:w="80.0" w:type="dxa"/>
              <w:right w:w="100.0" w:type="dxa"/>
            </w:tcMar>
            <w:vAlign w:val="center"/>
          </w:tcPr>
          <w:p w:rsidR="00000000" w:rsidDel="00000000" w:rsidP="00000000" w:rsidRDefault="00000000" w:rsidRPr="00000000" w14:paraId="000000AD">
            <w:pPr>
              <w:spacing w:line="260" w:lineRule="auto"/>
              <w:jc w:val="center"/>
              <w:rPr/>
            </w:pPr>
            <w:r w:rsidDel="00000000" w:rsidR="00000000" w:rsidRPr="00000000">
              <w:rPr>
                <w:b w:val="1"/>
                <w:bCs w:val="1"/>
                <w:color w:val="ffffff"/>
                <w:sz w:val="20"/>
                <w:szCs w:val="20"/>
                <w:rtl w:val="0"/>
              </w:rPr>
              <w:t xml:space="preserve">Percentage</w:t>
            </w:r>
            <w:r w:rsidDel="00000000" w:rsidR="00000000" w:rsidRPr="00000000">
              <w:rPr>
                <w:rtl w:val="0"/>
              </w:rPr>
            </w:r>
          </w:p>
        </w:tc>
      </w:tr>
      <w:tr>
        <w:trPr>
          <w:cantSplit w:val="1"/>
          <w:tblHeader w:val="0"/>
        </w:trPr>
        <w:tc>
          <w:tcPr>
            <w:tcMar>
              <w:top w:w="80.0" w:type="dxa"/>
              <w:left w:w="100.0" w:type="dxa"/>
              <w:bottom w:w="80.0" w:type="dxa"/>
              <w:right w:w="100.0" w:type="dxa"/>
            </w:tcMar>
            <w:vAlign w:val="center"/>
          </w:tcPr>
          <w:p w:rsidR="00000000" w:rsidDel="00000000" w:rsidP="00000000" w:rsidRDefault="00000000" w:rsidRPr="00000000" w14:paraId="000000AE">
            <w:pPr>
              <w:spacing w:line="260" w:lineRule="auto"/>
              <w:rPr/>
            </w:pPr>
            <w:r w:rsidDel="00000000" w:rsidR="00000000" w:rsidRPr="00000000">
              <w:rPr>
                <w:b w:val="1"/>
                <w:bCs w:val="1"/>
                <w:color w:val="166534"/>
                <w:rtl w:val="0"/>
              </w:rPr>
              <w:t xml:space="preserve">✓ Fully reported</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AF">
            <w:pPr>
              <w:spacing w:line="260" w:lineRule="auto"/>
              <w:jc w:val="center"/>
              <w:rPr/>
            </w:pPr>
            <w:r w:rsidDel="00000000" w:rsidR="00000000" w:rsidRPr="00000000">
              <w:rPr>
                <w:b w:val="1"/>
                <w:bCs w:val="1"/>
                <w:color w:val="166534"/>
                <w:rtl w:val="0"/>
              </w:rPr>
              <w:t xml:space="preserve">22 / 22</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B0">
            <w:pPr>
              <w:spacing w:line="260" w:lineRule="auto"/>
              <w:jc w:val="center"/>
              <w:rPr/>
            </w:pPr>
            <w:r w:rsidDel="00000000" w:rsidR="00000000" w:rsidRPr="00000000">
              <w:rPr>
                <w:b w:val="1"/>
                <w:bCs w:val="1"/>
                <w:color w:val="166534"/>
                <w:rtl w:val="0"/>
              </w:rPr>
              <w:t xml:space="preserve">100%</w:t>
            </w:r>
            <w:r w:rsidDel="00000000" w:rsidR="00000000" w:rsidRPr="00000000">
              <w:rPr>
                <w:rtl w:val="0"/>
              </w:rPr>
            </w:r>
          </w:p>
        </w:tc>
      </w:tr>
      <w:tr>
        <w:trPr>
          <w:cantSplit w:val="1"/>
          <w:tblHeader w:val="0"/>
        </w:trPr>
        <w:tc>
          <w:tcPr>
            <w:shd w:fill="fafbfc" w:val="clear"/>
            <w:tcMar>
              <w:top w:w="80.0" w:type="dxa"/>
              <w:left w:w="100.0" w:type="dxa"/>
              <w:bottom w:w="80.0" w:type="dxa"/>
              <w:right w:w="100.0" w:type="dxa"/>
            </w:tcMar>
            <w:vAlign w:val="center"/>
          </w:tcPr>
          <w:p w:rsidR="00000000" w:rsidDel="00000000" w:rsidP="00000000" w:rsidRDefault="00000000" w:rsidRPr="00000000" w14:paraId="000000B1">
            <w:pPr>
              <w:spacing w:line="260" w:lineRule="auto"/>
              <w:rPr/>
            </w:pPr>
            <w:r w:rsidDel="00000000" w:rsidR="00000000" w:rsidRPr="00000000">
              <w:rPr>
                <w:color w:val="b45309"/>
                <w:rtl w:val="0"/>
              </w:rPr>
              <w:t xml:space="preserve">△ Partially reported</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B2">
            <w:pPr>
              <w:spacing w:line="260" w:lineRule="auto"/>
              <w:jc w:val="center"/>
              <w:rPr/>
            </w:pPr>
            <w:r w:rsidDel="00000000" w:rsidR="00000000" w:rsidRPr="00000000">
              <w:rPr>
                <w:color w:val="b45309"/>
                <w:rtl w:val="0"/>
              </w:rPr>
              <w:t xml:space="preserve">0 / 22</w:t>
            </w:r>
            <w:r w:rsidDel="00000000" w:rsidR="00000000" w:rsidRPr="00000000">
              <w:rPr>
                <w:rtl w:val="0"/>
              </w:rPr>
            </w:r>
          </w:p>
        </w:tc>
        <w:tc>
          <w:tcPr>
            <w:shd w:fill="fafbfc" w:val="clear"/>
            <w:tcMar>
              <w:top w:w="80.0" w:type="dxa"/>
              <w:left w:w="100.0" w:type="dxa"/>
              <w:bottom w:w="80.0" w:type="dxa"/>
              <w:right w:w="100.0" w:type="dxa"/>
            </w:tcMar>
            <w:vAlign w:val="center"/>
          </w:tcPr>
          <w:p w:rsidR="00000000" w:rsidDel="00000000" w:rsidP="00000000" w:rsidRDefault="00000000" w:rsidRPr="00000000" w14:paraId="000000B3">
            <w:pPr>
              <w:spacing w:line="260" w:lineRule="auto"/>
              <w:jc w:val="center"/>
              <w:rPr/>
            </w:pPr>
            <w:r w:rsidDel="00000000" w:rsidR="00000000" w:rsidRPr="00000000">
              <w:rPr>
                <w:color w:val="b45309"/>
                <w:rtl w:val="0"/>
              </w:rPr>
              <w:t xml:space="preserve">0%</w:t>
            </w:r>
            <w:r w:rsidDel="00000000" w:rsidR="00000000" w:rsidRPr="00000000">
              <w:rPr>
                <w:rtl w:val="0"/>
              </w:rPr>
            </w:r>
          </w:p>
        </w:tc>
      </w:tr>
      <w:tr>
        <w:trPr>
          <w:cantSplit w:val="1"/>
          <w:tblHeader w:val="0"/>
        </w:trPr>
        <w:tc>
          <w:tcPr>
            <w:tcMar>
              <w:top w:w="80.0" w:type="dxa"/>
              <w:left w:w="100.0" w:type="dxa"/>
              <w:bottom w:w="80.0" w:type="dxa"/>
              <w:right w:w="100.0" w:type="dxa"/>
            </w:tcMar>
            <w:vAlign w:val="center"/>
          </w:tcPr>
          <w:p w:rsidR="00000000" w:rsidDel="00000000" w:rsidP="00000000" w:rsidRDefault="00000000" w:rsidRPr="00000000" w14:paraId="000000B4">
            <w:pPr>
              <w:spacing w:line="260" w:lineRule="auto"/>
              <w:rPr/>
            </w:pPr>
            <w:r w:rsidDel="00000000" w:rsidR="00000000" w:rsidRPr="00000000">
              <w:rPr>
                <w:color w:val="991b1b"/>
                <w:rtl w:val="0"/>
              </w:rPr>
              <w:t xml:space="preserve">✗ Not reported</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B5">
            <w:pPr>
              <w:spacing w:line="260" w:lineRule="auto"/>
              <w:jc w:val="center"/>
              <w:rPr/>
            </w:pPr>
            <w:r w:rsidDel="00000000" w:rsidR="00000000" w:rsidRPr="00000000">
              <w:rPr>
                <w:color w:val="991b1b"/>
                <w:rtl w:val="0"/>
              </w:rPr>
              <w:t xml:space="preserve">0 / 22</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B6">
            <w:pPr>
              <w:spacing w:line="260" w:lineRule="auto"/>
              <w:jc w:val="center"/>
              <w:rPr/>
            </w:pPr>
            <w:r w:rsidDel="00000000" w:rsidR="00000000" w:rsidRPr="00000000">
              <w:rPr>
                <w:color w:val="991b1b"/>
                <w:rtl w:val="0"/>
              </w:rPr>
              <w:t xml:space="preserve">0%</w:t>
            </w:r>
            <w:r w:rsidDel="00000000" w:rsidR="00000000" w:rsidRPr="00000000">
              <w:rPr>
                <w:rtl w:val="0"/>
              </w:rPr>
            </w:r>
          </w:p>
        </w:tc>
      </w:tr>
      <w:tr>
        <w:trPr>
          <w:cantSplit w:val="1"/>
          <w:tblHeader w:val="0"/>
        </w:trPr>
        <w:tc>
          <w:tcPr>
            <w:shd w:fill="8b7e5a" w:val="clear"/>
            <w:tcMar>
              <w:top w:w="80.0" w:type="dxa"/>
              <w:left w:w="100.0" w:type="dxa"/>
              <w:bottom w:w="80.0" w:type="dxa"/>
              <w:right w:w="100.0" w:type="dxa"/>
            </w:tcMar>
            <w:vAlign w:val="center"/>
          </w:tcPr>
          <w:p w:rsidR="00000000" w:rsidDel="00000000" w:rsidP="00000000" w:rsidRDefault="00000000" w:rsidRPr="00000000" w14:paraId="000000B7">
            <w:pPr>
              <w:spacing w:line="260" w:lineRule="auto"/>
              <w:rPr/>
            </w:pPr>
            <w:r w:rsidDel="00000000" w:rsidR="00000000" w:rsidRPr="00000000">
              <w:rPr>
                <w:b w:val="1"/>
                <w:bCs w:val="1"/>
                <w:color w:val="ffffff"/>
                <w:rtl w:val="0"/>
              </w:rPr>
              <w:t xml:space="preserve">Total</w:t>
            </w:r>
            <w:r w:rsidDel="00000000" w:rsidR="00000000" w:rsidRPr="00000000">
              <w:rPr>
                <w:rtl w:val="0"/>
              </w:rPr>
            </w:r>
          </w:p>
        </w:tc>
        <w:tc>
          <w:tcPr>
            <w:shd w:fill="8b7e5a" w:val="clear"/>
            <w:tcMar>
              <w:top w:w="80.0" w:type="dxa"/>
              <w:left w:w="100.0" w:type="dxa"/>
              <w:bottom w:w="80.0" w:type="dxa"/>
              <w:right w:w="100.0" w:type="dxa"/>
            </w:tcMar>
            <w:vAlign w:val="center"/>
          </w:tcPr>
          <w:p w:rsidR="00000000" w:rsidDel="00000000" w:rsidP="00000000" w:rsidRDefault="00000000" w:rsidRPr="00000000" w14:paraId="000000B8">
            <w:pPr>
              <w:spacing w:line="260" w:lineRule="auto"/>
              <w:jc w:val="center"/>
              <w:rPr/>
            </w:pPr>
            <w:r w:rsidDel="00000000" w:rsidR="00000000" w:rsidRPr="00000000">
              <w:rPr>
                <w:b w:val="1"/>
                <w:bCs w:val="1"/>
                <w:color w:val="ffffff"/>
                <w:rtl w:val="0"/>
              </w:rPr>
              <w:t xml:space="preserve">22 / 22</w:t>
            </w:r>
            <w:r w:rsidDel="00000000" w:rsidR="00000000" w:rsidRPr="00000000">
              <w:rPr>
                <w:rtl w:val="0"/>
              </w:rPr>
            </w:r>
          </w:p>
        </w:tc>
        <w:tc>
          <w:tcPr>
            <w:shd w:fill="8b7e5a" w:val="clear"/>
            <w:tcMar>
              <w:top w:w="80.0" w:type="dxa"/>
              <w:left w:w="100.0" w:type="dxa"/>
              <w:bottom w:w="80.0" w:type="dxa"/>
              <w:right w:w="100.0" w:type="dxa"/>
            </w:tcMar>
            <w:vAlign w:val="center"/>
          </w:tcPr>
          <w:p w:rsidR="00000000" w:rsidDel="00000000" w:rsidP="00000000" w:rsidRDefault="00000000" w:rsidRPr="00000000" w14:paraId="000000B9">
            <w:pPr>
              <w:spacing w:line="260" w:lineRule="auto"/>
              <w:jc w:val="center"/>
              <w:rPr/>
            </w:pPr>
            <w:r w:rsidDel="00000000" w:rsidR="00000000" w:rsidRPr="00000000">
              <w:rPr>
                <w:b w:val="1"/>
                <w:bCs w:val="1"/>
                <w:color w:val="ffffff"/>
                <w:rtl w:val="0"/>
              </w:rPr>
              <w:t xml:space="preserve">100%</w:t>
            </w:r>
            <w:r w:rsidDel="00000000" w:rsidR="00000000" w:rsidRPr="00000000">
              <w:rPr>
                <w:rtl w:val="0"/>
              </w:rPr>
            </w:r>
          </w:p>
        </w:tc>
      </w:tr>
    </w:tbl>
    <w:p w:rsidR="00000000" w:rsidDel="00000000" w:rsidP="00000000" w:rsidRDefault="00000000" w:rsidRPr="00000000" w14:paraId="000000BA">
      <w:pPr>
        <w:spacing w:after="240" w:lineRule="auto"/>
        <w:rPr/>
      </w:pPr>
      <w:r w:rsidDel="00000000" w:rsidR="00000000" w:rsidRPr="00000000">
        <w:rPr>
          <w:rtl w:val="0"/>
        </w:rPr>
      </w:r>
    </w:p>
    <w:p w:rsidR="00000000" w:rsidDel="00000000" w:rsidP="00000000" w:rsidRDefault="00000000" w:rsidRPr="00000000" w14:paraId="000000BB">
      <w:pPr>
        <w:pStyle w:val="Heading1"/>
        <w:pBdr>
          <w:bottom w:color="8b7e5a" w:space="4" w:sz="8" w:val="single"/>
        </w:pBdr>
        <w:rPr/>
      </w:pPr>
      <w:r w:rsidDel="00000000" w:rsidR="00000000" w:rsidRPr="00000000">
        <w:rPr>
          <w:rtl w:val="0"/>
        </w:rPr>
        <w:t xml:space="preserve">Notes on Full STROBE Compliance</w:t>
      </w:r>
    </w:p>
    <w:p w:rsidR="00000000" w:rsidDel="00000000" w:rsidP="00000000" w:rsidRDefault="00000000" w:rsidRPr="00000000" w14:paraId="000000BC">
      <w:pPr>
        <w:spacing w:after="120" w:lineRule="auto"/>
        <w:ind w:firstLine="480"/>
        <w:jc w:val="both"/>
        <w:rPr/>
      </w:pPr>
      <w:r w:rsidDel="00000000" w:rsidR="00000000" w:rsidRPr="00000000">
        <w:rPr>
          <w:rtl w:val="0"/>
        </w:rPr>
        <w:t xml:space="preserve">All 22 STROBE checklist items are fully reported in the manuscript. The study follows a prospective cohort design, and the checklist above applies the cohort-study version of the STROBE statement. The participant flow diagram (Figure 1) is provided as a manuscript figure and is referenced in Item 13.</w:t>
      </w:r>
    </w:p>
    <w:p w:rsidR="00000000" w:rsidDel="00000000" w:rsidP="00000000" w:rsidRDefault="00000000" w:rsidRPr="00000000" w14:paraId="000000BD">
      <w:pPr>
        <w:spacing w:after="120" w:lineRule="auto"/>
        <w:ind w:firstLine="480"/>
        <w:jc w:val="both"/>
        <w:rPr/>
      </w:pPr>
      <w:r w:rsidDel="00000000" w:rsidR="00000000" w:rsidRPr="00000000">
        <w:rPr>
          <w:rtl w:val="0"/>
        </w:rPr>
        <w:t xml:space="preserve">The study acknowledges the following specific design and reporting considerations:</w:t>
      </w:r>
    </w:p>
    <w:p w:rsidR="00000000" w:rsidDel="00000000" w:rsidP="00000000" w:rsidRDefault="00000000" w:rsidRPr="00000000" w14:paraId="000000BE">
      <w:pPr>
        <w:spacing w:after="100" w:lineRule="auto"/>
        <w:jc w:val="both"/>
        <w:rPr/>
      </w:pPr>
      <w:r w:rsidDel="00000000" w:rsidR="00000000" w:rsidRPr="00000000">
        <w:rPr>
          <w:b w:val="1"/>
          <w:bCs w:val="1"/>
          <w:rtl w:val="0"/>
        </w:rPr>
        <w:t xml:space="preserve">(1) </w:t>
      </w:r>
      <w:r w:rsidDel="00000000" w:rsidR="00000000" w:rsidRPr="00000000">
        <w:rPr>
          <w:rtl w:val="0"/>
        </w:rPr>
        <w:t xml:space="preserve">A formal screening log documenting the number of screened patients and the count of patients excluded per criterion was not maintained during enrolment — this is acknowledged as a study limitation in the manuscript (Item 13 and Limitations). The screening numbers (198 screened, 32 excluded) were reconstructed retrospectively from hospital admission records and are reported in Figure 1.</w:t>
      </w:r>
    </w:p>
    <w:p w:rsidR="00000000" w:rsidDel="00000000" w:rsidP="00000000" w:rsidRDefault="00000000" w:rsidRPr="00000000" w14:paraId="000000BF">
      <w:pPr>
        <w:spacing w:after="100" w:lineRule="auto"/>
        <w:jc w:val="both"/>
        <w:rPr/>
      </w:pPr>
      <w:r w:rsidDel="00000000" w:rsidR="00000000" w:rsidRPr="00000000">
        <w:rPr>
          <w:b w:val="1"/>
          <w:bCs w:val="1"/>
          <w:rtl w:val="0"/>
        </w:rPr>
        <w:t xml:space="preserve">(2) </w:t>
      </w:r>
      <w:r w:rsidDel="00000000" w:rsidR="00000000" w:rsidRPr="00000000">
        <w:rPr>
          <w:rtl w:val="0"/>
        </w:rPr>
        <w:t xml:space="preserve">The cholesterol paradox (lower TC/LDL-C associated with higher mortality) is the central finding. The ROC analysis was performed with lower cholesterol values treated as the "positive" direction for mortality prediction — this is explicitly stated in the manuscript and the Table 5 footnote.</w:t>
      </w:r>
    </w:p>
    <w:p w:rsidR="00000000" w:rsidDel="00000000" w:rsidP="00000000" w:rsidRDefault="00000000" w:rsidRPr="00000000" w14:paraId="000000C0">
      <w:pPr>
        <w:spacing w:after="100" w:lineRule="auto"/>
        <w:jc w:val="both"/>
        <w:rPr/>
      </w:pPr>
      <w:r w:rsidDel="00000000" w:rsidR="00000000" w:rsidRPr="00000000">
        <w:rPr>
          <w:b w:val="1"/>
          <w:bCs w:val="1"/>
          <w:rtl w:val="0"/>
        </w:rPr>
        <w:t xml:space="preserve">(3) </w:t>
      </w:r>
      <w:r w:rsidDel="00000000" w:rsidR="00000000" w:rsidRPr="00000000">
        <w:rPr>
          <w:rtl w:val="0"/>
        </w:rPr>
        <w:t xml:space="preserve">The multivariate logistic regression model included variables with P &lt; 0.10 in the bivariate analysis, providing a more inclusive entry threshold than the conventional P &lt; 0.05 to capture potentially important predictors.</w:t>
      </w:r>
    </w:p>
    <w:p w:rsidR="00000000" w:rsidDel="00000000" w:rsidP="00000000" w:rsidRDefault="00000000" w:rsidRPr="00000000" w14:paraId="000000C1">
      <w:pPr>
        <w:spacing w:after="100" w:lineRule="auto"/>
        <w:jc w:val="both"/>
        <w:rPr/>
      </w:pPr>
      <w:r w:rsidDel="00000000" w:rsidR="00000000" w:rsidRPr="00000000">
        <w:rPr>
          <w:b w:val="1"/>
          <w:bCs w:val="1"/>
          <w:rtl w:val="0"/>
        </w:rPr>
        <w:t xml:space="preserve">(4) </w:t>
      </w:r>
      <w:r w:rsidDel="00000000" w:rsidR="00000000" w:rsidRPr="00000000">
        <w:rPr>
          <w:rtl w:val="0"/>
        </w:rPr>
        <w:t xml:space="preserve">The Hosmer–Lemeshow goodness-of-fit test was used to assess model calibration, with results reported in the Table 6 footnote (χ² = 5.30, df = 7, P = 0.626, indicating adequate fit). Model discrimination was assessed by the AUC = 0.827 (95% CI: 0.752–0.902).</w:t>
      </w:r>
    </w:p>
    <w:p w:rsidR="00000000" w:rsidDel="00000000" w:rsidP="00000000" w:rsidRDefault="00000000" w:rsidRPr="00000000" w14:paraId="000000C2">
      <w:pPr>
        <w:spacing w:after="100" w:lineRule="auto"/>
        <w:jc w:val="both"/>
        <w:rPr/>
      </w:pPr>
      <w:r w:rsidDel="00000000" w:rsidR="00000000" w:rsidRPr="00000000">
        <w:rPr>
          <w:b w:val="1"/>
          <w:bCs w:val="1"/>
          <w:rtl w:val="0"/>
        </w:rPr>
        <w:t xml:space="preserve">(5) </w:t>
      </w:r>
      <w:r w:rsidDel="00000000" w:rsidR="00000000" w:rsidRPr="00000000">
        <w:rPr>
          <w:rtl w:val="0"/>
        </w:rPr>
        <w:t xml:space="preserve">A sensitivity analysis using Firth's penalized likelihood logistic regression was performed to address the low events-per-variable ratio (EPV = 5:1). Results are reported in Supplementary Table S1 and showed consistent direction and magnitude of associations.</w:t>
      </w:r>
    </w:p>
    <w:p w:rsidR="00000000" w:rsidDel="00000000" w:rsidP="00000000" w:rsidRDefault="00000000" w:rsidRPr="00000000" w14:paraId="000000C3">
      <w:pPr>
        <w:spacing w:after="200" w:lineRule="auto"/>
        <w:jc w:val="both"/>
        <w:rPr/>
      </w:pPr>
      <w:r w:rsidDel="00000000" w:rsidR="00000000" w:rsidRPr="00000000">
        <w:rPr>
          <w:b w:val="1"/>
          <w:bCs w:val="1"/>
          <w:rtl w:val="0"/>
        </w:rPr>
        <w:t xml:space="preserve">(6) </w:t>
      </w:r>
      <w:r w:rsidDel="00000000" w:rsidR="00000000" w:rsidRPr="00000000">
        <w:rPr>
          <w:rtl w:val="0"/>
        </w:rPr>
        <w:t xml:space="preserve">The cutoff of TC &lt; 150 mg/dL used in the multivariate model differs from the ROC-optimal cutoff of ≤ 130 mg/dL. This discrepancy is explicitly justified in the Statistical analysis subsection as a trade-off between statistical optimization and clinical generalizability, with reference to prior literature (Horwich et al. [7] used &lt; 160 mg/dL).</w:t>
      </w:r>
    </w:p>
    <w:p w:rsidR="00000000" w:rsidDel="00000000" w:rsidP="00000000" w:rsidRDefault="00000000" w:rsidRPr="00000000" w14:paraId="000000C4">
      <w:pPr>
        <w:spacing w:after="120" w:lineRule="auto"/>
        <w:ind w:firstLine="480"/>
        <w:jc w:val="both"/>
        <w:rPr/>
      </w:pPr>
      <w:r w:rsidDel="00000000" w:rsidR="00000000" w:rsidRPr="00000000">
        <w:rPr>
          <w:b w:val="1"/>
          <w:bCs w:val="1"/>
          <w:rtl w:val="0"/>
        </w:rPr>
        <w:t xml:space="preserve">Status: The manuscript fully complies with all 22 STROBE checklist items for cohort studies. This checklist is submitted as Supplementary File 1, and the participant flow diagram (Figure 1) is provided as a manuscript figure. No further STROBE-related revisions are required prior to journal submission.</w:t>
      </w:r>
      <w:r w:rsidDel="00000000" w:rsidR="00000000" w:rsidRPr="00000000">
        <w:rPr>
          <w:rtl w:val="0"/>
        </w:rPr>
      </w:r>
    </w:p>
    <w:p w:rsidR="00000000" w:rsidDel="00000000" w:rsidP="00000000" w:rsidRDefault="00000000" w:rsidRPr="00000000" w14:paraId="000000C5">
      <w:pPr>
        <w:spacing w:after="360" w:lineRule="auto"/>
        <w:rPr/>
      </w:pPr>
      <w:r w:rsidDel="00000000" w:rsidR="00000000" w:rsidRPr="00000000">
        <w:rPr>
          <w:rtl w:val="0"/>
        </w:rPr>
      </w:r>
    </w:p>
    <w:p w:rsidR="00000000" w:rsidDel="00000000" w:rsidP="00000000" w:rsidRDefault="00000000" w:rsidRPr="00000000" w14:paraId="000000C6">
      <w:pPr>
        <w:pBdr>
          <w:top w:color="8b7e5a" w:space="8" w:sz="6" w:val="single"/>
        </w:pBdr>
        <w:spacing w:after="80" w:before="240" w:line="280" w:lineRule="auto"/>
        <w:rPr/>
      </w:pPr>
      <w:r w:rsidDel="00000000" w:rsidR="00000000" w:rsidRPr="00000000">
        <w:rPr>
          <w:b w:val="1"/>
          <w:bCs w:val="1"/>
          <w:color w:val="334155"/>
          <w:sz w:val="20"/>
          <w:szCs w:val="20"/>
          <w:rtl w:val="0"/>
        </w:rPr>
        <w:t xml:space="preserve">STROBE reference: </w:t>
      </w:r>
      <w:r w:rsidDel="00000000" w:rsidR="00000000" w:rsidRPr="00000000">
        <w:rPr>
          <w:i w:val="1"/>
          <w:iCs w:val="1"/>
          <w:color w:val="334155"/>
          <w:sz w:val="20"/>
          <w:szCs w:val="20"/>
          <w:rtl w:val="0"/>
        </w:rPr>
        <w:t xml:space="preserve">von Elm E, Altman DG, Egger M, Pocock SJ, Gøtzsche PC, Vandenbroucke JP, et al. The Strengthening the Reporting of Observational Studies in Epidemiology (STROBE) statement: guidelines for reporting observational studies. Lancet. 2007;370(9596):1453–7. https://doi.org/10.1016/S0140-6736(07)61602-X</w:t>
      </w:r>
      <w:r w:rsidDel="00000000" w:rsidR="00000000" w:rsidRPr="00000000">
        <w:rPr>
          <w:rtl w:val="0"/>
        </w:rPr>
      </w:r>
    </w:p>
    <w:p w:rsidR="00000000" w:rsidDel="00000000" w:rsidP="00000000" w:rsidRDefault="00000000" w:rsidRPr="00000000" w14:paraId="000000C7">
      <w:pPr>
        <w:spacing w:after="240" w:line="280" w:lineRule="auto"/>
        <w:rPr/>
      </w:pPr>
      <w:r w:rsidDel="00000000" w:rsidR="00000000" w:rsidRPr="00000000">
        <w:rPr>
          <w:b w:val="1"/>
          <w:bCs w:val="1"/>
          <w:color w:val="334155"/>
          <w:sz w:val="20"/>
          <w:szCs w:val="20"/>
          <w:rtl w:val="0"/>
        </w:rPr>
        <w:t xml:space="preserve">STROBE website: </w:t>
      </w:r>
      <w:r w:rsidDel="00000000" w:rsidR="00000000" w:rsidRPr="00000000">
        <w:rPr>
          <w:i w:val="1"/>
          <w:iCs w:val="1"/>
          <w:color w:val="334155"/>
          <w:sz w:val="20"/>
          <w:szCs w:val="20"/>
          <w:rtl w:val="0"/>
        </w:rPr>
        <w:t xml:space="preserve">www.strobe-statement.org</w:t>
      </w:r>
      <w:r w:rsidDel="00000000" w:rsidR="00000000" w:rsidRPr="00000000">
        <w:rPr>
          <w:rtl w:val="0"/>
        </w:rPr>
      </w:r>
    </w:p>
    <w:p w:rsidR="00000000" w:rsidDel="00000000" w:rsidP="00000000" w:rsidRDefault="00000000" w:rsidRPr="00000000" w14:paraId="000000C8">
      <w:pPr>
        <w:pBdr>
          <w:top w:color="8b7e5a" w:space="8" w:sz="4" w:val="single"/>
        </w:pBdr>
        <w:spacing w:before="240" w:lineRule="auto"/>
        <w:jc w:val="center"/>
        <w:rPr/>
      </w:pPr>
      <w:r w:rsidDel="00000000" w:rsidR="00000000" w:rsidRPr="00000000">
        <w:rPr>
          <w:i w:val="1"/>
          <w:iCs w:val="1"/>
          <w:color w:val="334155"/>
          <w:sz w:val="20"/>
          <w:szCs w:val="20"/>
          <w:rtl w:val="0"/>
        </w:rPr>
        <w:t xml:space="preserve">— End of STROBE Checklist —</w:t>
      </w:r>
      <w:r w:rsidDel="00000000" w:rsidR="00000000" w:rsidRPr="00000000">
        <w:rPr>
          <w:rtl w:val="0"/>
        </w:rPr>
      </w:r>
    </w:p>
    <w:sectPr>
      <w:headerReference r:id="rId6" w:type="default"/>
      <w:footerReference r:id="rId7" w:type="default"/>
      <w:type w:val="nextPage"/>
      <w:pgSz w:h="11906" w:w="16838" w:orient="landscape"/>
      <w:pgMar w:bottom="1134" w:top="1134"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A">
    <w:pPr>
      <w:bidi w:val="1"/>
      <w:jc w:val="center"/>
      <w:rPr/>
    </w:pPr>
    <w:r w:rsidDel="00000000" w:rsidR="00000000" w:rsidRPr="00000000">
      <w:rPr>
        <w:color w:val="334155"/>
        <w:sz w:val="20"/>
        <w:szCs w:val="2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bidi w:val="1"/>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bidi w:val="1"/>
        <w:spacing w:line="312"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360" w:line="312" w:lineRule="auto"/>
      <w:ind w:left="0" w:right="0" w:firstLine="0"/>
      <w:jc w:val="left"/>
    </w:pPr>
    <w:rPr>
      <w:rFonts w:ascii="Times New Roman" w:cs="Times New Roman" w:eastAsia="Times New Roman" w:hAnsi="Times New Roman"/>
      <w:b w:val="1"/>
      <w:bCs w:val="1"/>
      <w:i w:val="0"/>
      <w:iCs w:val="0"/>
      <w:smallCaps w:val="0"/>
      <w:strike w:val="0"/>
      <w:color w:val="0b1f3a"/>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80" w:line="312" w:lineRule="auto"/>
      <w:ind w:left="0" w:right="0" w:firstLine="0"/>
      <w:jc w:val="left"/>
    </w:pPr>
    <w:rPr>
      <w:rFonts w:ascii="Times New Roman" w:cs="Times New Roman" w:eastAsia="Times New Roman" w:hAnsi="Times New Roman"/>
      <w:b w:val="1"/>
      <w:bCs w:val="1"/>
      <w:i w:val="0"/>
      <w:iCs w:val="0"/>
      <w:smallCaps w:val="0"/>
      <w:strike w:val="0"/>
      <w:color w:val="0b1f3a"/>
      <w:sz w:val="28"/>
      <w:szCs w:val="28"/>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00" w:line="312" w:lineRule="auto"/>
      <w:ind w:left="0" w:right="0" w:firstLine="0"/>
      <w:jc w:val="left"/>
    </w:pPr>
    <w:rPr>
      <w:rFonts w:ascii="Times New Roman" w:cs="Times New Roman" w:eastAsia="Times New Roman" w:hAnsi="Times New Roman"/>
      <w:b w:val="1"/>
      <w:bCs w:val="1"/>
      <w:i w:val="0"/>
      <w:iCs w:val="0"/>
      <w:smallCaps w:val="0"/>
      <w:strike w:val="0"/>
      <w:color w:val="334155"/>
      <w:sz w:val="26"/>
      <w:szCs w:val="26"/>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left"/>
    </w:pPr>
    <w:rPr>
      <w:rFonts w:ascii="Times New Roman" w:cs="Times New Roman" w:eastAsia="Times New Roman" w:hAnsi="Times New Roman"/>
      <w:b w:val="0"/>
      <w:bCs w:val="0"/>
      <w:i w:val="1"/>
      <w:iCs w:val="1"/>
      <w:smallCaps w:val="0"/>
      <w:strike w:val="0"/>
      <w:color w:val="2e74b5"/>
      <w:sz w:val="24"/>
      <w:szCs w:val="24"/>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left"/>
    </w:pPr>
    <w:rPr>
      <w:rFonts w:ascii="Times New Roman" w:cs="Times New Roman" w:eastAsia="Times New Roman" w:hAnsi="Times New Roman"/>
      <w:b w:val="0"/>
      <w:bCs w:val="0"/>
      <w:i w:val="0"/>
      <w:iCs w:val="0"/>
      <w:smallCaps w:val="0"/>
      <w:strike w:val="0"/>
      <w:color w:val="2e74b5"/>
      <w:sz w:val="24"/>
      <w:szCs w:val="24"/>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