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EC6EC" w14:textId="77777777" w:rsidR="003D595E" w:rsidRDefault="003D595E" w:rsidP="003D595E">
      <w:pPr>
        <w:pStyle w:val="Heading1"/>
        <w:pBdr>
          <w:bottom w:val="single" w:sz="8" w:space="4" w:color="8B7E5A"/>
        </w:pBdr>
      </w:pPr>
      <w:r>
        <w:t>Supplementary Table S1</w:t>
      </w:r>
    </w:p>
    <w:p w14:paraId="7AE23934" w14:textId="77777777" w:rsidR="003D595E" w:rsidRDefault="003D595E" w:rsidP="003D595E">
      <w:pPr>
        <w:bidi w:val="0"/>
        <w:spacing w:after="120"/>
        <w:jc w:val="both"/>
      </w:pPr>
      <w:r>
        <w:rPr>
          <w:i/>
          <w:iCs/>
        </w:rPr>
        <w:t>Comparison of Standard Maximum-Likelihood Logistic Regression and Firth Penalized Likelihood Logistic Regression for Predictors of In-Hospital Mortality</w:t>
      </w:r>
    </w:p>
    <w:tbl>
      <w:tblPr>
        <w:tblW w:w="5000" w:type="pct"/>
        <w:tblInd w:w="-15" w:type="dxa"/>
        <w:tblBorders>
          <w:top w:val="single" w:sz="6" w:space="0" w:color="0B1F3A"/>
          <w:left w:val="single" w:sz="4" w:space="0" w:color="C9CDD2"/>
          <w:bottom w:val="single" w:sz="6" w:space="0" w:color="0B1F3A"/>
          <w:right w:val="single" w:sz="4" w:space="0" w:color="C9CDD2"/>
          <w:insideH w:val="single" w:sz="4" w:space="0" w:color="C9CDD2"/>
          <w:insideV w:val="single" w:sz="4" w:space="0" w:color="C9CDD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9"/>
        <w:gridCol w:w="1610"/>
        <w:gridCol w:w="1121"/>
        <w:gridCol w:w="1574"/>
        <w:gridCol w:w="1145"/>
        <w:gridCol w:w="1279"/>
      </w:tblGrid>
      <w:tr w:rsidR="003D595E" w14:paraId="5EA09951" w14:textId="77777777" w:rsidTr="00567773">
        <w:trPr>
          <w:cantSplit/>
          <w:tblHeader/>
        </w:trPr>
        <w:tc>
          <w:tcPr>
            <w:tcW w:w="1200" w:type="pct"/>
            <w:shd w:val="clear" w:color="auto" w:fill="0B1F3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96831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Variable</w:t>
            </w:r>
          </w:p>
        </w:tc>
        <w:tc>
          <w:tcPr>
            <w:tcW w:w="950" w:type="pct"/>
            <w:shd w:val="clear" w:color="auto" w:fill="0B1F3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EF3A6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Standard ML AOR (95% CI)</w:t>
            </w:r>
          </w:p>
        </w:tc>
        <w:tc>
          <w:tcPr>
            <w:tcW w:w="650" w:type="pct"/>
            <w:shd w:val="clear" w:color="auto" w:fill="0B1F3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35E499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Standard ML P-value</w:t>
            </w:r>
          </w:p>
        </w:tc>
        <w:tc>
          <w:tcPr>
            <w:tcW w:w="950" w:type="pct"/>
            <w:shd w:val="clear" w:color="auto" w:fill="0B1F3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8F8B62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Firth Penalized AOR (95% CI)</w:t>
            </w:r>
          </w:p>
        </w:tc>
        <w:tc>
          <w:tcPr>
            <w:tcW w:w="650" w:type="pct"/>
            <w:shd w:val="clear" w:color="auto" w:fill="0B1F3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32B95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Firth Penalized P-value</w:t>
            </w:r>
          </w:p>
        </w:tc>
        <w:tc>
          <w:tcPr>
            <w:tcW w:w="600" w:type="pct"/>
            <w:shd w:val="clear" w:color="auto" w:fill="0B1F3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BCC13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Agreement</w:t>
            </w:r>
          </w:p>
        </w:tc>
      </w:tr>
      <w:tr w:rsidR="003D595E" w14:paraId="57D1FA99" w14:textId="77777777" w:rsidTr="00567773">
        <w:trPr>
          <w:cantSplit/>
        </w:trPr>
        <w:tc>
          <w:tcPr>
            <w:tcW w:w="120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69CE7" w14:textId="77777777" w:rsidR="003D595E" w:rsidRDefault="003D595E" w:rsidP="00567773">
            <w:pPr>
              <w:bidi w:val="0"/>
              <w:spacing w:line="240" w:lineRule="auto"/>
            </w:pPr>
            <w:r>
              <w:rPr>
                <w:sz w:val="22"/>
                <w:szCs w:val="22"/>
              </w:rPr>
              <w:t>O₂ saturation &lt; 90%</w:t>
            </w:r>
          </w:p>
        </w:tc>
        <w:tc>
          <w:tcPr>
            <w:tcW w:w="9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E3A03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2.68 (1.22–5.88)</w:t>
            </w:r>
          </w:p>
        </w:tc>
        <w:tc>
          <w:tcPr>
            <w:tcW w:w="6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454BC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0.014</w:t>
            </w:r>
          </w:p>
        </w:tc>
        <w:tc>
          <w:tcPr>
            <w:tcW w:w="9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93B3B9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2.61 (1.18–5.97)</w:t>
            </w:r>
          </w:p>
        </w:tc>
        <w:tc>
          <w:tcPr>
            <w:tcW w:w="6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28AC3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0.018</w:t>
            </w:r>
          </w:p>
        </w:tc>
        <w:tc>
          <w:tcPr>
            <w:tcW w:w="60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722A6B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✓</w:t>
            </w:r>
          </w:p>
        </w:tc>
      </w:tr>
      <w:tr w:rsidR="003D595E" w14:paraId="2017BB8E" w14:textId="77777777" w:rsidTr="00567773">
        <w:trPr>
          <w:cantSplit/>
        </w:trPr>
        <w:tc>
          <w:tcPr>
            <w:tcW w:w="120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7B479" w14:textId="77777777" w:rsidR="003D595E" w:rsidRDefault="003D595E" w:rsidP="00567773">
            <w:pPr>
              <w:bidi w:val="0"/>
              <w:spacing w:line="240" w:lineRule="auto"/>
            </w:pPr>
            <w:r>
              <w:rPr>
                <w:sz w:val="22"/>
                <w:szCs w:val="22"/>
              </w:rPr>
              <w:t>TC &lt; 150 mg/dL</w:t>
            </w:r>
          </w:p>
        </w:tc>
        <w:tc>
          <w:tcPr>
            <w:tcW w:w="9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234738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2.38 (1.12–5.06)</w:t>
            </w:r>
          </w:p>
        </w:tc>
        <w:tc>
          <w:tcPr>
            <w:tcW w:w="6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01133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0.024</w:t>
            </w:r>
          </w:p>
        </w:tc>
        <w:tc>
          <w:tcPr>
            <w:tcW w:w="9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0B3E8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2.32 (1.07–5.18)</w:t>
            </w:r>
          </w:p>
        </w:tc>
        <w:tc>
          <w:tcPr>
            <w:tcW w:w="6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2B814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0.031</w:t>
            </w:r>
          </w:p>
        </w:tc>
        <w:tc>
          <w:tcPr>
            <w:tcW w:w="60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2CA736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✓</w:t>
            </w:r>
          </w:p>
        </w:tc>
      </w:tr>
      <w:tr w:rsidR="003D595E" w14:paraId="6B117117" w14:textId="77777777" w:rsidTr="00567773">
        <w:trPr>
          <w:cantSplit/>
        </w:trPr>
        <w:tc>
          <w:tcPr>
            <w:tcW w:w="120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2F081" w14:textId="77777777" w:rsidR="003D595E" w:rsidRDefault="003D595E" w:rsidP="00567773">
            <w:pPr>
              <w:bidi w:val="0"/>
              <w:spacing w:line="240" w:lineRule="auto"/>
            </w:pPr>
            <w:r>
              <w:rPr>
                <w:sz w:val="22"/>
                <w:szCs w:val="22"/>
              </w:rPr>
              <w:t>NYHA Class IV</w:t>
            </w:r>
          </w:p>
        </w:tc>
        <w:tc>
          <w:tcPr>
            <w:tcW w:w="9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516E5D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2.24 (1.06–4.72)</w:t>
            </w:r>
          </w:p>
        </w:tc>
        <w:tc>
          <w:tcPr>
            <w:tcW w:w="6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03B609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0.035</w:t>
            </w:r>
          </w:p>
        </w:tc>
        <w:tc>
          <w:tcPr>
            <w:tcW w:w="9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B3F5A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2.18 (1.01–4.85)</w:t>
            </w:r>
          </w:p>
        </w:tc>
        <w:tc>
          <w:tcPr>
            <w:tcW w:w="6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A2F7E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0.042</w:t>
            </w:r>
          </w:p>
        </w:tc>
        <w:tc>
          <w:tcPr>
            <w:tcW w:w="60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ACDFC6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✓</w:t>
            </w:r>
          </w:p>
        </w:tc>
      </w:tr>
      <w:tr w:rsidR="003D595E" w14:paraId="648842AE" w14:textId="77777777" w:rsidTr="00567773">
        <w:trPr>
          <w:cantSplit/>
        </w:trPr>
        <w:tc>
          <w:tcPr>
            <w:tcW w:w="120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C681C" w14:textId="77777777" w:rsidR="003D595E" w:rsidRDefault="003D595E" w:rsidP="00567773">
            <w:pPr>
              <w:bidi w:val="0"/>
              <w:spacing w:line="240" w:lineRule="auto"/>
            </w:pPr>
            <w:r>
              <w:rPr>
                <w:sz w:val="22"/>
                <w:szCs w:val="22"/>
              </w:rPr>
              <w:t>Age ≥ 70 years</w:t>
            </w:r>
          </w:p>
        </w:tc>
        <w:tc>
          <w:tcPr>
            <w:tcW w:w="9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2AB41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2.12 (1.08–4.16)</w:t>
            </w:r>
          </w:p>
        </w:tc>
        <w:tc>
          <w:tcPr>
            <w:tcW w:w="6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08F1E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0.029</w:t>
            </w:r>
          </w:p>
        </w:tc>
        <w:tc>
          <w:tcPr>
            <w:tcW w:w="9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F35B6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2.07 (1.04–4.24)</w:t>
            </w:r>
          </w:p>
        </w:tc>
        <w:tc>
          <w:tcPr>
            <w:tcW w:w="6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4C495C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0.035</w:t>
            </w:r>
          </w:p>
        </w:tc>
        <w:tc>
          <w:tcPr>
            <w:tcW w:w="60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A6F16B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✓</w:t>
            </w:r>
          </w:p>
        </w:tc>
      </w:tr>
      <w:tr w:rsidR="003D595E" w14:paraId="01D4B71A" w14:textId="77777777" w:rsidTr="00567773">
        <w:trPr>
          <w:cantSplit/>
        </w:trPr>
        <w:tc>
          <w:tcPr>
            <w:tcW w:w="120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2E6E4" w14:textId="77777777" w:rsidR="003D595E" w:rsidRDefault="003D595E" w:rsidP="00567773">
            <w:pPr>
              <w:bidi w:val="0"/>
              <w:spacing w:line="240" w:lineRule="auto"/>
            </w:pPr>
            <w:r>
              <w:rPr>
                <w:sz w:val="22"/>
                <w:szCs w:val="22"/>
              </w:rPr>
              <w:t>Sodium &lt; 135 mEq/L</w:t>
            </w:r>
          </w:p>
        </w:tc>
        <w:tc>
          <w:tcPr>
            <w:tcW w:w="9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093A5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2.04 (1.02–4.08)</w:t>
            </w:r>
          </w:p>
        </w:tc>
        <w:tc>
          <w:tcPr>
            <w:tcW w:w="6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CDA1C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0.044</w:t>
            </w:r>
          </w:p>
        </w:tc>
        <w:tc>
          <w:tcPr>
            <w:tcW w:w="9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854B6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1.99 (0.98–4.15)</w:t>
            </w:r>
          </w:p>
        </w:tc>
        <w:tc>
          <w:tcPr>
            <w:tcW w:w="65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6C393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0.051</w:t>
            </w:r>
          </w:p>
        </w:tc>
        <w:tc>
          <w:tcPr>
            <w:tcW w:w="600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9C919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✓*</w:t>
            </w:r>
          </w:p>
        </w:tc>
      </w:tr>
      <w:tr w:rsidR="003D595E" w14:paraId="3FED5C41" w14:textId="77777777" w:rsidTr="00567773">
        <w:trPr>
          <w:cantSplit/>
        </w:trPr>
        <w:tc>
          <w:tcPr>
            <w:tcW w:w="120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810D07" w14:textId="77777777" w:rsidR="003D595E" w:rsidRDefault="003D595E" w:rsidP="00567773">
            <w:pPr>
              <w:bidi w:val="0"/>
              <w:spacing w:line="240" w:lineRule="auto"/>
            </w:pPr>
            <w:r>
              <w:rPr>
                <w:sz w:val="22"/>
                <w:szCs w:val="22"/>
              </w:rPr>
              <w:t>LDL-C &lt; 88 mg/dL †</w:t>
            </w:r>
          </w:p>
        </w:tc>
        <w:tc>
          <w:tcPr>
            <w:tcW w:w="9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DA24E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1.89 (0.95–3.76)</w:t>
            </w:r>
          </w:p>
        </w:tc>
        <w:tc>
          <w:tcPr>
            <w:tcW w:w="6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8763B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0.069</w:t>
            </w:r>
          </w:p>
        </w:tc>
        <w:tc>
          <w:tcPr>
            <w:tcW w:w="9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CCA4DA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1.85 (0.91–3.89)</w:t>
            </w:r>
          </w:p>
        </w:tc>
        <w:tc>
          <w:tcPr>
            <w:tcW w:w="65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DD1CEE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sz w:val="22"/>
                <w:szCs w:val="22"/>
              </w:rPr>
              <w:t>0.085</w:t>
            </w:r>
          </w:p>
        </w:tc>
        <w:tc>
          <w:tcPr>
            <w:tcW w:w="600" w:type="pct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ABB937" w14:textId="77777777" w:rsidR="003D595E" w:rsidRDefault="003D595E" w:rsidP="00567773">
            <w:pPr>
              <w:bidi w:val="0"/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†</w:t>
            </w:r>
          </w:p>
        </w:tc>
      </w:tr>
    </w:tbl>
    <w:p w14:paraId="0FF90B66" w14:textId="77777777" w:rsidR="003D595E" w:rsidRDefault="003D595E" w:rsidP="003D595E">
      <w:pPr>
        <w:bidi w:val="0"/>
        <w:spacing w:after="160"/>
      </w:pPr>
    </w:p>
    <w:p w14:paraId="6036FD1A" w14:textId="77777777" w:rsidR="003D595E" w:rsidRDefault="003D595E" w:rsidP="003D595E">
      <w:pPr>
        <w:bidi w:val="0"/>
        <w:spacing w:after="80"/>
        <w:jc w:val="both"/>
      </w:pPr>
      <w:r>
        <w:rPr>
          <w:i/>
          <w:iCs/>
          <w:color w:val="334155"/>
          <w:sz w:val="20"/>
          <w:szCs w:val="20"/>
        </w:rPr>
        <w:t>AOR = adjusted odds ratio; CI = confidence interval; ML = maximum likelihood; TC = total cholesterol; LDL-C = low-density lipoprotein cholesterol; NYHA = New York Heart Association.</w:t>
      </w:r>
    </w:p>
    <w:p w14:paraId="3898BF5D" w14:textId="77777777" w:rsidR="003D595E" w:rsidRDefault="003D595E" w:rsidP="003D595E">
      <w:pPr>
        <w:bidi w:val="0"/>
        <w:spacing w:after="80"/>
        <w:jc w:val="both"/>
      </w:pPr>
      <w:r>
        <w:rPr>
          <w:i/>
          <w:iCs/>
          <w:color w:val="334155"/>
          <w:sz w:val="20"/>
          <w:szCs w:val="20"/>
        </w:rPr>
        <w:t>† Not retained as independent predictor (P &gt; 0.05) in either model.</w:t>
      </w:r>
    </w:p>
    <w:p w14:paraId="56F2225C" w14:textId="77777777" w:rsidR="003D595E" w:rsidRDefault="003D595E" w:rsidP="003D595E">
      <w:pPr>
        <w:bidi w:val="0"/>
        <w:spacing w:after="80"/>
        <w:jc w:val="both"/>
      </w:pPr>
      <w:r>
        <w:rPr>
          <w:i/>
          <w:iCs/>
          <w:color w:val="334155"/>
          <w:sz w:val="20"/>
          <w:szCs w:val="20"/>
        </w:rPr>
        <w:t>✓ Direction and significance consistent between standard ML and Firth models.</w:t>
      </w:r>
    </w:p>
    <w:p w14:paraId="221CF984" w14:textId="77777777" w:rsidR="003D595E" w:rsidRDefault="003D595E" w:rsidP="003D595E">
      <w:pPr>
        <w:bidi w:val="0"/>
        <w:spacing w:after="160"/>
        <w:jc w:val="both"/>
      </w:pPr>
      <w:r>
        <w:rPr>
          <w:i/>
          <w:iCs/>
          <w:color w:val="334155"/>
          <w:sz w:val="20"/>
          <w:szCs w:val="20"/>
        </w:rPr>
        <w:t>* Sodium &lt; 135 mEq/L reached borderline significance in the Firth model (P = 0.051), likely reflecting the small-sample correction rather than a true loss of association.</w:t>
      </w:r>
    </w:p>
    <w:p w14:paraId="4C9D0B7A" w14:textId="77777777" w:rsidR="003D595E" w:rsidRDefault="003D595E" w:rsidP="003D595E">
      <w:pPr>
        <w:bidi w:val="0"/>
        <w:spacing w:after="120"/>
        <w:ind w:firstLine="480"/>
        <w:jc w:val="both"/>
      </w:pPr>
      <w:r>
        <w:t>Firth's penalized likelihood logistic regression applies a bias-reduction penalty to the log-likelihood function, which has been shown to reduce small-sample bias and produce more reliable estimates when the number of events is limited (Firth, 1993). With 25 events and 5 predictor variables (EPV = 5), the Firth method provides a useful sensitivity check on the standard maximum-likelihood estimates.</w:t>
      </w:r>
    </w:p>
    <w:p w14:paraId="3FCE2EF2" w14:textId="77777777" w:rsidR="003D595E" w:rsidRDefault="003D595E" w:rsidP="003D595E">
      <w:pPr>
        <w:bidi w:val="0"/>
        <w:spacing w:after="120"/>
        <w:ind w:firstLine="480"/>
        <w:jc w:val="both"/>
      </w:pPr>
      <w:r>
        <w:t>Reference: Firth D. Bias reduction of maximum likelihood estimates. Biometrika. 1993;80(1):27–38. https://doi.org/10.1093/biomet/80.1.27</w:t>
      </w:r>
    </w:p>
    <w:p w14:paraId="63EBDBC5" w14:textId="77777777" w:rsidR="003D595E" w:rsidRDefault="003D595E" w:rsidP="003D595E">
      <w:pPr>
        <w:bidi w:val="0"/>
        <w:spacing w:after="360"/>
      </w:pPr>
    </w:p>
    <w:p w14:paraId="6A5AF6F2" w14:textId="77777777" w:rsidR="003D595E" w:rsidRDefault="003D595E" w:rsidP="003D595E">
      <w:pPr>
        <w:pBdr>
          <w:top w:val="single" w:sz="6" w:space="4" w:color="8B7E5A"/>
        </w:pBdr>
        <w:bidi w:val="0"/>
        <w:spacing w:before="240"/>
        <w:jc w:val="center"/>
      </w:pPr>
    </w:p>
    <w:p w14:paraId="3EC08EB6" w14:textId="77777777" w:rsidR="00E023F9" w:rsidRDefault="00E023F9"/>
    <w:sectPr w:rsidR="00E023F9" w:rsidSect="003D595E">
      <w:headerReference w:type="default" r:id="rId4"/>
      <w:footerReference w:type="default" r:id="rId5"/>
      <w:pgSz w:w="11906" w:h="16838"/>
      <w:pgMar w:top="1440" w:right="1417" w:bottom="1440" w:left="1701" w:header="850" w:footer="992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EEECE" w14:textId="77777777" w:rsidR="003D595E" w:rsidRPr="00C754A3" w:rsidRDefault="003D595E" w:rsidP="00C754A3">
    <w:pPr>
      <w:pStyle w:val="Footer"/>
      <w:rPr>
        <w:rtl/>
        <w:lang w:bidi="ar-SY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756BC" w14:textId="77777777" w:rsidR="003D595E" w:rsidRPr="00C754A3" w:rsidRDefault="003D595E" w:rsidP="00C754A3">
    <w:pPr>
      <w:pStyle w:val="Header"/>
      <w:rPr>
        <w:rtl/>
        <w:lang w:bidi="ar-SY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95E"/>
    <w:rsid w:val="000C4033"/>
    <w:rsid w:val="00173ED8"/>
    <w:rsid w:val="002F50B1"/>
    <w:rsid w:val="003D595E"/>
    <w:rsid w:val="004B42CB"/>
    <w:rsid w:val="005F2B46"/>
    <w:rsid w:val="006E1731"/>
    <w:rsid w:val="00866D74"/>
    <w:rsid w:val="00882A73"/>
    <w:rsid w:val="00906905"/>
    <w:rsid w:val="0095305D"/>
    <w:rsid w:val="00AC1118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46B29"/>
  <w15:chartTrackingRefBased/>
  <w15:docId w15:val="{91798C04-1316-4657-B91D-BFC75A18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95E"/>
    <w:pPr>
      <w:bidi/>
      <w:spacing w:after="0" w:line="312" w:lineRule="auto"/>
    </w:pPr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D595E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95E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95E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95E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95E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95E"/>
    <w:pPr>
      <w:keepNext/>
      <w:keepLines/>
      <w:bidi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95E"/>
    <w:pPr>
      <w:keepNext/>
      <w:keepLines/>
      <w:bidi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95E"/>
    <w:pPr>
      <w:keepNext/>
      <w:keepLines/>
      <w:bidi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95E"/>
    <w:pPr>
      <w:keepNext/>
      <w:keepLines/>
      <w:bidi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9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9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95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95E"/>
    <w:pPr>
      <w:numPr>
        <w:ilvl w:val="1"/>
      </w:numPr>
      <w:bidi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95E"/>
    <w:pPr>
      <w:bidi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5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95E"/>
    <w:pPr>
      <w:bidi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59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9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9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595E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95E"/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595E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95E"/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2026-10-29T15:10:00Z</dcterms:created>
  <dcterms:modified xsi:type="dcterms:W3CDTF">2026-10-29T15:10:00Z</dcterms:modified>
</cp:coreProperties>
</file>