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E66" w:rsidRPr="004A148F" w:rsidRDefault="00BD3E66" w:rsidP="00BD3E66">
      <w:pPr>
        <w:pStyle w:val="ResimYazs"/>
        <w:keepNext/>
        <w:jc w:val="both"/>
      </w:pPr>
      <w:proofErr w:type="gramStart"/>
      <w:r w:rsidRPr="004A148F">
        <w:rPr>
          <w:rFonts w:eastAsia="Times New Roman"/>
        </w:rPr>
        <w:t>Table 3.</w:t>
      </w:r>
      <w:proofErr w:type="gramEnd"/>
      <w:r w:rsidRPr="004A148F">
        <w:rPr>
          <w:rFonts w:eastAsia="Times New Roman"/>
        </w:rPr>
        <w:t xml:space="preserve"> </w:t>
      </w:r>
      <w:proofErr w:type="gramStart"/>
      <w:r w:rsidRPr="004A148F">
        <w:rPr>
          <w:rFonts w:eastAsia="Times New Roman"/>
          <w:b w:val="0"/>
        </w:rPr>
        <w:t>Cross-tabulation of anti-</w:t>
      </w:r>
      <w:r w:rsidRPr="004A148F">
        <w:rPr>
          <w:rFonts w:eastAsia="Times New Roman"/>
          <w:b w:val="0"/>
          <w:i/>
        </w:rPr>
        <w:t>T.</w:t>
      </w:r>
      <w:proofErr w:type="gramEnd"/>
      <w:r w:rsidRPr="004A148F">
        <w:rPr>
          <w:rFonts w:eastAsia="Times New Roman"/>
          <w:b w:val="0"/>
          <w:i/>
        </w:rPr>
        <w:t xml:space="preserve"> </w:t>
      </w:r>
      <w:proofErr w:type="spellStart"/>
      <w:proofErr w:type="gramStart"/>
      <w:r w:rsidRPr="004A148F">
        <w:rPr>
          <w:rFonts w:eastAsia="Times New Roman"/>
          <w:b w:val="0"/>
          <w:i/>
        </w:rPr>
        <w:t>gondii</w:t>
      </w:r>
      <w:proofErr w:type="spellEnd"/>
      <w:proofErr w:type="gramEnd"/>
      <w:r w:rsidRPr="004A148F">
        <w:rPr>
          <w:rFonts w:eastAsia="Times New Roman"/>
          <w:b w:val="0"/>
        </w:rPr>
        <w:t xml:space="preserve"> </w:t>
      </w:r>
      <w:proofErr w:type="spellStart"/>
      <w:r w:rsidRPr="004A148F">
        <w:rPr>
          <w:rFonts w:eastAsia="Times New Roman"/>
          <w:b w:val="0"/>
        </w:rPr>
        <w:t>IgG</w:t>
      </w:r>
      <w:proofErr w:type="spellEnd"/>
      <w:r w:rsidRPr="004A148F">
        <w:rPr>
          <w:rFonts w:eastAsia="Times New Roman"/>
          <w:b w:val="0"/>
        </w:rPr>
        <w:t xml:space="preserve"> and buffy-coat RE-PCR results</w:t>
      </w:r>
    </w:p>
    <w:tbl>
      <w:tblPr>
        <w:tblStyle w:val="TabloKlavuzu"/>
        <w:tblW w:w="9072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3155"/>
        <w:gridCol w:w="2169"/>
        <w:gridCol w:w="2169"/>
        <w:gridCol w:w="1579"/>
      </w:tblGrid>
      <w:tr w:rsidR="00BD3E66" w:rsidRPr="004A148F" w:rsidTr="00F70153">
        <w:trPr>
          <w:trHeight w:val="351"/>
          <w:tblHeader/>
        </w:trPr>
        <w:tc>
          <w:tcPr>
            <w:tcW w:w="3155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D3E66" w:rsidRPr="004A148F" w:rsidRDefault="00BD3E66" w:rsidP="00F70153">
            <w:pPr>
              <w:spacing w:after="0" w:line="240" w:lineRule="auto"/>
              <w:jc w:val="both"/>
            </w:pPr>
            <w:proofErr w:type="spellStart"/>
            <w:r w:rsidRPr="004A148F">
              <w:rPr>
                <w:rFonts w:eastAsia="Times New Roman"/>
                <w:b/>
                <w:sz w:val="18"/>
              </w:rPr>
              <w:t>IgG</w:t>
            </w:r>
            <w:proofErr w:type="spellEnd"/>
            <w:r w:rsidRPr="004A148F">
              <w:rPr>
                <w:rFonts w:eastAsia="Times New Roman"/>
                <w:b/>
                <w:sz w:val="18"/>
              </w:rPr>
              <w:t xml:space="preserve"> result</w:t>
            </w:r>
          </w:p>
        </w:tc>
        <w:tc>
          <w:tcPr>
            <w:tcW w:w="2169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D3E66" w:rsidRPr="004A148F" w:rsidRDefault="00BD3E66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b/>
                <w:sz w:val="18"/>
              </w:rPr>
              <w:t>PCR positive</w:t>
            </w:r>
          </w:p>
        </w:tc>
        <w:tc>
          <w:tcPr>
            <w:tcW w:w="2169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D3E66" w:rsidRPr="004A148F" w:rsidRDefault="00BD3E66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b/>
                <w:sz w:val="18"/>
              </w:rPr>
              <w:t>PCR negative</w:t>
            </w:r>
          </w:p>
        </w:tc>
        <w:tc>
          <w:tcPr>
            <w:tcW w:w="1579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D3E66" w:rsidRPr="004A148F" w:rsidRDefault="00BD3E66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b/>
                <w:sz w:val="18"/>
              </w:rPr>
              <w:t>Total</w:t>
            </w:r>
          </w:p>
        </w:tc>
      </w:tr>
      <w:tr w:rsidR="00BD3E66" w:rsidRPr="004A148F" w:rsidTr="00F70153">
        <w:tc>
          <w:tcPr>
            <w:tcW w:w="315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D3E66" w:rsidRPr="004A148F" w:rsidRDefault="00BD3E66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Positive</w:t>
            </w:r>
          </w:p>
        </w:tc>
        <w:tc>
          <w:tcPr>
            <w:tcW w:w="216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D3E66" w:rsidRPr="004A148F" w:rsidRDefault="00BD3E66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0</w:t>
            </w:r>
          </w:p>
        </w:tc>
        <w:tc>
          <w:tcPr>
            <w:tcW w:w="216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D3E66" w:rsidRPr="004A148F" w:rsidRDefault="00BD3E66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38</w:t>
            </w:r>
          </w:p>
        </w:tc>
        <w:tc>
          <w:tcPr>
            <w:tcW w:w="157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D3E66" w:rsidRPr="004A148F" w:rsidRDefault="00BD3E66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38</w:t>
            </w:r>
          </w:p>
        </w:tc>
      </w:tr>
      <w:tr w:rsidR="00BD3E66" w:rsidRPr="004A148F" w:rsidTr="00F70153">
        <w:tc>
          <w:tcPr>
            <w:tcW w:w="315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D3E66" w:rsidRPr="004A148F" w:rsidRDefault="00BD3E66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Negative</w:t>
            </w:r>
          </w:p>
        </w:tc>
        <w:tc>
          <w:tcPr>
            <w:tcW w:w="216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D3E66" w:rsidRPr="004A148F" w:rsidRDefault="00BD3E66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2</w:t>
            </w:r>
          </w:p>
        </w:tc>
        <w:tc>
          <w:tcPr>
            <w:tcW w:w="216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D3E66" w:rsidRPr="004A148F" w:rsidRDefault="00BD3E66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95</w:t>
            </w:r>
          </w:p>
        </w:tc>
        <w:tc>
          <w:tcPr>
            <w:tcW w:w="157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D3E66" w:rsidRPr="004A148F" w:rsidRDefault="00BD3E66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97</w:t>
            </w:r>
          </w:p>
        </w:tc>
      </w:tr>
      <w:tr w:rsidR="00BD3E66" w:rsidRPr="004A148F" w:rsidTr="00F70153">
        <w:tc>
          <w:tcPr>
            <w:tcW w:w="31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D3E66" w:rsidRPr="004A148F" w:rsidRDefault="00BD3E66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b/>
                <w:sz w:val="18"/>
              </w:rPr>
              <w:t>Total</w:t>
            </w:r>
          </w:p>
        </w:tc>
        <w:tc>
          <w:tcPr>
            <w:tcW w:w="2169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D3E66" w:rsidRPr="004A148F" w:rsidRDefault="00BD3E66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b/>
                <w:sz w:val="18"/>
              </w:rPr>
              <w:t>2</w:t>
            </w:r>
          </w:p>
        </w:tc>
        <w:tc>
          <w:tcPr>
            <w:tcW w:w="2169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D3E66" w:rsidRPr="004A148F" w:rsidRDefault="00BD3E66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b/>
                <w:sz w:val="18"/>
              </w:rPr>
              <w:t>133</w:t>
            </w:r>
          </w:p>
        </w:tc>
        <w:tc>
          <w:tcPr>
            <w:tcW w:w="1579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BD3E66" w:rsidRPr="004A148F" w:rsidRDefault="00BD3E66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b/>
                <w:sz w:val="18"/>
              </w:rPr>
              <w:t>135</w:t>
            </w:r>
          </w:p>
        </w:tc>
      </w:tr>
    </w:tbl>
    <w:p w:rsidR="00BD3E66" w:rsidRPr="004A148F" w:rsidRDefault="00BD3E66" w:rsidP="00BD3E66">
      <w:pPr>
        <w:pStyle w:val="TableNote"/>
        <w:jc w:val="both"/>
      </w:pPr>
      <w:r w:rsidRPr="004A148F">
        <w:rPr>
          <w:rFonts w:eastAsia="Times New Roman"/>
          <w:i/>
        </w:rPr>
        <w:t xml:space="preserve">Note. </w:t>
      </w:r>
      <w:r w:rsidRPr="004A148F">
        <w:rPr>
          <w:rFonts w:eastAsia="Times New Roman"/>
        </w:rPr>
        <w:t xml:space="preserve">Raw agreement was 70.4% (95/135). Cohen's kappa = -0.03 (p=0.37). </w:t>
      </w:r>
      <w:proofErr w:type="spellStart"/>
      <w:r w:rsidRPr="004A148F">
        <w:rPr>
          <w:rFonts w:eastAsia="Times New Roman"/>
        </w:rPr>
        <w:t>IgG</w:t>
      </w:r>
      <w:proofErr w:type="spellEnd"/>
      <w:r w:rsidRPr="004A148F">
        <w:rPr>
          <w:rFonts w:eastAsia="Times New Roman"/>
        </w:rPr>
        <w:t xml:space="preserve"> and PCR were not treated as reference standards for one another. </w:t>
      </w:r>
      <w:proofErr w:type="spellStart"/>
      <w:r w:rsidRPr="004A148F">
        <w:rPr>
          <w:rFonts w:eastAsia="Times New Roman"/>
        </w:rPr>
        <w:t>IgG</w:t>
      </w:r>
      <w:proofErr w:type="spellEnd"/>
      <w:r w:rsidRPr="004A148F">
        <w:rPr>
          <w:rFonts w:eastAsia="Times New Roman"/>
        </w:rPr>
        <w:t>, immunoglobulin G; RE-PCR, real-time polymerase chain reaction targeting the 529-bp repetitive element.</w:t>
      </w:r>
    </w:p>
    <w:p w:rsidR="00BB5444" w:rsidRDefault="00BB5444">
      <w:bookmarkStart w:id="0" w:name="_GoBack"/>
      <w:bookmarkEnd w:id="0"/>
    </w:p>
    <w:sectPr w:rsidR="00BB5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E66"/>
    <w:rsid w:val="00BB5444"/>
    <w:rsid w:val="00BD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E66"/>
    <w:pPr>
      <w:spacing w:after="120" w:line="360" w:lineRule="auto"/>
    </w:pPr>
    <w:rPr>
      <w:rFonts w:ascii="Times New Roman" w:eastAsiaTheme="minorEastAsia" w:hAnsi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uiPriority w:val="35"/>
    <w:semiHidden/>
    <w:unhideWhenUsed/>
    <w:qFormat/>
    <w:rsid w:val="00BD3E66"/>
    <w:pPr>
      <w:spacing w:before="160" w:after="80" w:line="240" w:lineRule="auto"/>
    </w:pPr>
    <w:rPr>
      <w:b/>
      <w:bCs/>
      <w:color w:val="000000"/>
      <w:sz w:val="20"/>
      <w:szCs w:val="18"/>
    </w:rPr>
  </w:style>
  <w:style w:type="table" w:styleId="TabloKlavuzu">
    <w:name w:val="Table Grid"/>
    <w:basedOn w:val="NormalTablo"/>
    <w:uiPriority w:val="59"/>
    <w:rsid w:val="00BD3E66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Note">
    <w:name w:val="Table Note"/>
    <w:rsid w:val="00BD3E66"/>
    <w:pPr>
      <w:spacing w:before="60" w:after="160" w:line="240" w:lineRule="auto"/>
    </w:pPr>
    <w:rPr>
      <w:rFonts w:ascii="Times New Roman" w:eastAsiaTheme="minorEastAsia" w:hAnsi="Times New Roman"/>
      <w:sz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E66"/>
    <w:pPr>
      <w:spacing w:after="120" w:line="360" w:lineRule="auto"/>
    </w:pPr>
    <w:rPr>
      <w:rFonts w:ascii="Times New Roman" w:eastAsiaTheme="minorEastAsia" w:hAnsi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uiPriority w:val="35"/>
    <w:semiHidden/>
    <w:unhideWhenUsed/>
    <w:qFormat/>
    <w:rsid w:val="00BD3E66"/>
    <w:pPr>
      <w:spacing w:before="160" w:after="80" w:line="240" w:lineRule="auto"/>
    </w:pPr>
    <w:rPr>
      <w:b/>
      <w:bCs/>
      <w:color w:val="000000"/>
      <w:sz w:val="20"/>
      <w:szCs w:val="18"/>
    </w:rPr>
  </w:style>
  <w:style w:type="table" w:styleId="TabloKlavuzu">
    <w:name w:val="Table Grid"/>
    <w:basedOn w:val="NormalTablo"/>
    <w:uiPriority w:val="59"/>
    <w:rsid w:val="00BD3E66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Note">
    <w:name w:val="Table Note"/>
    <w:rsid w:val="00BD3E66"/>
    <w:pPr>
      <w:spacing w:before="60" w:after="160" w:line="240" w:lineRule="auto"/>
    </w:pPr>
    <w:rPr>
      <w:rFonts w:ascii="Times New Roman" w:eastAsiaTheme="minorEastAsia" w:hAnsi="Times New Roman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dr.oktay</dc:creator>
  <cp:lastModifiedBy>dr.oktay</cp:lastModifiedBy>
  <cp:revision>1</cp:revision>
  <dcterms:created xsi:type="dcterms:W3CDTF">2026-08-24T12:26:00Z</dcterms:created>
  <dcterms:modified xsi:type="dcterms:W3CDTF">2026-08-24T12:26:00Z</dcterms:modified>
</cp:coreProperties>
</file>