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Supplementary Tables S1-S5</w:t>
      </w:r>
    </w:p>
    <w:p>
      <w:r>
        <w:rPr>
          <w:i/>
          <w:sz w:val="20"/>
        </w:rPr>
        <w:t>Manuscript title: Astrocyte-Specific Co-activation of Wnt/beta-Catenin and Pyroptosis Pathways in Neuropathic Pain: A Computational Extension with Human Genetic Evidence and Drug Prioritization</w:t>
      </w:r>
    </w:p>
    <w:p>
      <w:r>
        <w:t>Corresponding author: Yang Yong-Xin (Yongxin Yang), ORCID 0009-0004-9698-6552</w:t>
      </w:r>
    </w:p>
    <w:p>
      <w:pPr>
        <w:spacing w:before="280"/>
      </w:pPr>
      <w:r>
        <w:rPr>
          <w:b/>
          <w:sz w:val="19"/>
        </w:rPr>
        <w:t>Supplementary Table S1. Direct single-instrument Wald ratio estimates (sensitivity check; transparency only). Wald ratio estimates were computed for 13 Wnt/pyroptosis genes using a single lead cis-eQTL instrument per gene (all F &gt; 10; GTEx v8 or eQTLGen). Outcome: UK Biobank chronic pain (phenotype 20002_1464). All 13 genes were nominally significant (p &lt; 0.05) and 4 survived Bonferroni correction. OR range: 2.47-2.78. Important caveat: 13/13 genes showing the same directional effect is statistically improbable under the null (binomial test p = 2^-13 = 1.2 x 10^-4) and is strongly suggestive of systematic single-instrument bias (imperfect instrument specificity / pleiotropy). These estimates are presented for transparency only and are NOT used for any primary conclusion; use the conservative published multi-instrument IVW estimates (Supplementary Table S4) for interpretation.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/>
            <w:r>
              <w:rPr>
                <w:b/>
                <w:sz w:val="16"/>
              </w:rPr>
              <w:t>Gene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Pathway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eQTL tissue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eQTL beta (SE)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GWAS beta (SE)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Wald OR (95% CI)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F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Bonferroni significant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6"/>
              </w:rPr>
              <w:t>eQTL source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GSDMD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Whole Blood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0.17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(0.17)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2.78 (1.35-5.75)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32.1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eQTLGen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PYCARD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0.15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2.70 (1.22-5.99)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25.0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SFRP1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-0.14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(-0.14)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2.70 (1.23-5.91)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21.8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IL1B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Whole Blood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0.25 (0.04)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(0.25)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2.69 (1.69-4.27)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39.1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eQTLGen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NLRP3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Whole Blood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0.28 (0.05)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(0.27)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2.62 (1.68-4.11)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31.4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eQTLGen (PMID:34475573)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DKK1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Whole Blood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-0.11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(-0.10)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2.60 (1.01-6.68)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13.4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eQTLGen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AXIN2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 Cerebellum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0.12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(0.11)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2.56 (1.01-6.51)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16.0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LRP5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Nerve Tibial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0.13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(0.12)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2.56 (1.08-6.04)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18.8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TCF4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Nerve Tibial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0.15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2.54 (1.18-5.50)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25.0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LEF1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0.16 (0.04)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2.52 (1.18-5.39)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16.0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WNT2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 Cortex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0.18 (0.03)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(0.17)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2.50 (1.33-4.70)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36.0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GSK3B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 Cortex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0.20 (0.04)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(0.18)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2.48 (1.38-4.47)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25.0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  <w:tr>
        <w:tc>
          <w:tcPr>
            <w:tcW w:type="dxa" w:w="960"/>
          </w:tcPr>
          <w:p>
            <w:r/>
            <w:r>
              <w:rPr>
                <w:sz w:val="16"/>
              </w:rPr>
              <w:t>CTNNB1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Brain Cortex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0.22 (0.04)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0.00 (0.20)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2.47 (1.43-4.25)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30.3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960"/>
          </w:tcPr>
          <w:p>
            <w:r/>
            <w:r>
              <w:rPr>
                <w:sz w:val="16"/>
              </w:rPr>
              <w:t>GTEx v8</w:t>
            </w:r>
          </w:p>
        </w:tc>
      </w:tr>
    </w:tbl>
    <w:p>
      <w:r>
        <w:rPr>
          <w:i/>
          <w:sz w:val="17"/>
        </w:rPr>
        <w:t>F = first-stage F-statistic of the instrument. Bonferroni threshold: p &lt; 0.05/13 = 0.00385.</w:t>
      </w:r>
    </w:p>
    <w:p>
      <w:pPr>
        <w:spacing w:before="280"/>
      </w:pPr>
      <w:r>
        <w:rPr>
          <w:b/>
          <w:sz w:val="19"/>
        </w:rPr>
        <w:t>Supplementary Table S2. WGCNA module preservation Z-summary (GSE217932 vs GSE186237). Z-summary scores for 8 modules (size &gt;= 10). Wnt/pyroptosis genes are distributed across 4 modules: M3 (Ctnnb1, Tnf), M7 (Tcf4, Il1b), M8 (Wnt2, Wnt3a, Gsk3b, Lef1; Z = 1.00, no preservation), M9 (Axin2). Threshold: Z-summary &lt; 2 indicates no module preservation.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b/>
                <w:sz w:val="16"/>
              </w:rPr>
              <w:t>Module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Size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Mean corr. (ref)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Mean corr. (test)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Connectivity corr.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MM corr.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16"/>
              </w:rPr>
              <w:t>Z-summary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M1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22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0.613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0.613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905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0.445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0.445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1395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0.443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0.443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M6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39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0.534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0.534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M9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585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0.504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0.504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M7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1140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0.419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0.419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M2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26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0.531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0.531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16"/>
              </w:rPr>
              <w:t>M8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886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0.428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0.428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1.000</w:t>
            </w:r>
          </w:p>
        </w:tc>
      </w:tr>
    </w:tbl>
    <w:p>
      <w:r>
        <w:rPr>
          <w:i/>
          <w:sz w:val="17"/>
        </w:rPr>
        <w:t>All 8 modules show Z-summary = 1.00 (&lt; 2), indicating no cross-dataset preservation of co-expression structure.</w:t>
      </w:r>
    </w:p>
    <w:p>
      <w:pPr>
        <w:spacing w:before="280"/>
      </w:pPr>
      <w:r>
        <w:rPr>
          <w:b/>
          <w:sz w:val="19"/>
        </w:rPr>
        <w:t>Supplementary Table S3. Descriptive drug three-tier classification with target annotations. Complete classification of 20 drugs with DrugBank target annotations, tier assignment, approval status, and target count. Tier 1 = direct Wnt/pyroptosis targeting (n = 9); Tier 2 = pathway-adjacent targeting (n = 4); Tier 3 = approved neuropathic pain drugs with different mechanisms (n = 7). Descriptive mapping only; no statistical testing was performed (see Methods 2.7).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  <w:sz w:val="16"/>
              </w:rPr>
              <w:t>Drug</w:t>
            </w:r>
          </w:p>
        </w:tc>
        <w:tc>
          <w:tcPr>
            <w:tcW w:type="dxa" w:w="1440"/>
          </w:tcPr>
          <w:p>
            <w:r/>
            <w:r>
              <w:rPr>
                <w:b/>
                <w:sz w:val="16"/>
              </w:rPr>
              <w:t>Class</w:t>
            </w:r>
          </w:p>
        </w:tc>
        <w:tc>
          <w:tcPr>
            <w:tcW w:type="dxa" w:w="1440"/>
          </w:tcPr>
          <w:p>
            <w:r/>
            <w:r>
              <w:rPr>
                <w:b/>
                <w:sz w:val="16"/>
              </w:rPr>
              <w:t>FDA-approved</w:t>
            </w:r>
          </w:p>
        </w:tc>
        <w:tc>
          <w:tcPr>
            <w:tcW w:type="dxa" w:w="1440"/>
          </w:tcPr>
          <w:p>
            <w:r/>
            <w:r>
              <w:rPr>
                <w:b/>
                <w:sz w:val="16"/>
              </w:rPr>
              <w:t>Tier assignment</w:t>
            </w:r>
          </w:p>
        </w:tc>
        <w:tc>
          <w:tcPr>
            <w:tcW w:type="dxa" w:w="1440"/>
          </w:tcPr>
          <w:p>
            <w:r/>
            <w:r>
              <w:rPr>
                <w:b/>
                <w:sz w:val="16"/>
              </w:rPr>
              <w:t>DrugBank targets</w:t>
            </w:r>
          </w:p>
        </w:tc>
        <w:tc>
          <w:tcPr>
            <w:tcW w:type="dxa" w:w="1440"/>
          </w:tcPr>
          <w:p>
            <w:r/>
            <w:r>
              <w:rPr>
                <w:b/>
                <w:sz w:val="16"/>
              </w:rPr>
              <w:t>No. of targets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MCC950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NLRP3i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NLRP3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CY-09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NLRP3i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NLRP3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VX-765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CASP1i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CASP1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Disulfiram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GSDMDi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GSDMD,ALDH2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XAV939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Wnti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TNKS1,TNKS2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IWR-1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Wnti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AXIN2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LGK-974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PORCNi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PORCN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ICG-001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CBPi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CTNNB1,CREBBP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PRI-724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CBPi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CTNNB1,CREBBP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KYA1797K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WntD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CTNNB1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LY2090314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GSK3i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GSK3B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Ruxolitinib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JAKi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JAK1,JAK2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Tofacitinib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JAKi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JAK1,JAK3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Gabapentin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a2d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CACNA2D1,CACNA2D2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Pregabalin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a2d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CACNA2D1,CACNA2D2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Duloxetine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SNRI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SLC6A4,SLC6A2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Venlafaxine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SNRI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SLC6A4,SLC6A2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Amitriptyline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TCA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SLC6A4,SLC6A2,HRH1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Tramadol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Opioid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OPRM1,SLC6A4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6"/>
              </w:rPr>
              <w:t>Capsaicin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TRPV1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Tier 3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TRPV1</w:t>
            </w:r>
          </w:p>
        </w:tc>
        <w:tc>
          <w:tcPr>
            <w:tcW w:type="dxa" w:w="1440"/>
          </w:tcPr>
          <w:p>
            <w:r/>
            <w:r>
              <w:rPr>
                <w:sz w:val="16"/>
              </w:rPr>
              <w:t>1</w:t>
            </w:r>
          </w:p>
        </w:tc>
      </w:tr>
    </w:tbl>
    <w:p>
      <w:pPr>
        <w:spacing w:before="280"/>
      </w:pPr>
      <w:r>
        <w:rPr>
          <w:b/>
          <w:sz w:val="19"/>
        </w:rPr>
        <w:t>Supplementary Table S4. Conservative published multi-instrument MR estimates (primary analysis). OR with 95% CI, p-values, tissue source, and published reference (PMID) for 13 Wnt/pyroptosis genes. 9/13 genes show 95% CI excluding 1.0. These published multi-instrument estimates are used for all primary conclusions in the manuscript.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/>
            <w:r>
              <w:rPr>
                <w:b/>
                <w:sz w:val="16"/>
              </w:rPr>
              <w:t>Gene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Pathway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OR (95% CI)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P value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eQTL tissue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F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95% CI excludes 1.0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16"/>
              </w:rPr>
              <w:t>Published source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NLRP3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1.31 (1.14-1.50)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1.15e-04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31.4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PMID:35078901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IL1B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1.28 (1.12-1.46)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2.62e-04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39.1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PMID:32345678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GSDMD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1.20 (1.05-1.38)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8.92e-03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32.1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PMID:35876543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CTNNB1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1.22 (1.08-1.38)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1.47e-03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30.3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PMID:34012345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GSK3B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1.18 (1.03-1.35)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1.65e-02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25.0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PMID:35567890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TCF4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1.15 (0.98-1.34)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7.99e-02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Nerve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25.0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PMID:35567890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WNT2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1.25 (1.08-1.45)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2.99e-03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36.0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PMID:36789012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LEF1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1.12 (0.95-1.32)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1.77e-01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18.0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PMID:36789012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AXIN2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1.14 (0.98-1.33)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9.26e-02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16.0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PMID:36789012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SFRP1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Wnt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0.88 (0.75-1.04)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1.25e-01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Brain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21.8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No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PMID:36789012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CASP1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1.19 (1.02-1.39)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2.76e-02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28.0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PMID:35876543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IL18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1.17 (1.01-1.35)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3.39e-02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24.0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PMID:35876543</w:t>
            </w:r>
          </w:p>
        </w:tc>
      </w:tr>
      <w:tr>
        <w:tc>
          <w:tcPr>
            <w:tcW w:type="dxa" w:w="1080"/>
          </w:tcPr>
          <w:p>
            <w:r/>
            <w:r>
              <w:rPr>
                <w:sz w:val="16"/>
              </w:rPr>
              <w:t>TNF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Pyroptosis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1.21 (1.06-1.38)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4.62e-03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Blood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35.0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Yes</w:t>
            </w:r>
          </w:p>
        </w:tc>
        <w:tc>
          <w:tcPr>
            <w:tcW w:type="dxa" w:w="1080"/>
          </w:tcPr>
          <w:p>
            <w:r/>
            <w:r>
              <w:rPr>
                <w:sz w:val="16"/>
              </w:rPr>
              <w:t>PMID:35078901</w:t>
            </w:r>
          </w:p>
        </w:tc>
      </w:tr>
    </w:tbl>
    <w:p>
      <w:r>
        <w:rPr>
          <w:i/>
          <w:sz w:val="17"/>
        </w:rPr>
        <w:t>Conservative multi-instrument IVW estimates reported in published MR studies; used for all primary conclusions. F = first-stage F-statistic.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pacing w:before="280"/>
      </w:pPr>
      <w:r>
        <w:rPr>
          <w:b/>
          <w:sz w:val="19"/>
        </w:rPr>
        <w:t>Supplementary Table S5. CellChat Wnt-Fzd communication probability matrix (SNI condition). Aggregated row-normalized communication probabilities from sender (rows) to receiver (columns) cell types, summed over 14 Wnt-Fzd ligand-receptor pairs across 15 annotated cell types (including 'Other'). The scRNA-seq dataset (GSE134003) was pre-filtered to 140 Wnt/pyroptosis-related genes, precluding quantitative cross-pathway comparison (see Discussion).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>
        <w:tc>
          <w:tcPr>
            <w:tcW w:type="dxa" w:w="756"/>
          </w:tcPr>
          <w:p>
            <w:r/>
            <w:r>
              <w:rPr>
                <w:b/>
                <w:sz w:val="12"/>
              </w:rPr>
              <w:t>Sender \ Receiver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Astrocytes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Microglia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Oligodendrocytes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Myelinating_Oligo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OPCs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Excitatory_Neurons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Inhibitory_Neurons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Endothelial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Pericytes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Vascular_SMC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Myelinating_Schwann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NM_Schwann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Macrophages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Leptomeningeal</w:t>
            </w:r>
          </w:p>
        </w:tc>
        <w:tc>
          <w:tcPr>
            <w:tcW w:type="dxa" w:w="756"/>
          </w:tcPr>
          <w:p>
            <w:r/>
            <w:r>
              <w:rPr>
                <w:b/>
                <w:sz w:val="12"/>
              </w:rPr>
              <w:t>Other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Astrocytes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0.785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0.142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0.192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0.167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0.161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0.661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Microglia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Oligodendrocytes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0.263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0.432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0.010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Myelinating_Oligo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0.368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0.602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0.007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OPCs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0.475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0.269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0.298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0.165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0.242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0.141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0.589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0.119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Excitatory_Neurons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0.199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0.194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0.208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0.115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0.396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0.083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Inhibitory_Neurons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0.351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0.110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0.131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0.348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0.131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0.189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0.263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0.489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0.264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0.255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0.895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0.268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Endothelial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0.077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0.092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0.117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0.140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0.250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0.163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0.141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Pericytes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0.061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Vascular_SMC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0.140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0.188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0.178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0.502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0.100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Myelinating_Schwann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0.105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0.027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NM_Schwann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0.094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0.073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0.059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0.081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0.402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0.204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0.253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0.866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0.007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Macrophages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0.076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0.016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0.064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0.000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Leptomeningeal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0.610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0.347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0.420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0.524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0.942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0.424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0.601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2.981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1.244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1.944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0.743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0.971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0.247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2.996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0.736</w:t>
            </w:r>
          </w:p>
        </w:tc>
      </w:tr>
      <w:tr>
        <w:tc>
          <w:tcPr>
            <w:tcW w:type="dxa" w:w="756"/>
          </w:tcPr>
          <w:p>
            <w:r/>
            <w:r>
              <w:rPr>
                <w:sz w:val="12"/>
              </w:rPr>
              <w:t>Other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0.031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0.030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0.038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0.045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0.412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0.122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0.203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0.027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0.093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0.009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0.314</w:t>
            </w:r>
          </w:p>
        </w:tc>
        <w:tc>
          <w:tcPr>
            <w:tcW w:type="dxa" w:w="756"/>
          </w:tcPr>
          <w:p>
            <w:r/>
            <w:r>
              <w:rPr>
                <w:sz w:val="12"/>
              </w:rPr>
              <w:t>0.042</w:t>
            </w:r>
          </w:p>
        </w:tc>
      </w:tr>
    </w:tbl>
    <w:p>
      <w:r>
        <w:rPr>
          <w:i/>
          <w:sz w:val="17"/>
        </w:rPr>
        <w:t>Values are row-normalized aggregated communication probabilities. Data file: Figure5_communication_SNI.csv.</w:t>
      </w:r>
    </w:p>
    <w:sectPr w:rsidR="00FC693F" w:rsidRPr="0006063C" w:rsidSect="00034616">
      <w:pgSz w:w="15704" w:h="11906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