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AAF4F3C" wp14:paraId="3B42851F" wp14:textId="6906889F">
      <w:pPr>
        <w:pStyle w:val="Heading3"/>
        <w:spacing w:before="281" w:beforeAutospacing="off" w:after="281"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Additional file 1. Description of the implemented ultrasound-guided vascular access workshop</w:t>
      </w:r>
    </w:p>
    <w:p xmlns:wp14="http://schemas.microsoft.com/office/word/2010/wordml" w:rsidP="7AAF4F3C" wp14:paraId="7B5054FE" wp14:textId="43779380">
      <w:pPr>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Purpose and scope</w:t>
      </w:r>
    </w:p>
    <w:p xmlns:wp14="http://schemas.microsoft.com/office/word/2010/wordml" w:rsidP="7AAF4F3C" wp14:paraId="4861192A" wp14:textId="73757D03">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educational activity was a four-hour introductory workshop on ultrasound-guided vascular access (UGVA) for senior undergraduate nursing students. The workshop was adapted from a broader evidence-informed training plan to accommodate the logistical and resource conditions available at the study site. The implemented workshop was intended to provide students with a structured introductory learning experience combining theoretical instruction, familiarization with ultrasound technology, supervised simulated practice, and formative feedback.</w:t>
      </w:r>
    </w:p>
    <w:p xmlns:wp14="http://schemas.microsoft.com/office/word/2010/wordml" w:rsidP="7AAF4F3C" wp14:paraId="0A49F4AE" wp14:textId="10A6F9DB">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workshop was not designed to establish or certify procedural competence. It did not include vascular access procedures on patients, supervised clinical practice, formal competency assessment, written examinations, or summative evaluation.</w:t>
      </w:r>
    </w:p>
    <w:p xmlns:wp14="http://schemas.microsoft.com/office/word/2010/wordml" w:rsidP="7AAF4F3C" wp14:paraId="33D1DED7" wp14:textId="6AAF69F0">
      <w:pPr>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1B27A470" w:rsidR="1A8DAADC">
        <w:rPr>
          <w:rFonts w:ascii="Times New Roman" w:hAnsi="Times New Roman" w:eastAsia="Times New Roman" w:cs="Times New Roman"/>
          <w:b w:val="1"/>
          <w:bCs w:val="1"/>
          <w:noProof w:val="0"/>
          <w:color w:val="auto"/>
          <w:sz w:val="22"/>
          <w:szCs w:val="22"/>
          <w:lang w:val="en-US"/>
        </w:rPr>
        <w:t>Participants and setting</w:t>
      </w:r>
    </w:p>
    <w:p w:rsidR="0B932F8E" w:rsidP="1B27A470" w:rsidRDefault="0B932F8E" w14:paraId="4FDA18B3" w14:textId="38BB09DF">
      <w:pPr>
        <w:spacing w:before="240" w:beforeAutospacing="off" w:after="240" w:afterAutospacing="off"/>
      </w:pPr>
      <w:r w:rsidRPr="1B27A470" w:rsidR="0B932F8E">
        <w:rPr>
          <w:rFonts w:ascii="Times New Roman" w:hAnsi="Times New Roman" w:eastAsia="Times New Roman" w:cs="Times New Roman"/>
          <w:b w:val="0"/>
          <w:bCs w:val="0"/>
          <w:noProof w:val="0"/>
          <w:color w:val="auto"/>
          <w:sz w:val="22"/>
          <w:szCs w:val="22"/>
          <w:lang w:val="en-US"/>
        </w:rPr>
        <w:t>The workshop was delivered to 12 final-semester undergraduate nursing students in an anatomy laboratory. One Mindray DP-30 portable ultrasound system (Shenzhen Mindray Bio-Medical Electronics Co., Ltd., Shenzhen, China) equipped with a 75L38EA linear-array transducer was used during the session. The linear transducer was used for imaging superficial vascular structures during ultrasound familiarization and simulated practice.</w:t>
      </w:r>
    </w:p>
    <w:p xmlns:wp14="http://schemas.microsoft.com/office/word/2010/wordml" w:rsidP="7AAF4F3C" wp14:paraId="75B0A180" wp14:textId="5C0D196F">
      <w:pPr>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Learning o</w:t>
      </w:r>
      <w:r w:rsidRPr="7AAF4F3C" w:rsidR="5E1A7E65">
        <w:rPr>
          <w:rFonts w:ascii="Times New Roman" w:hAnsi="Times New Roman" w:eastAsia="Times New Roman" w:cs="Times New Roman"/>
          <w:b w:val="1"/>
          <w:bCs w:val="1"/>
          <w:noProof w:val="0"/>
          <w:color w:val="auto"/>
          <w:sz w:val="22"/>
          <w:szCs w:val="22"/>
          <w:lang w:val="en-US"/>
        </w:rPr>
        <w:t>utcomes</w:t>
      </w:r>
    </w:p>
    <w:p xmlns:wp14="http://schemas.microsoft.com/office/word/2010/wordml" w:rsidP="7AAF4F3C" wp14:paraId="7CEB5AF4" wp14:textId="0490A1F9">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By the end of the workshop, students were expected to:</w:t>
      </w:r>
    </w:p>
    <w:p xmlns:wp14="http://schemas.microsoft.com/office/word/2010/wordml" w:rsidP="7AAF4F3C" wp14:paraId="40C896BB" wp14:textId="448D8C33">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describe relevant peripheral vascular anatomy and basic principles of ultrasonography; </w:t>
      </w:r>
    </w:p>
    <w:p xmlns:wp14="http://schemas.microsoft.com/office/word/2010/wordml" w:rsidP="7AAF4F3C" wp14:paraId="374EAF79" wp14:textId="1DFA4935">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become familiar with the basic operation and handling of ultrasound equipment for vascular imaging; </w:t>
      </w:r>
    </w:p>
    <w:p xmlns:wp14="http://schemas.microsoft.com/office/word/2010/wordml" w:rsidP="7AAF4F3C" wp14:paraId="3F204D61" wp14:textId="2B009D2E">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recognize vascular structures on ultrasound images and distinguish relevant characteristics of veins and arteries; </w:t>
      </w:r>
    </w:p>
    <w:p xmlns:wp14="http://schemas.microsoft.com/office/word/2010/wordml" w:rsidP="7AAF4F3C" wp14:paraId="3A06AEE6" wp14:textId="4035336E">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identify basic indications and patient safety considerations related to UGVA; </w:t>
      </w:r>
    </w:p>
    <w:p xmlns:wp14="http://schemas.microsoft.com/office/word/2010/wordml" w:rsidP="7AAF4F3C" wp14:paraId="0D737096" wp14:textId="2A145D5C">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practice image acquisition and vessel identification in a simulated learning environment; </w:t>
      </w:r>
    </w:p>
    <w:p xmlns:wp14="http://schemas.microsoft.com/office/word/2010/wordml" w:rsidP="7AAF4F3C" wp14:paraId="234EC268" wp14:textId="242B0C6B">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practice coordinating ultrasound visualization with the procedural actions involved in simulated vascular access; and </w:t>
      </w:r>
    </w:p>
    <w:p xmlns:wp14="http://schemas.microsoft.com/office/word/2010/wordml" w:rsidP="7AAF4F3C" wp14:paraId="666171CF" wp14:textId="03D8B9D0">
      <w:pPr>
        <w:pStyle w:val="ListParagraph"/>
        <w:numPr>
          <w:ilvl w:val="0"/>
          <w:numId w:val="1"/>
        </w:numPr>
        <w:spacing w:before="0" w:beforeAutospacing="off" w:after="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reflect on the potential role of UGVA in nursing practice and patient safety. </w:t>
      </w:r>
    </w:p>
    <w:p xmlns:wp14="http://schemas.microsoft.com/office/word/2010/wordml" w:rsidP="7AAF4F3C" wp14:paraId="17B57F6C" wp14:textId="1F67DC23">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 xml:space="preserve">These </w:t>
      </w:r>
      <w:r w:rsidRPr="7AAF4F3C" w:rsidR="5861F159">
        <w:rPr>
          <w:rFonts w:ascii="Times New Roman" w:hAnsi="Times New Roman" w:eastAsia="Times New Roman" w:cs="Times New Roman"/>
          <w:b w:val="0"/>
          <w:bCs w:val="0"/>
          <w:noProof w:val="0"/>
          <w:color w:val="auto"/>
          <w:sz w:val="22"/>
          <w:szCs w:val="22"/>
          <w:lang w:val="en-US"/>
        </w:rPr>
        <w:t xml:space="preserve">learning outcomes </w:t>
      </w:r>
      <w:r w:rsidRPr="7AAF4F3C" w:rsidR="28788473">
        <w:rPr>
          <w:rFonts w:ascii="Times New Roman" w:hAnsi="Times New Roman" w:eastAsia="Times New Roman" w:cs="Times New Roman"/>
          <w:b w:val="0"/>
          <w:bCs w:val="0"/>
          <w:noProof w:val="0"/>
          <w:color w:val="auto"/>
          <w:sz w:val="22"/>
          <w:szCs w:val="22"/>
          <w:lang w:val="en-US"/>
        </w:rPr>
        <w:t>represented introductory learning goals rather than criteria for demonstrating clinical competence.</w:t>
      </w:r>
    </w:p>
    <w:p xmlns:wp14="http://schemas.microsoft.com/office/word/2010/wordml" w:rsidP="7AAF4F3C" wp14:paraId="1A673F64" wp14:textId="3591BE2E">
      <w:pPr>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Workshop content</w:t>
      </w:r>
    </w:p>
    <w:p xmlns:wp14="http://schemas.microsoft.com/office/word/2010/wordml" w:rsidP="7AAF4F3C" wp14:paraId="4A4D7EFD" wp14:textId="0B896201">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theoretical component addressed peripheral vascular anatomy, basic principles of ultrasonography, ultrasound identification of vascular structures, indications for ultrasound-guided vascular access, and patient safety considerations. Particular attention was given to understanding the relationship between anatomical structures and their ultrasound appearance and to the role of ultrasound visualization in supporting vascular access procedures.</w:t>
      </w:r>
    </w:p>
    <w:p xmlns:wp14="http://schemas.microsoft.com/office/word/2010/wordml" w:rsidP="7AAF4F3C" wp14:paraId="3F44F401" wp14:textId="45214675">
      <w:pPr>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practical component introduced students to the ultrasound equipment and provided opportunities to become familiar with image acquisition and interpretation. Students practiced identifying vascular structures and coordinating ultrasound visualization with the procedural actions required for simulated vascular access. Practical activities were conducted under supervision and were accompanied by formative feedback from the facilitator.</w:t>
      </w:r>
    </w:p>
    <w:p xmlns:wp14="http://schemas.microsoft.com/office/word/2010/wordml" w:rsidP="7AAF4F3C" wp14:paraId="2C3D8AC8" wp14:textId="1EA93E5B">
      <w:pPr>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Instructional sequence</w:t>
      </w:r>
    </w:p>
    <w:tbl>
      <w:tblPr>
        <w:tblStyle w:val="TableGrid"/>
        <w:bidiVisual w:val="0"/>
        <w:tblW w:w="0" w:type="auto"/>
        <w:tblBorders>
          <w:top w:val="single" w:color="000000" w:themeColor="text1" w:sz="12"/>
          <w:left w:val="none" w:color="000000" w:themeColor="text1" w:sz="12"/>
          <w:bottom w:val="single" w:color="000000" w:themeColor="text1" w:sz="12"/>
          <w:right w:val="none" w:color="000000" w:themeColor="text1" w:sz="12"/>
          <w:insideH w:val="none" w:color="000000" w:themeColor="text1" w:sz="12"/>
          <w:insideV w:val="none" w:color="000000" w:themeColor="text1" w:sz="12"/>
        </w:tblBorders>
        <w:tblLook w:val="06A0" w:firstRow="1" w:lastRow="0" w:firstColumn="1" w:lastColumn="0" w:noHBand="1" w:noVBand="1"/>
      </w:tblPr>
      <w:tblGrid>
        <w:gridCol w:w="1920"/>
        <w:gridCol w:w="4420"/>
        <w:gridCol w:w="2675"/>
      </w:tblGrid>
      <w:tr w:rsidR="7AAF4F3C" w:rsidTr="7AAF4F3C" w14:paraId="0ECC9CEB">
        <w:trPr>
          <w:trHeight w:val="300"/>
        </w:trPr>
        <w:tc>
          <w:tcPr>
            <w:tcW w:w="1920" w:type="dxa"/>
            <w:tcBorders>
              <w:bottom w:val="single" w:color="000000" w:themeColor="text1" w:sz="12"/>
            </w:tcBorders>
            <w:tcMar/>
          </w:tcPr>
          <w:p w:rsidR="7AAF4F3C" w:rsidP="7AAF4F3C" w:rsidRDefault="7AAF4F3C" w14:paraId="4F1ED3D8" w14:textId="69E0E082">
            <w:pPr>
              <w:spacing w:before="0" w:beforeAutospacing="off" w:after="0" w:afterAutospacing="off"/>
              <w:jc w:val="center"/>
              <w:rPr>
                <w:b w:val="0"/>
                <w:bCs w:val="0"/>
                <w:noProof w:val="0"/>
                <w:color w:val="auto"/>
                <w:sz w:val="22"/>
                <w:szCs w:val="22"/>
                <w:lang w:val="en-US"/>
              </w:rPr>
            </w:pPr>
            <w:r w:rsidRPr="7AAF4F3C" w:rsidR="7AAF4F3C">
              <w:rPr>
                <w:b w:val="0"/>
                <w:bCs w:val="0"/>
                <w:noProof w:val="0"/>
                <w:color w:val="auto"/>
                <w:sz w:val="22"/>
                <w:szCs w:val="22"/>
                <w:lang w:val="en-US"/>
              </w:rPr>
              <w:t>Component</w:t>
            </w:r>
          </w:p>
        </w:tc>
        <w:tc>
          <w:tcPr>
            <w:tcW w:w="4420" w:type="dxa"/>
            <w:tcBorders>
              <w:bottom w:val="single" w:color="000000" w:themeColor="text1" w:sz="12"/>
            </w:tcBorders>
            <w:tcMar/>
          </w:tcPr>
          <w:p w:rsidR="7AAF4F3C" w:rsidP="7AAF4F3C" w:rsidRDefault="7AAF4F3C" w14:paraId="1DEE59CD" w14:textId="41CA55C9">
            <w:pPr>
              <w:spacing w:before="0" w:beforeAutospacing="off" w:after="0" w:afterAutospacing="off"/>
              <w:jc w:val="center"/>
              <w:rPr>
                <w:b w:val="0"/>
                <w:bCs w:val="0"/>
                <w:noProof w:val="0"/>
                <w:color w:val="auto"/>
                <w:sz w:val="22"/>
                <w:szCs w:val="22"/>
                <w:lang w:val="en-US"/>
              </w:rPr>
            </w:pPr>
            <w:r w:rsidRPr="7AAF4F3C" w:rsidR="7AAF4F3C">
              <w:rPr>
                <w:b w:val="0"/>
                <w:bCs w:val="0"/>
                <w:noProof w:val="0"/>
                <w:color w:val="auto"/>
                <w:sz w:val="22"/>
                <w:szCs w:val="22"/>
                <w:lang w:val="en-US"/>
              </w:rPr>
              <w:t>Content and learning activities</w:t>
            </w:r>
          </w:p>
        </w:tc>
        <w:tc>
          <w:tcPr>
            <w:tcW w:w="2675" w:type="dxa"/>
            <w:tcBorders>
              <w:bottom w:val="single" w:color="000000" w:themeColor="text1" w:sz="12"/>
            </w:tcBorders>
            <w:tcMar/>
          </w:tcPr>
          <w:p w:rsidR="7AAF4F3C" w:rsidP="7AAF4F3C" w:rsidRDefault="7AAF4F3C" w14:paraId="5253E4E9" w14:textId="5824F7C5">
            <w:pPr>
              <w:spacing w:before="0" w:beforeAutospacing="off" w:after="0" w:afterAutospacing="off"/>
              <w:jc w:val="center"/>
              <w:rPr>
                <w:b w:val="0"/>
                <w:bCs w:val="0"/>
                <w:noProof w:val="0"/>
                <w:color w:val="auto"/>
                <w:sz w:val="22"/>
                <w:szCs w:val="22"/>
                <w:lang w:val="en-US"/>
              </w:rPr>
            </w:pPr>
            <w:r w:rsidRPr="7AAF4F3C" w:rsidR="7AAF4F3C">
              <w:rPr>
                <w:b w:val="0"/>
                <w:bCs w:val="0"/>
                <w:noProof w:val="0"/>
                <w:color w:val="auto"/>
                <w:sz w:val="22"/>
                <w:szCs w:val="22"/>
                <w:lang w:val="en-US"/>
              </w:rPr>
              <w:t>Instructional approach</w:t>
            </w:r>
          </w:p>
        </w:tc>
      </w:tr>
      <w:tr w:rsidR="7AAF4F3C" w:rsidTr="7AAF4F3C" w14:paraId="20B9ADDA">
        <w:trPr>
          <w:trHeight w:val="300"/>
        </w:trPr>
        <w:tc>
          <w:tcPr>
            <w:tcW w:w="1920" w:type="dxa"/>
            <w:tcBorders>
              <w:top w:val="single" w:color="000000" w:themeColor="text1" w:sz="12"/>
            </w:tcBorders>
            <w:tcMar/>
          </w:tcPr>
          <w:p w:rsidR="7AAF4F3C" w:rsidP="7AAF4F3C" w:rsidRDefault="7AAF4F3C" w14:paraId="36D6907F" w14:textId="065869C3">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Introduction and theoretical foundations</w:t>
            </w:r>
          </w:p>
        </w:tc>
        <w:tc>
          <w:tcPr>
            <w:tcW w:w="4420" w:type="dxa"/>
            <w:tcBorders>
              <w:top w:val="single" w:color="000000" w:themeColor="text1" w:sz="12"/>
            </w:tcBorders>
            <w:tcMar/>
          </w:tcPr>
          <w:p w:rsidR="7AAF4F3C" w:rsidP="7AAF4F3C" w:rsidRDefault="7AAF4F3C" w14:paraId="2D973FC1" w14:textId="4838DC74">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Peripheral vascular anatomy; basic principles of ultrasonography; indications for UGVA; identification of vascular structures; patient safety considerations</w:t>
            </w:r>
          </w:p>
        </w:tc>
        <w:tc>
          <w:tcPr>
            <w:tcW w:w="2675" w:type="dxa"/>
            <w:tcBorders>
              <w:top w:val="single" w:color="000000" w:themeColor="text1" w:sz="12"/>
            </w:tcBorders>
            <w:tcMar/>
          </w:tcPr>
          <w:p w:rsidR="7AAF4F3C" w:rsidP="7AAF4F3C" w:rsidRDefault="7AAF4F3C" w14:paraId="2E3D96C9" w14:textId="26162919">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Instructor-led theoretical instruction and discussion</w:t>
            </w:r>
          </w:p>
        </w:tc>
      </w:tr>
      <w:tr w:rsidR="7AAF4F3C" w:rsidTr="7AAF4F3C" w14:paraId="16257889">
        <w:trPr>
          <w:trHeight w:val="300"/>
        </w:trPr>
        <w:tc>
          <w:tcPr>
            <w:tcW w:w="1920" w:type="dxa"/>
            <w:tcMar/>
          </w:tcPr>
          <w:p w:rsidR="7AAF4F3C" w:rsidP="7AAF4F3C" w:rsidRDefault="7AAF4F3C" w14:paraId="7A675E23" w14:textId="4E5B46C8">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Ultrasound familiarization</w:t>
            </w:r>
          </w:p>
        </w:tc>
        <w:tc>
          <w:tcPr>
            <w:tcW w:w="4420" w:type="dxa"/>
            <w:tcMar/>
          </w:tcPr>
          <w:p w:rsidR="7AAF4F3C" w:rsidP="7AAF4F3C" w:rsidRDefault="7AAF4F3C" w14:paraId="07E9B6E3" w14:textId="0809FB9E">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Introduction to the ultrasound equipment; basic image acquisition; orientation to ultrasound images; recognition of relevant vascular structures</w:t>
            </w:r>
          </w:p>
        </w:tc>
        <w:tc>
          <w:tcPr>
            <w:tcW w:w="2675" w:type="dxa"/>
            <w:tcMar/>
          </w:tcPr>
          <w:p w:rsidR="7AAF4F3C" w:rsidP="7AAF4F3C" w:rsidRDefault="7AAF4F3C" w14:paraId="4E6E8987" w14:textId="50BC3906">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Demonstration followed by guided familiarization</w:t>
            </w:r>
          </w:p>
        </w:tc>
      </w:tr>
      <w:tr w:rsidR="7AAF4F3C" w:rsidTr="7AAF4F3C" w14:paraId="062F60B4">
        <w:trPr>
          <w:trHeight w:val="300"/>
        </w:trPr>
        <w:tc>
          <w:tcPr>
            <w:tcW w:w="1920" w:type="dxa"/>
            <w:tcMar/>
          </w:tcPr>
          <w:p w:rsidR="7AAF4F3C" w:rsidP="7AAF4F3C" w:rsidRDefault="7AAF4F3C" w14:paraId="5D9E8F4C" w14:textId="12C35285">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Supervised simulated practice</w:t>
            </w:r>
          </w:p>
        </w:tc>
        <w:tc>
          <w:tcPr>
            <w:tcW w:w="4420" w:type="dxa"/>
            <w:tcMar/>
          </w:tcPr>
          <w:p w:rsidR="7AAF4F3C" w:rsidP="7AAF4F3C" w:rsidRDefault="7AAF4F3C" w14:paraId="2F1B67DF" w14:textId="75A9E5A8">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Vessel identification; image acquisition; coordination of ultrasound visualization with simulated procedural actions</w:t>
            </w:r>
          </w:p>
        </w:tc>
        <w:tc>
          <w:tcPr>
            <w:tcW w:w="2675" w:type="dxa"/>
            <w:tcMar/>
          </w:tcPr>
          <w:p w:rsidR="7AAF4F3C" w:rsidP="7AAF4F3C" w:rsidRDefault="7AAF4F3C" w14:paraId="23FDE2AF" w14:textId="2E3C7081">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Hands-on simulated practice under facilitator supervision</w:t>
            </w:r>
          </w:p>
        </w:tc>
      </w:tr>
      <w:tr w:rsidR="7AAF4F3C" w:rsidTr="7AAF4F3C" w14:paraId="2BE9C40F">
        <w:trPr>
          <w:trHeight w:val="300"/>
        </w:trPr>
        <w:tc>
          <w:tcPr>
            <w:tcW w:w="1920" w:type="dxa"/>
            <w:tcMar/>
          </w:tcPr>
          <w:p w:rsidR="7AAF4F3C" w:rsidP="7AAF4F3C" w:rsidRDefault="7AAF4F3C" w14:paraId="65B24978" w14:textId="3919EB68">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Formative feedback and reflection</w:t>
            </w:r>
          </w:p>
        </w:tc>
        <w:tc>
          <w:tcPr>
            <w:tcW w:w="4420" w:type="dxa"/>
            <w:tcMar/>
          </w:tcPr>
          <w:p w:rsidR="7AAF4F3C" w:rsidP="7AAF4F3C" w:rsidRDefault="7AAF4F3C" w14:paraId="70361132" w14:textId="6B61AC4B">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Discussion of difficulties encountered during practice, clarification of concepts, and reflection on the potential application and significance of UGVA in nursing practice</w:t>
            </w:r>
          </w:p>
        </w:tc>
        <w:tc>
          <w:tcPr>
            <w:tcW w:w="2675" w:type="dxa"/>
            <w:tcMar/>
          </w:tcPr>
          <w:p w:rsidR="7AAF4F3C" w:rsidP="7AAF4F3C" w:rsidRDefault="7AAF4F3C" w14:paraId="44A6E5AE" w14:textId="75C6C27B">
            <w:pPr>
              <w:spacing w:before="0" w:beforeAutospacing="off" w:after="0" w:afterAutospacing="off"/>
              <w:rPr>
                <w:b w:val="0"/>
                <w:bCs w:val="0"/>
                <w:noProof w:val="0"/>
                <w:color w:val="auto"/>
                <w:sz w:val="22"/>
                <w:szCs w:val="22"/>
                <w:lang w:val="en-US"/>
              </w:rPr>
            </w:pPr>
            <w:r w:rsidRPr="7AAF4F3C" w:rsidR="7AAF4F3C">
              <w:rPr>
                <w:b w:val="0"/>
                <w:bCs w:val="0"/>
                <w:noProof w:val="0"/>
                <w:color w:val="auto"/>
                <w:sz w:val="22"/>
                <w:szCs w:val="22"/>
                <w:lang w:val="en-US"/>
              </w:rPr>
              <w:t>Ongoing formative feedback and facilitated discussion</w:t>
            </w:r>
          </w:p>
        </w:tc>
      </w:tr>
    </w:tbl>
    <w:p xmlns:wp14="http://schemas.microsoft.com/office/word/2010/wordml" w:rsidP="7AAF4F3C" wp14:paraId="334B5096" wp14:textId="0C04E587">
      <w:pPr>
        <w:bidi w:val="0"/>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Teaching and learning approach</w:t>
      </w:r>
    </w:p>
    <w:p xmlns:wp14="http://schemas.microsoft.com/office/word/2010/wordml" w:rsidP="7AAF4F3C" wp14:paraId="7544C6E2" wp14:textId="2C3BE8FE">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workshop used a progressive instructional sequence in which theoretical concepts preceded familiarization with the ultrasound equipment and supervised simulated practice. Students were encouraged to interact with the equipment, identify vascular structures, ask questions, and discuss difficulties encountered during the practical activities. Formative feedback was provided throughout the session to clarify concepts and support students as they engaged with the technology and simulated procedural tasks.</w:t>
      </w:r>
    </w:p>
    <w:p xmlns:wp14="http://schemas.microsoft.com/office/word/2010/wordml" w:rsidP="7AAF4F3C" wp14:paraId="063DDCC9" wp14:textId="49AD96B9">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Because only one ultrasound machine was available, practical activities were conducted within the resource constraints of the study setting. These conditions formed part of the educational context examined in the study.</w:t>
      </w:r>
    </w:p>
    <w:p xmlns:wp14="http://schemas.microsoft.com/office/word/2010/wordml" w:rsidP="7AAF4F3C" wp14:paraId="727DABFE" wp14:textId="0F9CE4FC">
      <w:pPr>
        <w:bidi w:val="0"/>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Assessment and feedback</w:t>
      </w:r>
    </w:p>
    <w:p xmlns:wp14="http://schemas.microsoft.com/office/word/2010/wordml" w:rsidP="7AAF4F3C" wp14:paraId="4838DD40" wp14:textId="35DE4D51">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No formal or summative assessment of procedural competence was conducted. Students did not receive certification of clinical competence or authorization to perform UGVA independently in clinical practice as a result of participation in the workshop.</w:t>
      </w:r>
    </w:p>
    <w:p xmlns:wp14="http://schemas.microsoft.com/office/word/2010/wordml" w:rsidP="7AAF4F3C" wp14:paraId="3673D55B" wp14:textId="30211C02">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Feedback during the session was formative and was intended to support students’ introductory learning, clarify technical and conceptual questions, and guide their engagement with the simulated activities.</w:t>
      </w:r>
    </w:p>
    <w:p xmlns:wp14="http://schemas.microsoft.com/office/word/2010/wordml" w:rsidP="7AAF4F3C" wp14:paraId="1CB4078D" wp14:textId="59201CE2">
      <w:pPr>
        <w:bidi w:val="0"/>
        <w:spacing w:before="240" w:beforeAutospacing="off" w:after="240" w:afterAutospacing="off"/>
        <w:rPr>
          <w:rFonts w:ascii="Times New Roman" w:hAnsi="Times New Roman" w:eastAsia="Times New Roman" w:cs="Times New Roman"/>
          <w:b w:val="1"/>
          <w:bCs w:val="1"/>
          <w:noProof w:val="0"/>
          <w:color w:val="auto"/>
          <w:sz w:val="22"/>
          <w:szCs w:val="22"/>
          <w:lang w:val="en-US"/>
        </w:rPr>
      </w:pPr>
      <w:r w:rsidRPr="7AAF4F3C" w:rsidR="28788473">
        <w:rPr>
          <w:rFonts w:ascii="Times New Roman" w:hAnsi="Times New Roman" w:eastAsia="Times New Roman" w:cs="Times New Roman"/>
          <w:b w:val="1"/>
          <w:bCs w:val="1"/>
          <w:noProof w:val="0"/>
          <w:color w:val="auto"/>
          <w:sz w:val="22"/>
          <w:szCs w:val="22"/>
          <w:lang w:val="en-US"/>
        </w:rPr>
        <w:t>Differences between the original training plan and the implemented workshop</w:t>
      </w:r>
    </w:p>
    <w:p xmlns:wp14="http://schemas.microsoft.com/office/word/2010/wordml" w:rsidP="7AAF4F3C" wp14:paraId="0D8C0CB0" wp14:textId="3C882370">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The original training plan described a broader educational program that included theoretical and practical components, formal assessment, and supervised clinical activities. Because of logistical and scheduling constraints, the educational activity implemented in this study was reduced to a four-hour introductory workshop conducted in an anatomy laboratory with one ultrasound machine.</w:t>
      </w:r>
    </w:p>
    <w:p xmlns:wp14="http://schemas.microsoft.com/office/word/2010/wordml" w:rsidP="7AAF4F3C" wp14:paraId="5C1A07E2" wp14:textId="41FB3488">
      <w:pPr>
        <w:bidi w:val="0"/>
        <w:spacing w:before="240" w:beforeAutospacing="off" w:after="240" w:afterAutospacing="off"/>
        <w:rPr>
          <w:rFonts w:ascii="Times New Roman" w:hAnsi="Times New Roman" w:eastAsia="Times New Roman" w:cs="Times New Roman"/>
          <w:b w:val="0"/>
          <w:bCs w:val="0"/>
          <w:noProof w:val="0"/>
          <w:color w:val="auto"/>
          <w:sz w:val="22"/>
          <w:szCs w:val="22"/>
          <w:lang w:val="en-US"/>
        </w:rPr>
      </w:pPr>
      <w:r w:rsidRPr="7AAF4F3C" w:rsidR="28788473">
        <w:rPr>
          <w:rFonts w:ascii="Times New Roman" w:hAnsi="Times New Roman" w:eastAsia="Times New Roman" w:cs="Times New Roman"/>
          <w:b w:val="0"/>
          <w:bCs w:val="0"/>
          <w:noProof w:val="0"/>
          <w:color w:val="auto"/>
          <w:sz w:val="22"/>
          <w:szCs w:val="22"/>
          <w:lang w:val="en-US"/>
        </w:rPr>
        <w:t>Accordingly</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components</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of</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the</w:t>
      </w:r>
      <w:r w:rsidRPr="7AAF4F3C" w:rsidR="28788473">
        <w:rPr>
          <w:rFonts w:ascii="Times New Roman" w:hAnsi="Times New Roman" w:eastAsia="Times New Roman" w:cs="Times New Roman"/>
          <w:b w:val="0"/>
          <w:bCs w:val="0"/>
          <w:noProof w:val="0"/>
          <w:color w:val="auto"/>
          <w:sz w:val="22"/>
          <w:szCs w:val="22"/>
          <w:lang w:val="en-US"/>
        </w:rPr>
        <w:t xml:space="preserve"> original plan </w:t>
      </w:r>
      <w:r w:rsidRPr="7AAF4F3C" w:rsidR="28788473">
        <w:rPr>
          <w:rFonts w:ascii="Times New Roman" w:hAnsi="Times New Roman" w:eastAsia="Times New Roman" w:cs="Times New Roman"/>
          <w:b w:val="0"/>
          <w:bCs w:val="0"/>
          <w:noProof w:val="0"/>
          <w:color w:val="auto"/>
          <w:sz w:val="22"/>
          <w:szCs w:val="22"/>
          <w:lang w:val="en-US"/>
        </w:rPr>
        <w:t>involving</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procedures</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on</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patients</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supervised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clinical</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practice</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written</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examinations</w:t>
      </w:r>
      <w:r w:rsidRPr="7AAF4F3C" w:rsidR="28788473">
        <w:rPr>
          <w:rFonts w:ascii="Times New Roman" w:hAnsi="Times New Roman" w:eastAsia="Times New Roman" w:cs="Times New Roman"/>
          <w:b w:val="0"/>
          <w:bCs w:val="0"/>
          <w:noProof w:val="0"/>
          <w:color w:val="auto"/>
          <w:sz w:val="22"/>
          <w:szCs w:val="22"/>
          <w:lang w:val="en-US"/>
        </w:rPr>
        <w:t xml:space="preserve">, formal procedural </w:t>
      </w:r>
      <w:r w:rsidRPr="7AAF4F3C" w:rsidR="28788473">
        <w:rPr>
          <w:rFonts w:ascii="Times New Roman" w:hAnsi="Times New Roman" w:eastAsia="Times New Roman" w:cs="Times New Roman"/>
          <w:b w:val="0"/>
          <w:bCs w:val="0"/>
          <w:noProof w:val="0"/>
          <w:color w:val="auto"/>
          <w:sz w:val="22"/>
          <w:szCs w:val="22"/>
          <w:lang w:val="en-US"/>
        </w:rPr>
        <w:t>assessment</w:t>
      </w:r>
      <w:r w:rsidRPr="7AAF4F3C" w:rsidR="28788473">
        <w:rPr>
          <w:rFonts w:ascii="Times New Roman" w:hAnsi="Times New Roman" w:eastAsia="Times New Roman" w:cs="Times New Roman"/>
          <w:b w:val="0"/>
          <w:bCs w:val="0"/>
          <w:noProof w:val="0"/>
          <w:color w:val="auto"/>
          <w:sz w:val="22"/>
          <w:szCs w:val="22"/>
          <w:lang w:val="en-US"/>
        </w:rPr>
        <w:t xml:space="preserve">, and a final </w:t>
      </w:r>
      <w:r w:rsidRPr="7AAF4F3C" w:rsidR="28788473">
        <w:rPr>
          <w:rFonts w:ascii="Times New Roman" w:hAnsi="Times New Roman" w:eastAsia="Times New Roman" w:cs="Times New Roman"/>
          <w:b w:val="0"/>
          <w:bCs w:val="0"/>
          <w:noProof w:val="0"/>
          <w:color w:val="auto"/>
          <w:sz w:val="22"/>
          <w:szCs w:val="22"/>
          <w:lang w:val="en-US"/>
        </w:rPr>
        <w:t>clinical</w:t>
      </w:r>
      <w:r w:rsidRPr="7AAF4F3C" w:rsidR="28788473">
        <w:rPr>
          <w:rFonts w:ascii="Times New Roman" w:hAnsi="Times New Roman" w:eastAsia="Times New Roman" w:cs="Times New Roman"/>
          <w:b w:val="0"/>
          <w:bCs w:val="0"/>
          <w:noProof w:val="0"/>
          <w:color w:val="auto"/>
          <w:sz w:val="22"/>
          <w:szCs w:val="22"/>
          <w:lang w:val="en-US"/>
        </w:rPr>
        <w:t xml:space="preserve"> case </w:t>
      </w:r>
      <w:r w:rsidRPr="7AAF4F3C" w:rsidR="28788473">
        <w:rPr>
          <w:rFonts w:ascii="Times New Roman" w:hAnsi="Times New Roman" w:eastAsia="Times New Roman" w:cs="Times New Roman"/>
          <w:b w:val="0"/>
          <w:bCs w:val="0"/>
          <w:noProof w:val="0"/>
          <w:color w:val="auto"/>
          <w:sz w:val="22"/>
          <w:szCs w:val="22"/>
          <w:lang w:val="en-US"/>
        </w:rPr>
        <w:t>project</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were</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not</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implemented</w:t>
      </w:r>
      <w:r w:rsidRPr="7AAF4F3C" w:rsidR="28788473">
        <w:rPr>
          <w:rFonts w:ascii="Times New Roman" w:hAnsi="Times New Roman" w:eastAsia="Times New Roman" w:cs="Times New Roman"/>
          <w:b w:val="0"/>
          <w:bCs w:val="0"/>
          <w:noProof w:val="0"/>
          <w:color w:val="auto"/>
          <w:sz w:val="22"/>
          <w:szCs w:val="22"/>
          <w:lang w:val="en-US"/>
        </w:rPr>
        <w:t xml:space="preserve">. The workshop </w:t>
      </w:r>
      <w:r w:rsidRPr="7AAF4F3C" w:rsidR="28788473">
        <w:rPr>
          <w:rFonts w:ascii="Times New Roman" w:hAnsi="Times New Roman" w:eastAsia="Times New Roman" w:cs="Times New Roman"/>
          <w:b w:val="0"/>
          <w:bCs w:val="0"/>
          <w:noProof w:val="0"/>
          <w:color w:val="auto"/>
          <w:sz w:val="22"/>
          <w:szCs w:val="22"/>
          <w:lang w:val="en-US"/>
        </w:rPr>
        <w:t>analyzed</w:t>
      </w:r>
      <w:r w:rsidRPr="7AAF4F3C" w:rsidR="28788473">
        <w:rPr>
          <w:rFonts w:ascii="Times New Roman" w:hAnsi="Times New Roman" w:eastAsia="Times New Roman" w:cs="Times New Roman"/>
          <w:b w:val="0"/>
          <w:bCs w:val="0"/>
          <w:noProof w:val="0"/>
          <w:color w:val="auto"/>
          <w:sz w:val="22"/>
          <w:szCs w:val="22"/>
          <w:lang w:val="en-US"/>
        </w:rPr>
        <w:t xml:space="preserve"> in </w:t>
      </w:r>
      <w:r w:rsidRPr="7AAF4F3C" w:rsidR="28788473">
        <w:rPr>
          <w:rFonts w:ascii="Times New Roman" w:hAnsi="Times New Roman" w:eastAsia="Times New Roman" w:cs="Times New Roman"/>
          <w:b w:val="0"/>
          <w:bCs w:val="0"/>
          <w:noProof w:val="0"/>
          <w:color w:val="auto"/>
          <w:sz w:val="22"/>
          <w:szCs w:val="22"/>
          <w:lang w:val="en-US"/>
        </w:rPr>
        <w:t>the</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present</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study</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therefore</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consisted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only</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of</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the</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theoretical</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instruction</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ultrasound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familiarization</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supervised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simulated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practice</w:t>
      </w:r>
      <w:r w:rsidRPr="7AAF4F3C" w:rsidR="28788473">
        <w:rPr>
          <w:rFonts w:ascii="Times New Roman" w:hAnsi="Times New Roman" w:eastAsia="Times New Roman" w:cs="Times New Roman"/>
          <w:b w:val="0"/>
          <w:bCs w:val="0"/>
          <w:noProof w:val="0"/>
          <w:color w:val="auto"/>
          <w:sz w:val="22"/>
          <w:szCs w:val="22"/>
          <w:lang w:val="en-US"/>
        </w:rPr>
        <w:t xml:space="preserve">, and formative </w:t>
      </w:r>
      <w:r w:rsidRPr="7AAF4F3C" w:rsidR="28788473">
        <w:rPr>
          <w:rFonts w:ascii="Times New Roman" w:hAnsi="Times New Roman" w:eastAsia="Times New Roman" w:cs="Times New Roman"/>
          <w:b w:val="0"/>
          <w:bCs w:val="0"/>
          <w:noProof w:val="0"/>
          <w:color w:val="auto"/>
          <w:sz w:val="22"/>
          <w:szCs w:val="22"/>
          <w:lang w:val="en-US"/>
        </w:rPr>
        <w:t>feedback</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described</w:t>
      </w:r>
      <w:r w:rsidRPr="7AAF4F3C" w:rsidR="28788473">
        <w:rPr>
          <w:rFonts w:ascii="Times New Roman" w:hAnsi="Times New Roman" w:eastAsia="Times New Roman" w:cs="Times New Roman"/>
          <w:b w:val="0"/>
          <w:bCs w:val="0"/>
          <w:noProof w:val="0"/>
          <w:color w:val="auto"/>
          <w:sz w:val="22"/>
          <w:szCs w:val="22"/>
          <w:lang w:val="en-US"/>
        </w:rPr>
        <w:t xml:space="preserve"> </w:t>
      </w:r>
      <w:r w:rsidRPr="7AAF4F3C" w:rsidR="28788473">
        <w:rPr>
          <w:rFonts w:ascii="Times New Roman" w:hAnsi="Times New Roman" w:eastAsia="Times New Roman" w:cs="Times New Roman"/>
          <w:b w:val="0"/>
          <w:bCs w:val="0"/>
          <w:noProof w:val="0"/>
          <w:color w:val="auto"/>
          <w:sz w:val="22"/>
          <w:szCs w:val="22"/>
          <w:lang w:val="en-US"/>
        </w:rPr>
        <w:t>above</w:t>
      </w:r>
      <w:r w:rsidRPr="7AAF4F3C" w:rsidR="28788473">
        <w:rPr>
          <w:rFonts w:ascii="Times New Roman" w:hAnsi="Times New Roman" w:eastAsia="Times New Roman" w:cs="Times New Roman"/>
          <w:b w:val="0"/>
          <w:bCs w:val="0"/>
          <w:noProof w:val="0"/>
          <w:color w:val="auto"/>
          <w:sz w:val="22"/>
          <w:szCs w:val="22"/>
          <w:lang w:val="en-US"/>
        </w:rPr>
        <w:t>.</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cb14e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BA2D6"/>
    <w:rsid w:val="0B932F8E"/>
    <w:rsid w:val="0F8F9227"/>
    <w:rsid w:val="103FAA07"/>
    <w:rsid w:val="103FAA07"/>
    <w:rsid w:val="1A8DAADC"/>
    <w:rsid w:val="1B27A470"/>
    <w:rsid w:val="28788473"/>
    <w:rsid w:val="435F587F"/>
    <w:rsid w:val="435FD966"/>
    <w:rsid w:val="5861F159"/>
    <w:rsid w:val="5E1A7E65"/>
    <w:rsid w:val="642BA2D6"/>
    <w:rsid w:val="7AAF4F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8FA33"/>
  <w15:chartTrackingRefBased/>
  <w15:docId w15:val="{D0771AFA-3EFA-4A44-9980-5AEB9AE262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7AAF4F3C"/>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AAF4F3C"/>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b26f6a7300a4b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2026-08-16T14:40:13.7938603Z</dcterms:created>
  <dcterms:modified xsi:type="dcterms:W3CDTF">2026-08-16T14:55:22.7063477Z</dcterms:modified>
  <dc:creator>John Alexander Vergel Guerrero</dc:creator>
  <lastModifiedBy>John Alexander Vergel Guerrero</lastModifiedBy>
</coreProperties>
</file>