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B09CA" w14:textId="77777777" w:rsidR="00622B8A" w:rsidRDefault="00622B8A" w:rsidP="00622B8A">
      <w:pPr>
        <w:pStyle w:val="Heading1"/>
      </w:pPr>
      <w:r>
        <w:t>Extended Data figure legends</w:t>
      </w:r>
    </w:p>
    <w:p w14:paraId="6DD33564" w14:textId="77777777" w:rsidR="00622B8A" w:rsidRDefault="00622B8A" w:rsidP="00622B8A">
      <w:pPr>
        <w:pStyle w:val="Figure"/>
      </w:pPr>
      <w:r>
        <w:rPr>
          <w:b/>
          <w:bCs/>
        </w:rPr>
        <w:t>Extended Data Fig. 1 | Study design and analytical workflow.</w:t>
      </w:r>
      <w:r>
        <w:rPr>
          <w:bCs/>
        </w:rPr>
        <w:t xml:space="preserve"> Participants with complete NMR and Olink measurements (N = 28,754) formed the clock-training pool, on which organ aging clocks were built for 14 organs under three training objectives (age acceleration, </w:t>
      </w:r>
      <w:r>
        <w:rPr>
          <w:rFonts w:hint="eastAsia"/>
          <w:bCs/>
        </w:rPr>
        <w:t>organ</w:t>
      </w:r>
      <w:r>
        <w:rPr>
          <w:bCs/>
        </w:rPr>
        <w:t>-specific mortality, all-cause mortality). Within the genotyped European-ancestry participants, the multi-omics subset (N = 25,979) served as the GWAS discovery cohort and the remaining genotype-only participants (N = 383,227) as the validation cohort for polygenic-score validation and the outcome GWAS of the internal Mendelian randomization; GWAS results were carried through LD score regression, polygenic scoring, Mendelian randomisation and gene prioritisation.</w:t>
      </w:r>
    </w:p>
    <w:p w14:paraId="5AB42135" w14:textId="77777777" w:rsidR="00622B8A" w:rsidRDefault="00622B8A" w:rsidP="00622B8A">
      <w:pPr>
        <w:pStyle w:val="Figure"/>
      </w:pPr>
      <w:r>
        <w:rPr>
          <w:b/>
          <w:bCs/>
        </w:rPr>
        <w:t xml:space="preserve">Extended Data Fig. 2 | The prostate paradox: </w:t>
      </w:r>
      <w:r>
        <w:rPr>
          <w:rFonts w:hint="eastAsia"/>
          <w:b/>
          <w:bCs/>
        </w:rPr>
        <w:t>organ</w:t>
      </w:r>
      <w:r>
        <w:rPr>
          <w:b/>
          <w:bCs/>
        </w:rPr>
        <w:t>-specific training recovers disease signal invisible to all-cause training.</w:t>
      </w:r>
      <w:r>
        <w:rPr>
          <w:bCs/>
        </w:rPr>
        <w:t xml:space="preserve"> (a) Prostate-clock hazard ratios (Q5 versus Q3, age-adjusted, 95% CI) for prostate cancer and benign prostatic hyperplasia under the three objectives; the </w:t>
      </w:r>
      <w:r>
        <w:rPr>
          <w:rFonts w:hint="eastAsia"/>
          <w:bCs/>
        </w:rPr>
        <w:t>organ</w:t>
      </w:r>
      <w:r>
        <w:rPr>
          <w:bCs/>
        </w:rPr>
        <w:t xml:space="preserve">-specific clock strongly predicts prostate cancer, where the all-cause and age-acceleration clocks are null. (b) The dilution mechanism: all-cause deaths in the prostate-clock discovery cohort split into a prostate-cancer-attributable slice (pink) and other causes (grey); the </w:t>
      </w:r>
      <w:r>
        <w:rPr>
          <w:rFonts w:hint="eastAsia"/>
          <w:bCs/>
        </w:rPr>
        <w:t>organ</w:t>
      </w:r>
      <w:r>
        <w:rPr>
          <w:bCs/>
        </w:rPr>
        <w:t xml:space="preserve">organ-specific clock trains on the pink slice alone, the all-cause clock on the whole bar. (c) Cumulative prostate-cancer prevalence by clock quintile (Q1–Q5) under each objective; the </w:t>
      </w:r>
      <w:r>
        <w:rPr>
          <w:rFonts w:hint="eastAsia"/>
          <w:bCs/>
        </w:rPr>
        <w:t>organ</w:t>
      </w:r>
      <w:r>
        <w:rPr>
          <w:bCs/>
        </w:rPr>
        <w:t xml:space="preserve">organ-specific clock separates Q5 from Q1, the all-cause clock shows no ordering. (d) Cross-clock feature-weight redistribution: the </w:t>
      </w:r>
      <w:r>
        <w:rPr>
          <w:rFonts w:hint="eastAsia"/>
          <w:bCs/>
        </w:rPr>
        <w:t>organ</w:t>
      </w:r>
      <w:r>
        <w:rPr>
          <w:bCs/>
        </w:rPr>
        <w:t>organ-specific clock ranks KLK3 (PSA) first, the all-cause clock marginalises it in favour of systemic markers (GDF15, KLK4, SHBG), the age-acceleration clock is intermediate. (e) Generalisation across the 23 organ-matched pairs: five-year disease fatality (x, log scale) versus log(</w:t>
      </w:r>
      <w:r>
        <w:rPr>
          <w:rFonts w:hint="eastAsia"/>
          <w:bCs/>
        </w:rPr>
        <w:t>organ</w:t>
      </w:r>
      <w:r>
        <w:rPr>
          <w:bCs/>
        </w:rPr>
        <w:t>organ-specific HR) − log(all-cause HR); the advantage peaks at intermediate fatality (prostate cancer, cirrhosis, type 2 diabetes) and falls toward zero at both extremes.</w:t>
      </w:r>
    </w:p>
    <w:p w14:paraId="4B6ACD0A" w14:textId="77777777" w:rsidR="00622B8A" w:rsidRDefault="00622B8A" w:rsidP="00622B8A">
      <w:pPr>
        <w:pStyle w:val="Figure"/>
      </w:pPr>
      <w:r>
        <w:rPr>
          <w:b/>
          <w:bCs/>
        </w:rPr>
        <w:t>Extended Data Fig. 3 | Gene prioritisation: triangulation, organ breadth and feature-ablation trajectories.</w:t>
      </w:r>
      <w:r>
        <w:rPr>
          <w:bCs/>
        </w:rPr>
        <w:t xml:space="preserve"> (a) Three-set Venn of gene-level overlap across TWAS (95 genes), COLOC (10) and SMR (53); the triple intersection (4 genes, the </w:t>
      </w:r>
      <w:r>
        <w:rPr>
          <w:bCs/>
          <w:i/>
        </w:rPr>
        <w:t>FADS</w:t>
      </w:r>
      <w:r>
        <w:rPr>
          <w:bCs/>
        </w:rPr>
        <w:t xml:space="preserve"> cluster) anchors the eQTL-validated core. (b) The 13 prioritised genes ranked by organ breadth, each bar segmented by organ colour, with evidence source (filled square, triple-validated; open circle, cis-pQTL) and pair count annotated at right. (c) Per-organ distribution of the prioritised pairs (breast, liver and kidney lead). (d) Feature-ablation trajectories for six exemplar genes across three feature scopes (full → non-NMR → protein-only), red dashed line P = 5 × 10⁻⁸: </w:t>
      </w:r>
      <w:r>
        <w:rPr>
          <w:bCs/>
          <w:i/>
        </w:rPr>
        <w:t>FADS1</w:t>
      </w:r>
      <w:r>
        <w:rPr>
          <w:bCs/>
        </w:rPr>
        <w:t>/</w:t>
      </w:r>
      <w:r>
        <w:rPr>
          <w:bCs/>
          <w:i/>
        </w:rPr>
        <w:t>2</w:t>
      </w:r>
      <w:r>
        <w:rPr>
          <w:bCs/>
        </w:rPr>
        <w:t xml:space="preserve"> and </w:t>
      </w:r>
      <w:r>
        <w:rPr>
          <w:bCs/>
          <w:i/>
        </w:rPr>
        <w:t>APOE</w:t>
      </w:r>
      <w:r>
        <w:rPr>
          <w:bCs/>
        </w:rPr>
        <w:t xml:space="preserve"> (NMR-metabolite layer) collapse once NMR features are removed, while </w:t>
      </w:r>
      <w:r>
        <w:rPr>
          <w:bCs/>
          <w:i/>
        </w:rPr>
        <w:t>GDF15</w:t>
      </w:r>
      <w:r>
        <w:rPr>
          <w:bCs/>
        </w:rPr>
        <w:t xml:space="preserve">, </w:t>
      </w:r>
      <w:r>
        <w:rPr>
          <w:bCs/>
          <w:i/>
        </w:rPr>
        <w:t>HAVCR1</w:t>
      </w:r>
      <w:r>
        <w:rPr>
          <w:bCs/>
        </w:rPr>
        <w:t xml:space="preserve"> and </w:t>
      </w:r>
      <w:r>
        <w:rPr>
          <w:bCs/>
          <w:i/>
        </w:rPr>
        <w:t>SFTPD</w:t>
      </w:r>
      <w:r>
        <w:rPr>
          <w:bCs/>
        </w:rPr>
        <w:t xml:space="preserve"> (Olink-protein layer) stay robust under a protein-only scope.</w:t>
      </w:r>
    </w:p>
    <w:p w14:paraId="5B48C9DB" w14:textId="77777777" w:rsidR="00622B8A" w:rsidRDefault="00622B8A" w:rsidP="00622B8A">
      <w:pPr>
        <w:pStyle w:val="Figure"/>
      </w:pPr>
      <w:r>
        <w:rPr>
          <w:b/>
          <w:bCs/>
        </w:rPr>
        <w:t>Extended Data Fig. 4 | Genetic sharing and specificity diagnostics: disease genetic-correlation structure and polygenic-score organ-specificity.</w:t>
      </w:r>
      <w:r>
        <w:rPr>
          <w:bCs/>
        </w:rPr>
        <w:t xml:space="preserve"> (a) |rg| for the 23 organ-matched disease pairs versus all other combinations, by clock type (LDSC against 29 FinnGen GWAS; full matrix in Supplementary Data 5); only the organ-specific clocks show matched significantly above unmatched (one-sided Mann–Whitney). (b) Genome-wide rg versus phenotypic Cox hazard ratio (Q5/Q3) per organ-disease pair, by clock type; Pearson r annotated, Bonferroni-significant pairs gold-bordered. (c) Polygenic-score organ-specificity for 12 matched pairs: the </w:t>
      </w:r>
      <w:r>
        <w:rPr>
          <w:bCs/>
        </w:rPr>
        <w:lastRenderedPageBreak/>
        <w:t>matched organ’s |z| in the Q5-versus-Q3 test, the best clock type inside each bar, and the matched organ’s rank among the 42 scores at right (dashed line, Bonferroni |z| = 4.04); full heatmap in Supplementary Data 7. (d) Leave-top-locus-out sensitivity for the four Bonferroni-significant pairs: the full score’s Q5-versus-Q3 odds ratio versus the odds ratio after removing the strongest lead SNP and its ±500-kb block; green, survives (OR &gt; 1.05); red, collapses to single-locus dominance.</w:t>
      </w:r>
    </w:p>
    <w:p w14:paraId="1274AC81" w14:textId="77777777" w:rsidR="00622B8A" w:rsidRDefault="00622B8A" w:rsidP="00622B8A">
      <w:pPr>
        <w:pStyle w:val="Figure"/>
      </w:pPr>
      <w:r>
        <w:rPr>
          <w:b/>
          <w:bCs/>
        </w:rPr>
        <w:t>Extended Data Fig. 5 | Mendelian randomisation: bidirectional balance, sensitivity, instrument strength and modifiable exposures.</w:t>
      </w:r>
      <w:r>
        <w:rPr>
          <w:bCs/>
        </w:rPr>
        <w:t xml:space="preserve"> (a) Per-disease reverse versus forward maximum |z| (FinnGen); points above the diagonal are reverse-dominant, sized by the number of Bonferroni-significant pairs. (b) MR-Egger intercept distributions for the three MR sets (medians indistinguishable from zero), supporting negligible directional pleiotropy. (c) Mean instrument F-statistic per internal-MR pair; none falls below the weak-instrument threshold of F = 10. (d) Leave-one-out consistency of the Bonferroni-significant pairs (green, significant in every iteration; red, not). (e) Modifiable-exposure MR for five modifiable exposures × 14 organs, one z heatmap per clock type; gold border, Bonferroni-significant (P &lt; 0.05/210). Body-mass index dominates (positive) and vigorous physical activity is protective (negative). (f) Strongest Bonferroni-significant environmental-MR pairs, top eight per exposure (IVW β ± 95% CI; colour, exposure).</w:t>
      </w:r>
    </w:p>
    <w:p w14:paraId="183AB316" w14:textId="77777777" w:rsidR="00F553FF" w:rsidRDefault="00F553FF"/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B8A"/>
    <w:rsid w:val="003C2EF4"/>
    <w:rsid w:val="00446799"/>
    <w:rsid w:val="00471820"/>
    <w:rsid w:val="00622B8A"/>
    <w:rsid w:val="006A7E07"/>
    <w:rsid w:val="00701021"/>
    <w:rsid w:val="00866E40"/>
    <w:rsid w:val="00B74216"/>
    <w:rsid w:val="00CF0FCC"/>
    <w:rsid w:val="00D35FC9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523A8"/>
  <w15:chartTrackingRefBased/>
  <w15:docId w15:val="{B5409DD7-1C0A-422C-8ADC-FC5D36A09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2B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2B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2B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2B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2B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2B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2B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2B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2B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2B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2B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2B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2B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2B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2B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2B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2B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2B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2B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2B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2B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2B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2B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2B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2B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2B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B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B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2B8A"/>
    <w:rPr>
      <w:b/>
      <w:bCs/>
      <w:smallCaps/>
      <w:color w:val="0F4761" w:themeColor="accent1" w:themeShade="BF"/>
      <w:spacing w:val="5"/>
    </w:rPr>
  </w:style>
  <w:style w:type="paragraph" w:customStyle="1" w:styleId="Figure">
    <w:name w:val="Figure"/>
    <w:basedOn w:val="Normal"/>
    <w:rsid w:val="00622B8A"/>
    <w:pPr>
      <w:spacing w:after="200" w:line="240" w:lineRule="auto"/>
    </w:pPr>
    <w:rPr>
      <w:rFonts w:ascii="Times New Roman" w:eastAsiaTheme="minorEastAsia" w:hAnsi="Times New Roman" w:cs="Times New Roman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772</Words>
  <Characters>4401</Characters>
  <Application>Microsoft Office Word</Application>
  <DocSecurity>0</DocSecurity>
  <Lines>36</Lines>
  <Paragraphs>10</Paragraphs>
  <ScaleCrop>false</ScaleCrop>
  <Company>Springer Nature</Company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2026-09-30T01:40:00Z</dcterms:created>
  <dcterms:modified xsi:type="dcterms:W3CDTF">2026-09-30T01:40:00Z</dcterms:modified>
</cp:coreProperties>
</file>