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84154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b/>
          <w:sz w:val="24"/>
          <w:szCs w:val="24"/>
        </w:rPr>
        <w:t>Supplementary Information</w:t>
      </w:r>
    </w:p>
    <w:p w14:paraId="057A996C" w14:textId="77777777" w:rsidR="00E235F4" w:rsidRDefault="00E235F4" w:rsidP="00E235F4">
      <w:pPr>
        <w:spacing w:line="360" w:lineRule="auto"/>
        <w:jc w:val="center"/>
        <w:rPr>
          <w:b/>
          <w:sz w:val="24"/>
          <w:szCs w:val="24"/>
        </w:rPr>
      </w:pPr>
    </w:p>
    <w:p w14:paraId="109F1BE5" w14:textId="68364825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proofErr w:type="spellStart"/>
      <w:r w:rsidRPr="00E235F4">
        <w:rPr>
          <w:b/>
          <w:i/>
          <w:iCs/>
          <w:sz w:val="24"/>
          <w:szCs w:val="24"/>
        </w:rPr>
        <w:t>Algoriphagus</w:t>
      </w:r>
      <w:proofErr w:type="spellEnd"/>
      <w:r w:rsidRPr="00E235F4">
        <w:rPr>
          <w:b/>
          <w:i/>
          <w:iCs/>
          <w:sz w:val="24"/>
          <w:szCs w:val="24"/>
        </w:rPr>
        <w:t xml:space="preserve"> </w:t>
      </w:r>
      <w:proofErr w:type="spellStart"/>
      <w:r w:rsidRPr="00E235F4">
        <w:rPr>
          <w:b/>
          <w:i/>
          <w:iCs/>
          <w:sz w:val="24"/>
          <w:szCs w:val="24"/>
        </w:rPr>
        <w:t>limicola</w:t>
      </w:r>
      <w:proofErr w:type="spellEnd"/>
      <w:r w:rsidRPr="00E235F4">
        <w:rPr>
          <w:b/>
          <w:sz w:val="24"/>
          <w:szCs w:val="24"/>
        </w:rPr>
        <w:t xml:space="preserve"> sp. nov., isolated from marine mud: genome-based taxonomy and carotenoid-associated features</w:t>
      </w:r>
    </w:p>
    <w:p w14:paraId="36A2A4B2" w14:textId="77777777" w:rsidR="00E235F4" w:rsidRDefault="00E235F4" w:rsidP="00E235F4">
      <w:pPr>
        <w:spacing w:line="360" w:lineRule="auto"/>
        <w:jc w:val="center"/>
        <w:rPr>
          <w:sz w:val="24"/>
          <w:szCs w:val="24"/>
        </w:rPr>
      </w:pPr>
    </w:p>
    <w:p w14:paraId="42FDD4A4" w14:textId="4B5C7FE0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proofErr w:type="spellStart"/>
      <w:r w:rsidRPr="00E235F4">
        <w:rPr>
          <w:sz w:val="24"/>
          <w:szCs w:val="24"/>
        </w:rPr>
        <w:t>Eunseo</w:t>
      </w:r>
      <w:proofErr w:type="spellEnd"/>
      <w:r w:rsidRPr="00E235F4">
        <w:rPr>
          <w:sz w:val="24"/>
          <w:szCs w:val="24"/>
        </w:rPr>
        <w:t xml:space="preserve"> Cho · </w:t>
      </w:r>
      <w:proofErr w:type="spellStart"/>
      <w:r w:rsidRPr="00E235F4">
        <w:rPr>
          <w:sz w:val="24"/>
          <w:szCs w:val="24"/>
        </w:rPr>
        <w:t>Yuna</w:t>
      </w:r>
      <w:proofErr w:type="spellEnd"/>
      <w:r w:rsidRPr="00E235F4">
        <w:rPr>
          <w:sz w:val="24"/>
          <w:szCs w:val="24"/>
        </w:rPr>
        <w:t xml:space="preserve"> Park · Jung-Sook Lee · Jung-Hoon Yoon · Wonyong Kim</w:t>
      </w:r>
    </w:p>
    <w:p w14:paraId="1ED3771D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318D5DB7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Fig. S1. Maximum-likelihood tree inferred under the Tamura–Nei model from 16S rRNA gene sequences, showing the position of CAU 1675ᵀ among related taxa. </w:t>
      </w:r>
      <w:r w:rsidRPr="00E235F4">
        <w:rPr>
          <w:i/>
          <w:sz w:val="24"/>
          <w:szCs w:val="24"/>
        </w:rPr>
        <w:t>Echinicola pacifica</w:t>
      </w:r>
      <w:r w:rsidRPr="00E235F4">
        <w:rPr>
          <w:sz w:val="24"/>
          <w:szCs w:val="24"/>
        </w:rPr>
        <w:t xml:space="preserve"> DSM 19836ᵀ (MT758060) was used as the outgroup. Bootstrap values ≥50% from 1,000 replicates are shown. Bar, 0.05 substitutions per site.</w:t>
      </w:r>
    </w:p>
    <w:p w14:paraId="17510894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673E15CC" wp14:editId="53D7272C">
            <wp:extent cx="5220000" cy="41975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19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2DA1A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4035E419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Fig. S2. Maximum-parsimony tree based on 16S rRNA gene sequences, showing the position of CAU 1675ᵀ among related taxa. </w:t>
      </w:r>
      <w:r w:rsidRPr="00E235F4">
        <w:rPr>
          <w:i/>
          <w:sz w:val="24"/>
          <w:szCs w:val="24"/>
        </w:rPr>
        <w:t>Echinicola pacifica</w:t>
      </w:r>
      <w:r w:rsidRPr="00E235F4">
        <w:rPr>
          <w:sz w:val="24"/>
          <w:szCs w:val="24"/>
        </w:rPr>
        <w:t xml:space="preserve"> DSM 19836ᵀ (MT758060) was used as the outgroup. Bootstrap values ≥50% from 1,000 replicates are shown.</w:t>
      </w:r>
    </w:p>
    <w:p w14:paraId="6E7C65F3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0006AAB0" wp14:editId="1ACEE467">
            <wp:extent cx="5220000" cy="45829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58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0176F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426FD66A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Fig. S3. Split heat map of pairwise ANIb and AAI values among CAU 1675ᵀ and four related type strains. The upper triangle shows ANIb </w:t>
      </w:r>
      <w:proofErr w:type="gramStart"/>
      <w:r w:rsidRPr="00E235F4">
        <w:rPr>
          <w:sz w:val="24"/>
          <w:szCs w:val="24"/>
        </w:rPr>
        <w:t>values</w:t>
      </w:r>
      <w:proofErr w:type="gramEnd"/>
      <w:r w:rsidRPr="00E235F4">
        <w:rPr>
          <w:sz w:val="24"/>
          <w:szCs w:val="24"/>
        </w:rPr>
        <w:t xml:space="preserve"> and the lower triangle shows AAI values.</w:t>
      </w:r>
    </w:p>
    <w:p w14:paraId="57817939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0E1CFB52" wp14:editId="08E226E0">
            <wp:extent cx="5220000" cy="42781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5BF2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31181D65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>Fig. S4. RAST subsystem annotation of the CAU 1675ᵀ genome, showing subsystem coverage, category distribution and feature counts.</w:t>
      </w:r>
    </w:p>
    <w:p w14:paraId="052C744D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66FA07AF" wp14:editId="2105BA24">
            <wp:extent cx="5220000" cy="241014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41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661D3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7993A9CD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Fig. S5. antiSMASH-based analysis of terpene-associated biosynthetic gene clusters in CAU 1675ᵀ. (A) Predicted biosynthetic gene clusters, including terpene/terpene-precursor and RRE-containing regions. (B, C) Comparison of the carotenoid-associated terpene region with </w:t>
      </w:r>
      <w:r w:rsidRPr="00E235F4">
        <w:rPr>
          <w:i/>
          <w:sz w:val="24"/>
          <w:szCs w:val="24"/>
        </w:rPr>
        <w:t>Algoriphagus</w:t>
      </w:r>
      <w:r w:rsidRPr="00E235F4">
        <w:rPr>
          <w:sz w:val="24"/>
          <w:szCs w:val="24"/>
        </w:rPr>
        <w:t xml:space="preserve"> sp. KK10202C. (D) Putative pathway products inferred from antiSMASH and BlastKOALA annotations.</w:t>
      </w:r>
    </w:p>
    <w:p w14:paraId="30E6089F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73C2AA54" wp14:editId="0E0D3BA6">
            <wp:extent cx="5220000" cy="3850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85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58C04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1839172C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>Fig. S6. Distribution of predicted proteins from CAU 1675ᵀ among COG functional categories.</w:t>
      </w:r>
    </w:p>
    <w:p w14:paraId="613AC2C8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2CB60EC5" wp14:editId="5F616FA2">
            <wp:extent cx="5220000" cy="402847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02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F5DA8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4DC8B831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Fig. S7. Orthologous gene clusters shared among CAU 1675ᵀ and four related </w:t>
      </w:r>
      <w:r w:rsidRPr="00E235F4">
        <w:rPr>
          <w:i/>
          <w:sz w:val="24"/>
          <w:szCs w:val="24"/>
        </w:rPr>
        <w:t>Algoriphagus</w:t>
      </w:r>
      <w:r w:rsidRPr="00E235F4">
        <w:rPr>
          <w:sz w:val="24"/>
          <w:szCs w:val="24"/>
        </w:rPr>
        <w:t xml:space="preserve"> type strains, visualised with OrthoVenn3.</w:t>
      </w:r>
    </w:p>
    <w:p w14:paraId="284F188D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38049269" wp14:editId="2271A9F3">
            <wp:extent cx="5400000" cy="23278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2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DB083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741982E1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>Fig. S8. UV–visible absorption spectrum (230–800 nm) of the methanolic cell extract of CAU 1675ᵀ. The absorption maximum is 476 nm, consistent with a carotenoid-type pigment.</w:t>
      </w:r>
    </w:p>
    <w:p w14:paraId="11BEE428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7D91A704" wp14:editId="57C13931">
            <wp:extent cx="5220000" cy="350269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50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39417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32953416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>Fig. S9. Transmission electron micrograph of CAU 1675ᵀ grown on marine agar for 3 days at 30 °C. Bar, 200 nm.</w:t>
      </w:r>
    </w:p>
    <w:p w14:paraId="20FC01E4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2ABBE6A4" wp14:editId="058BF341">
            <wp:extent cx="5220000" cy="5220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52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14FC1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24BDADB4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>Fig. S10. Disc diffusion assay of CAU 1675ᵀ. Discs: (A) clindamycin, 2 μg; (B) erythromycin, 15 μg; (C) chloramphenicol, 30 μg; (D) ampicillin, 10 μg; (E) tetracycline, 30 μg; (F) vancomycin, 30 μg; (G) kanamycin, 30 μg; (H) streptomycin, 10 μg.</w:t>
      </w:r>
    </w:p>
    <w:p w14:paraId="1BBD9F58" w14:textId="77777777" w:rsidR="005B515B" w:rsidRPr="00E235F4" w:rsidRDefault="00DD7B97" w:rsidP="00E235F4">
      <w:pPr>
        <w:spacing w:line="360" w:lineRule="auto"/>
        <w:jc w:val="center"/>
        <w:rPr>
          <w:sz w:val="24"/>
          <w:szCs w:val="24"/>
        </w:rPr>
      </w:pPr>
      <w:r w:rsidRPr="00E235F4">
        <w:rPr>
          <w:noProof/>
          <w:sz w:val="24"/>
          <w:szCs w:val="24"/>
        </w:rPr>
        <w:drawing>
          <wp:inline distT="0" distB="0" distL="0" distR="0" wp14:anchorId="64FFB7A3" wp14:editId="4134DCCE">
            <wp:extent cx="5400000" cy="254433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6BB59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br w:type="page"/>
      </w:r>
    </w:p>
    <w:p w14:paraId="359E3101" w14:textId="70B7AC8F" w:rsidR="005B515B" w:rsidRPr="00E235F4" w:rsidRDefault="00DD7B97">
      <w:pPr>
        <w:keepNext/>
        <w:spacing w:before="200" w:after="80" w:line="252" w:lineRule="auto"/>
        <w:rPr>
          <w:b/>
          <w:sz w:val="24"/>
          <w:szCs w:val="24"/>
        </w:rPr>
      </w:pPr>
      <w:r w:rsidRPr="00E235F4">
        <w:rPr>
          <w:b/>
          <w:sz w:val="24"/>
          <w:szCs w:val="24"/>
        </w:rPr>
        <w:lastRenderedPageBreak/>
        <w:t>Supplementary tables</w:t>
      </w:r>
    </w:p>
    <w:p w14:paraId="5163D0FA" w14:textId="77777777" w:rsidR="00E235F4" w:rsidRDefault="00E235F4">
      <w:pPr>
        <w:keepNext/>
        <w:spacing w:before="200" w:after="80" w:line="252" w:lineRule="auto"/>
      </w:pPr>
    </w:p>
    <w:p w14:paraId="10CACDE1" w14:textId="77777777" w:rsidR="005B515B" w:rsidRPr="00E235F4" w:rsidRDefault="00DD7B97" w:rsidP="00E235F4">
      <w:pPr>
        <w:spacing w:line="360" w:lineRule="auto"/>
        <w:rPr>
          <w:sz w:val="24"/>
          <w:szCs w:val="24"/>
        </w:rPr>
      </w:pPr>
      <w:r w:rsidRPr="00E235F4">
        <w:rPr>
          <w:sz w:val="24"/>
          <w:szCs w:val="24"/>
        </w:rPr>
        <w:t xml:space="preserve">Table S1. ANIb, dDDH and AAI values (%) between CAU 1675ᵀ and four related type strains. Strains: 1, </w:t>
      </w:r>
      <w:r w:rsidRPr="00E235F4">
        <w:rPr>
          <w:i/>
          <w:sz w:val="24"/>
          <w:szCs w:val="24"/>
        </w:rPr>
        <w:t>A. ornithinivorans</w:t>
      </w:r>
      <w:r w:rsidRPr="00E235F4">
        <w:rPr>
          <w:sz w:val="24"/>
          <w:szCs w:val="24"/>
        </w:rPr>
        <w:t xml:space="preserve"> IMSNU 14014ᵀ; 2, </w:t>
      </w:r>
      <w:r w:rsidRPr="00E235F4">
        <w:rPr>
          <w:i/>
          <w:sz w:val="24"/>
          <w:szCs w:val="24"/>
        </w:rPr>
        <w:t>A. kandeliae</w:t>
      </w:r>
      <w:r w:rsidRPr="00E235F4">
        <w:rPr>
          <w:sz w:val="24"/>
          <w:szCs w:val="24"/>
        </w:rPr>
        <w:t xml:space="preserve"> XY-J91ᵀ; 3, </w:t>
      </w:r>
      <w:r w:rsidRPr="00E235F4">
        <w:rPr>
          <w:i/>
          <w:sz w:val="24"/>
          <w:szCs w:val="24"/>
        </w:rPr>
        <w:t>A. zhangzhouensis</w:t>
      </w:r>
      <w:r w:rsidRPr="00E235F4">
        <w:rPr>
          <w:sz w:val="24"/>
          <w:szCs w:val="24"/>
        </w:rPr>
        <w:t xml:space="preserve"> CGMCC 1.11027ᵀ; 4, </w:t>
      </w:r>
      <w:r w:rsidRPr="00E235F4">
        <w:rPr>
          <w:i/>
          <w:sz w:val="24"/>
          <w:szCs w:val="24"/>
        </w:rPr>
        <w:t>A. algorifonticola</w:t>
      </w:r>
      <w:r w:rsidRPr="00E235F4">
        <w:rPr>
          <w:sz w:val="24"/>
          <w:szCs w:val="24"/>
        </w:rPr>
        <w:t xml:space="preserve"> hg1ᵀ.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675"/>
        <w:gridCol w:w="1701"/>
        <w:gridCol w:w="1701"/>
        <w:gridCol w:w="1701"/>
        <w:gridCol w:w="1701"/>
      </w:tblGrid>
      <w:tr w:rsidR="005B515B" w14:paraId="761A13B6" w14:textId="77777777" w:rsidTr="00E235F4">
        <w:trPr>
          <w:tblHeader/>
          <w:jc w:val="center"/>
        </w:trPr>
        <w:tc>
          <w:tcPr>
            <w:tcW w:w="26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8F466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b/>
                <w:sz w:val="24"/>
                <w:szCs w:val="24"/>
              </w:rPr>
              <w:t>Values (%)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D4C7B8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FEAF71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D5479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BE784E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b/>
                <w:sz w:val="24"/>
                <w:szCs w:val="24"/>
              </w:rPr>
              <w:t>4</w:t>
            </w:r>
          </w:p>
        </w:tc>
      </w:tr>
      <w:tr w:rsidR="005B515B" w14:paraId="4981E833" w14:textId="77777777" w:rsidTr="00E235F4">
        <w:trPr>
          <w:jc w:val="center"/>
        </w:trPr>
        <w:tc>
          <w:tcPr>
            <w:tcW w:w="26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322FA" w14:textId="77777777" w:rsidR="005B515B" w:rsidRPr="00E235F4" w:rsidRDefault="00DD7B97" w:rsidP="00E235F4">
            <w:pPr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ANIb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11C663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72.5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F47737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71.8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E5C1D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72.1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7083EC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72.5</w:t>
            </w:r>
          </w:p>
        </w:tc>
      </w:tr>
      <w:tr w:rsidR="005B515B" w14:paraId="7DD59C54" w14:textId="77777777" w:rsidTr="00E235F4">
        <w:trPr>
          <w:jc w:val="center"/>
        </w:trPr>
        <w:tc>
          <w:tcPr>
            <w:tcW w:w="26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5C2EC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dDDH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039BC5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17.2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7BABB6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16.7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7221C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17.0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646078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16.9</w:t>
            </w:r>
          </w:p>
        </w:tc>
      </w:tr>
      <w:tr w:rsidR="005B515B" w14:paraId="464053B6" w14:textId="77777777" w:rsidTr="00E235F4">
        <w:trPr>
          <w:jc w:val="center"/>
        </w:trPr>
        <w:tc>
          <w:tcPr>
            <w:tcW w:w="267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DB4053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AAI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3F62BB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77.8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B6AB7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76.6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F9AC98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76.9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F3351" w14:textId="77777777" w:rsidR="005B515B" w:rsidRPr="00E235F4" w:rsidRDefault="00DD7B97" w:rsidP="00E235F4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E235F4">
              <w:rPr>
                <w:sz w:val="24"/>
                <w:szCs w:val="24"/>
              </w:rPr>
              <w:t>77.6</w:t>
            </w:r>
          </w:p>
        </w:tc>
      </w:tr>
    </w:tbl>
    <w:p w14:paraId="2CD84A2E" w14:textId="77777777" w:rsidR="005B515B" w:rsidRDefault="00DD7B97">
      <w:pPr>
        <w:spacing w:after="80" w:line="252" w:lineRule="auto"/>
      </w:pPr>
      <w:r>
        <w:br w:type="page"/>
      </w:r>
    </w:p>
    <w:p w14:paraId="00A2911E" w14:textId="77777777" w:rsidR="005B515B" w:rsidRPr="00E235F4" w:rsidRDefault="00DD7B97" w:rsidP="009C400C">
      <w:pPr>
        <w:widowControl w:val="0"/>
        <w:spacing w:after="80" w:line="252" w:lineRule="auto"/>
        <w:rPr>
          <w:sz w:val="24"/>
          <w:szCs w:val="24"/>
        </w:rPr>
      </w:pPr>
      <w:r w:rsidRPr="00E235F4">
        <w:rPr>
          <w:sz w:val="24"/>
          <w:szCs w:val="24"/>
        </w:rPr>
        <w:lastRenderedPageBreak/>
        <w:t xml:space="preserve">Table S2. RAST subsystem feature counts for CAU 1675ᵀ and four related </w:t>
      </w:r>
      <w:r w:rsidRPr="00E235F4">
        <w:rPr>
          <w:i/>
          <w:sz w:val="24"/>
          <w:szCs w:val="24"/>
        </w:rPr>
        <w:t>Algoriphagus</w:t>
      </w:r>
      <w:r w:rsidRPr="00E235F4">
        <w:rPr>
          <w:sz w:val="24"/>
          <w:szCs w:val="24"/>
        </w:rPr>
        <w:t xml:space="preserve"> type strains. Strains: 1, CAU 1675ᵀ; 2, </w:t>
      </w:r>
      <w:r w:rsidRPr="00E235F4">
        <w:rPr>
          <w:i/>
          <w:sz w:val="24"/>
          <w:szCs w:val="24"/>
        </w:rPr>
        <w:t>A. ornithinivorans</w:t>
      </w:r>
      <w:r w:rsidRPr="00E235F4">
        <w:rPr>
          <w:sz w:val="24"/>
          <w:szCs w:val="24"/>
        </w:rPr>
        <w:t xml:space="preserve"> IMSNU 14014ᵀ; 3, </w:t>
      </w:r>
      <w:r w:rsidRPr="00E235F4">
        <w:rPr>
          <w:i/>
          <w:sz w:val="24"/>
          <w:szCs w:val="24"/>
        </w:rPr>
        <w:t>A. kandeliae</w:t>
      </w:r>
      <w:r w:rsidRPr="00E235F4">
        <w:rPr>
          <w:sz w:val="24"/>
          <w:szCs w:val="24"/>
        </w:rPr>
        <w:t xml:space="preserve"> XY-J91ᵀ; 4, </w:t>
      </w:r>
      <w:r w:rsidRPr="00E235F4">
        <w:rPr>
          <w:i/>
          <w:sz w:val="24"/>
          <w:szCs w:val="24"/>
        </w:rPr>
        <w:t>A. zhangzhouensis</w:t>
      </w:r>
      <w:r w:rsidRPr="00E235F4">
        <w:rPr>
          <w:sz w:val="24"/>
          <w:szCs w:val="24"/>
        </w:rPr>
        <w:t xml:space="preserve"> CGMCC 1.11027ᵀ; 5, </w:t>
      </w:r>
      <w:r w:rsidRPr="00E235F4">
        <w:rPr>
          <w:i/>
          <w:sz w:val="24"/>
          <w:szCs w:val="24"/>
        </w:rPr>
        <w:t>A. algorifonticola</w:t>
      </w:r>
      <w:r w:rsidRPr="00E235F4">
        <w:rPr>
          <w:sz w:val="24"/>
          <w:szCs w:val="24"/>
        </w:rPr>
        <w:t xml:space="preserve"> hg1ᵀ.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892"/>
        <w:gridCol w:w="1331"/>
        <w:gridCol w:w="1332"/>
        <w:gridCol w:w="1331"/>
        <w:gridCol w:w="1332"/>
        <w:gridCol w:w="1332"/>
      </w:tblGrid>
      <w:tr w:rsidR="005B515B" w14:paraId="0F181C03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5ED8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Subsystem feature counts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967F1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7083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225AC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0069D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A35A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b/>
                <w:sz w:val="24"/>
                <w:szCs w:val="24"/>
              </w:rPr>
              <w:t>5</w:t>
            </w:r>
          </w:p>
        </w:tc>
      </w:tr>
      <w:tr w:rsidR="005B515B" w14:paraId="263C3DD9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74D3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Cofactors, vitamins, prosthetic groups, pigments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B3F8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A10F7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BE22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1129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B426A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145</w:t>
            </w:r>
          </w:p>
        </w:tc>
      </w:tr>
      <w:tr w:rsidR="005B515B" w14:paraId="70147CB4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D6B7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Cell wall and capsule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B1D3C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16882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3357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D6C72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A33AD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33</w:t>
            </w:r>
          </w:p>
        </w:tc>
      </w:tr>
      <w:tr w:rsidR="005B515B" w14:paraId="1F9324F4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00ED5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Virulence, disease and defence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9D13D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0048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89FFC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5C47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EDEC6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36</w:t>
            </w:r>
          </w:p>
        </w:tc>
      </w:tr>
      <w:tr w:rsidR="005B515B" w14:paraId="62C8C7F0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FD6FF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Potassium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C767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18E40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F0E0F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F370A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6438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5B515B" w14:paraId="7A68EE3F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AB29B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Photosynthesis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D128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D6B5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BC94D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A7018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F36B5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5B515B" w14:paraId="2448483C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88CF5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Miscellaneous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6F82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EB995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63A8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129F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147E9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5B515B" w14:paraId="02E344BE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07EB2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Phages, prophages, transposable elements, plasmids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D6253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5DAEB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040A6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0EC0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BF99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5B515B" w14:paraId="36E7B703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0DE8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Membrane transport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6A38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CA73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D7F12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4A340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BB2E2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</w:tr>
      <w:tr w:rsidR="005B515B" w14:paraId="36B466C4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64C42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Iron acquisition and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C70D9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618E3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99691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2398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46C30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5B515B" w14:paraId="0BCD29C6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73FD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RNA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94F1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1BBE0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55236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CD81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3C210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43</w:t>
            </w:r>
          </w:p>
        </w:tc>
      </w:tr>
      <w:tr w:rsidR="005B515B" w14:paraId="44D5E160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C844E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Nucleosides and nucleotides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93A8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17EFC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56030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BFE34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E5D8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59</w:t>
            </w:r>
          </w:p>
        </w:tc>
      </w:tr>
      <w:tr w:rsidR="005B515B" w14:paraId="2750FC84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3EC9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Protein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8C0C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D8CDF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149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633D2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117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CC2C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149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9111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151</w:t>
            </w:r>
          </w:p>
        </w:tc>
      </w:tr>
      <w:tr w:rsidR="005B515B" w14:paraId="6D218C76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F41C0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Cell division and cell cycle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E4551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A0582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63788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12FBF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97D1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5B515B" w14:paraId="2BDB637E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167D4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Motility and chemotaxis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11B1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08CBF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6C78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A19AB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8AD4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5B515B" w14:paraId="4258A76D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849A3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Regulation and cell signalling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1BECD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ADAC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883EA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D7E97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23D2B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5B515B" w14:paraId="520BCCF8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BE9B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Secondary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231F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A4208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FE93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23334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73297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B515B" w14:paraId="2E496FEB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32C3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DNA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4504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8E89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CFF48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4825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68E5E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63</w:t>
            </w:r>
          </w:p>
        </w:tc>
      </w:tr>
      <w:tr w:rsidR="005B515B" w14:paraId="529A5B39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7546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 xml:space="preserve">Fatty acids, </w:t>
            </w:r>
            <w:proofErr w:type="gramStart"/>
            <w:r w:rsidRPr="00E235F4">
              <w:rPr>
                <w:rFonts w:cs="Times New Roman"/>
                <w:sz w:val="24"/>
                <w:szCs w:val="24"/>
              </w:rPr>
              <w:t>lipids</w:t>
            </w:r>
            <w:proofErr w:type="gramEnd"/>
            <w:r w:rsidRPr="00E235F4">
              <w:rPr>
                <w:rFonts w:cs="Times New Roman"/>
                <w:sz w:val="24"/>
                <w:szCs w:val="24"/>
              </w:rPr>
              <w:t xml:space="preserve"> and isoprenoids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DB89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AED25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C8460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315B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D5F16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26</w:t>
            </w:r>
          </w:p>
        </w:tc>
      </w:tr>
      <w:tr w:rsidR="005B515B" w14:paraId="178044D9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AA880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Nitrogen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0503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828DF2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C64B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FFA3C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3BF70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</w:tr>
      <w:tr w:rsidR="005B515B" w14:paraId="6A32AD74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DFDF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Dormancy and sporulation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65D43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8B375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6098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73CB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0B0F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5B515B" w14:paraId="2F812EC5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35295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Respiration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08FA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14D73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90F3A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040F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9CBE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46</w:t>
            </w:r>
          </w:p>
        </w:tc>
      </w:tr>
      <w:tr w:rsidR="005B515B" w14:paraId="480860CB" w14:textId="77777777" w:rsidTr="009C400C">
        <w:trPr>
          <w:cantSplit/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C161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lastRenderedPageBreak/>
              <w:t>Stress response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7E74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10DC8C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E9B87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632E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C807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21</w:t>
            </w:r>
          </w:p>
        </w:tc>
      </w:tr>
      <w:tr w:rsidR="005B515B" w14:paraId="45D15EC2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761B6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Metabolism of aromatic compounds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5CEC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98C84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F08BF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5EDF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F75DAB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14</w:t>
            </w:r>
          </w:p>
        </w:tc>
      </w:tr>
      <w:tr w:rsidR="005B515B" w14:paraId="46A5B05E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D193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Amino acids and derivatives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2CF33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194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7AC96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200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8DB1D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194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C3FC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200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7716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203</w:t>
            </w:r>
          </w:p>
        </w:tc>
      </w:tr>
      <w:tr w:rsidR="005B515B" w14:paraId="03A22693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BD1F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Sulfur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336C5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38D9F7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0EADA1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7A53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B3EBA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5B515B" w14:paraId="4DD4C7B2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AE8BA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Phosphorus metabolism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31BC90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1BA57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7DF89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3756AD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4DE6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5B515B" w14:paraId="19FA583A" w14:textId="77777777" w:rsidTr="009C400C">
        <w:trPr>
          <w:jc w:val="center"/>
        </w:trPr>
        <w:tc>
          <w:tcPr>
            <w:tcW w:w="28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FDCCE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Carbohydrates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BBB6E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153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420CE8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125</w:t>
            </w:r>
          </w:p>
        </w:tc>
        <w:tc>
          <w:tcPr>
            <w:tcW w:w="133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5DE9F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158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6A6F66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125</w:t>
            </w:r>
          </w:p>
        </w:tc>
        <w:tc>
          <w:tcPr>
            <w:tcW w:w="13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407CA3" w14:textId="77777777" w:rsidR="005B515B" w:rsidRPr="00E235F4" w:rsidRDefault="00DD7B97" w:rsidP="00E235F4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E235F4">
              <w:rPr>
                <w:rFonts w:cs="Times New Roman"/>
                <w:sz w:val="24"/>
                <w:szCs w:val="24"/>
              </w:rPr>
              <w:t>125</w:t>
            </w:r>
          </w:p>
        </w:tc>
      </w:tr>
    </w:tbl>
    <w:p w14:paraId="341768D6" w14:textId="77777777" w:rsidR="005B515B" w:rsidRDefault="00DD7B97">
      <w:pPr>
        <w:spacing w:after="80" w:line="252" w:lineRule="auto"/>
      </w:pPr>
      <w:r>
        <w:br w:type="page"/>
      </w:r>
    </w:p>
    <w:p w14:paraId="011DA353" w14:textId="77777777" w:rsidR="005B515B" w:rsidRPr="009C400C" w:rsidRDefault="00DD7B97" w:rsidP="009C400C">
      <w:pPr>
        <w:spacing w:line="360" w:lineRule="auto"/>
        <w:rPr>
          <w:sz w:val="24"/>
          <w:szCs w:val="24"/>
        </w:rPr>
      </w:pPr>
      <w:r w:rsidRPr="009C400C">
        <w:rPr>
          <w:sz w:val="24"/>
          <w:szCs w:val="24"/>
        </w:rPr>
        <w:lastRenderedPageBreak/>
        <w:t>Table S3. Putative secondary-metabolite biosynthetic gene clusters predicted in the CAU 1675ᵀ genome using antiSMASH version 8.0.4.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1"/>
        <w:gridCol w:w="992"/>
        <w:gridCol w:w="992"/>
        <w:gridCol w:w="993"/>
        <w:gridCol w:w="1842"/>
        <w:gridCol w:w="1418"/>
        <w:gridCol w:w="2574"/>
      </w:tblGrid>
      <w:tr w:rsidR="005B515B" w14:paraId="496A9FB0" w14:textId="77777777" w:rsidTr="009C400C">
        <w:trPr>
          <w:tblHeader/>
          <w:jc w:val="center"/>
        </w:trPr>
        <w:tc>
          <w:tcPr>
            <w:tcW w:w="9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0F68DD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Region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6CB98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Contig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D34F9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9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61B7D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693486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Type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10AF4E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Most similar cluster</w:t>
            </w:r>
          </w:p>
        </w:tc>
        <w:tc>
          <w:tcPr>
            <w:tcW w:w="25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2206C6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b/>
                <w:sz w:val="24"/>
                <w:szCs w:val="24"/>
              </w:rPr>
              <w:t>No. of genes (core/additional/regulatory/transport/other)</w:t>
            </w:r>
          </w:p>
        </w:tc>
      </w:tr>
      <w:tr w:rsidR="005B515B" w14:paraId="7B10797F" w14:textId="77777777" w:rsidTr="009C400C">
        <w:trPr>
          <w:jc w:val="center"/>
        </w:trPr>
        <w:tc>
          <w:tcPr>
            <w:tcW w:w="9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7D00E6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1.1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848DA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Contig 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2FB01C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152,105</w:t>
            </w:r>
          </w:p>
        </w:tc>
        <w:tc>
          <w:tcPr>
            <w:tcW w:w="9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83DEA3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173,654</w:t>
            </w: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010376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terpene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EE7D18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carotenoid</w:t>
            </w:r>
          </w:p>
        </w:tc>
        <w:tc>
          <w:tcPr>
            <w:tcW w:w="25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41B02D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2/3/1/1/15</w:t>
            </w:r>
          </w:p>
        </w:tc>
      </w:tr>
      <w:tr w:rsidR="005B515B" w14:paraId="3E127AB2" w14:textId="77777777" w:rsidTr="009C400C">
        <w:trPr>
          <w:jc w:val="center"/>
        </w:trPr>
        <w:tc>
          <w:tcPr>
            <w:tcW w:w="9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20475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1.2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41D824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Contig 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DBC8A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840,143</w:t>
            </w:r>
          </w:p>
        </w:tc>
        <w:tc>
          <w:tcPr>
            <w:tcW w:w="9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06BD58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861,129</w:t>
            </w: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AB02F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terpene-precursor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65E565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–</w:t>
            </w:r>
          </w:p>
        </w:tc>
        <w:tc>
          <w:tcPr>
            <w:tcW w:w="25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1E4A3A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1/3/0/0/14</w:t>
            </w:r>
          </w:p>
        </w:tc>
      </w:tr>
      <w:tr w:rsidR="005B515B" w14:paraId="655BB2AE" w14:textId="77777777" w:rsidTr="009C400C">
        <w:trPr>
          <w:jc w:val="center"/>
        </w:trPr>
        <w:tc>
          <w:tcPr>
            <w:tcW w:w="91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9E098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11.1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2A1092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Contig 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CA7359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99,271</w:t>
            </w:r>
          </w:p>
        </w:tc>
        <w:tc>
          <w:tcPr>
            <w:tcW w:w="99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81404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119,528</w:t>
            </w: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4D2DE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RRE-containing</w:t>
            </w:r>
          </w:p>
        </w:tc>
        <w:tc>
          <w:tcPr>
            <w:tcW w:w="141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7A5A54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–</w:t>
            </w:r>
          </w:p>
        </w:tc>
        <w:tc>
          <w:tcPr>
            <w:tcW w:w="257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E80D86" w14:textId="77777777" w:rsidR="005B515B" w:rsidRPr="009C400C" w:rsidRDefault="00DD7B97" w:rsidP="009C400C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9C400C">
              <w:rPr>
                <w:sz w:val="24"/>
                <w:szCs w:val="24"/>
              </w:rPr>
              <w:t>1/5/0/0/10</w:t>
            </w:r>
          </w:p>
        </w:tc>
      </w:tr>
    </w:tbl>
    <w:p w14:paraId="09E2B7B9" w14:textId="77777777" w:rsidR="005B515B" w:rsidRDefault="00DD7B97">
      <w:pPr>
        <w:spacing w:after="80" w:line="252" w:lineRule="auto"/>
      </w:pPr>
      <w:r>
        <w:br w:type="page"/>
      </w:r>
    </w:p>
    <w:p w14:paraId="59AEE702" w14:textId="77777777" w:rsidR="005B515B" w:rsidRPr="009C400C" w:rsidRDefault="00DD7B97" w:rsidP="009C400C">
      <w:pPr>
        <w:spacing w:line="360" w:lineRule="auto"/>
        <w:rPr>
          <w:sz w:val="24"/>
          <w:szCs w:val="24"/>
        </w:rPr>
      </w:pPr>
      <w:r w:rsidRPr="009C400C">
        <w:rPr>
          <w:sz w:val="24"/>
          <w:szCs w:val="24"/>
        </w:rPr>
        <w:lastRenderedPageBreak/>
        <w:t xml:space="preserve">Table S4. Comparative CAZyme profiles of CAU 1675ᵀ and four related </w:t>
      </w:r>
      <w:r w:rsidRPr="009C400C">
        <w:rPr>
          <w:i/>
          <w:sz w:val="24"/>
          <w:szCs w:val="24"/>
        </w:rPr>
        <w:t>Algoriphagus</w:t>
      </w:r>
      <w:r w:rsidRPr="009C400C">
        <w:rPr>
          <w:sz w:val="24"/>
          <w:szCs w:val="24"/>
        </w:rPr>
        <w:t xml:space="preserve"> type strains. Strains: 1, CAU 1675ᵀ; 2, </w:t>
      </w:r>
      <w:r w:rsidRPr="009C400C">
        <w:rPr>
          <w:i/>
          <w:sz w:val="24"/>
          <w:szCs w:val="24"/>
        </w:rPr>
        <w:t>A. ornithinivorans</w:t>
      </w:r>
      <w:r w:rsidRPr="009C400C">
        <w:rPr>
          <w:sz w:val="24"/>
          <w:szCs w:val="24"/>
        </w:rPr>
        <w:t xml:space="preserve"> IMSNU 14014ᵀ; 3, </w:t>
      </w:r>
      <w:r w:rsidRPr="009C400C">
        <w:rPr>
          <w:i/>
          <w:sz w:val="24"/>
          <w:szCs w:val="24"/>
        </w:rPr>
        <w:t>A. kandeliae</w:t>
      </w:r>
      <w:r w:rsidRPr="009C400C">
        <w:rPr>
          <w:sz w:val="24"/>
          <w:szCs w:val="24"/>
        </w:rPr>
        <w:t xml:space="preserve"> XY-J91ᵀ; 4, </w:t>
      </w:r>
      <w:r w:rsidRPr="009C400C">
        <w:rPr>
          <w:i/>
          <w:sz w:val="24"/>
          <w:szCs w:val="24"/>
        </w:rPr>
        <w:t>A. zhangzhouensis</w:t>
      </w:r>
      <w:r w:rsidRPr="009C400C">
        <w:rPr>
          <w:sz w:val="24"/>
          <w:szCs w:val="24"/>
        </w:rPr>
        <w:t xml:space="preserve"> CGMCC 1.11027ᵀ; 5, </w:t>
      </w:r>
      <w:r w:rsidRPr="009C400C">
        <w:rPr>
          <w:i/>
          <w:sz w:val="24"/>
          <w:szCs w:val="24"/>
        </w:rPr>
        <w:t>A. algorifonticola</w:t>
      </w:r>
      <w:r w:rsidRPr="009C400C">
        <w:rPr>
          <w:sz w:val="24"/>
          <w:szCs w:val="24"/>
        </w:rPr>
        <w:t xml:space="preserve"> hg1ᵀ.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933"/>
      </w:tblGrid>
      <w:tr w:rsidR="005B515B" w14:paraId="3E202CD9" w14:textId="77777777" w:rsidTr="009C400C">
        <w:trPr>
          <w:tblHeader/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11769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BEF4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GHs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6A831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GTs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0F4B40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PLs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69BD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CEs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5616F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CBMs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BB1B7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AAs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190D4D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5B515B" w14:paraId="32AC7401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54D8E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D40CB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102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8B5721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9A6D58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1B96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3C9D0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321F61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EABEF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229</w:t>
            </w:r>
          </w:p>
        </w:tc>
      </w:tr>
      <w:tr w:rsidR="005B515B" w14:paraId="6A51730A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EB0A6E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FBDD0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98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5C134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86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5DCAF0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3F4229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DA0B2A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EB363A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8C4575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236</w:t>
            </w:r>
          </w:p>
        </w:tc>
      </w:tr>
      <w:tr w:rsidR="005B515B" w14:paraId="7A515525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B74928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7E6D67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37FB82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88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88410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AF51D9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E3CB5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DD7A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7CB5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238</w:t>
            </w:r>
          </w:p>
        </w:tc>
      </w:tr>
      <w:tr w:rsidR="005B515B" w14:paraId="5822FD1E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C6CA5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20C7B0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130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998B4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89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1ACB6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BB49C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C8D21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1EF744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0C219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299</w:t>
            </w:r>
          </w:p>
        </w:tc>
      </w:tr>
      <w:tr w:rsidR="005B515B" w14:paraId="54C54391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553F0A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045FD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94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9CF34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3EE4F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BBB7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A53458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D5FE24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8393AD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222</w:t>
            </w:r>
          </w:p>
        </w:tc>
      </w:tr>
      <w:tr w:rsidR="005B515B" w14:paraId="6511C852" w14:textId="77777777" w:rsidTr="009C400C">
        <w:trPr>
          <w:jc w:val="center"/>
        </w:trPr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DE4D9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average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1242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103.2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D41B3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80.0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261322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1.0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B8D19F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21.8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4EAB8A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28.4</w:t>
            </w:r>
          </w:p>
        </w:tc>
        <w:tc>
          <w:tcPr>
            <w:tcW w:w="106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177A77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10.4</w:t>
            </w:r>
          </w:p>
        </w:tc>
        <w:tc>
          <w:tcPr>
            <w:tcW w:w="193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C1FCF3" w14:textId="77777777" w:rsidR="005B515B" w:rsidRPr="009C400C" w:rsidRDefault="00DD7B97" w:rsidP="009C400C">
            <w:pPr>
              <w:spacing w:line="312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400C">
              <w:rPr>
                <w:rFonts w:cs="Times New Roman"/>
                <w:sz w:val="24"/>
                <w:szCs w:val="24"/>
              </w:rPr>
              <w:t>250.3</w:t>
            </w:r>
          </w:p>
        </w:tc>
      </w:tr>
    </w:tbl>
    <w:p w14:paraId="763EEE04" w14:textId="77777777" w:rsidR="00DD7B97" w:rsidRDefault="00DD7B97"/>
    <w:sectPr w:rsidR="00DD7B97" w:rsidSect="00034616">
      <w:footerReference w:type="default" r:id="rId18"/>
      <w:pgSz w:w="11906" w:h="16838"/>
      <w:pgMar w:top="1152" w:right="1152" w:bottom="1152" w:left="1152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0D422" w14:textId="77777777" w:rsidR="00047B02" w:rsidRDefault="00047B02">
      <w:pPr>
        <w:spacing w:line="240" w:lineRule="auto"/>
      </w:pPr>
      <w:r>
        <w:separator/>
      </w:r>
    </w:p>
  </w:endnote>
  <w:endnote w:type="continuationSeparator" w:id="0">
    <w:p w14:paraId="09ED6EDA" w14:textId="77777777" w:rsidR="00047B02" w:rsidRDefault="00047B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DB82" w14:textId="77777777" w:rsidR="005B515B" w:rsidRDefault="00DD7B97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17864" w14:textId="77777777" w:rsidR="00047B02" w:rsidRDefault="00047B02">
      <w:pPr>
        <w:spacing w:line="240" w:lineRule="auto"/>
      </w:pPr>
      <w:r>
        <w:separator/>
      </w:r>
    </w:p>
  </w:footnote>
  <w:footnote w:type="continuationSeparator" w:id="0">
    <w:p w14:paraId="6F76D19B" w14:textId="77777777" w:rsidR="00047B02" w:rsidRDefault="00047B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B02"/>
    <w:rsid w:val="0006063C"/>
    <w:rsid w:val="0015074B"/>
    <w:rsid w:val="0029639D"/>
    <w:rsid w:val="00326F90"/>
    <w:rsid w:val="005B515B"/>
    <w:rsid w:val="009C400C"/>
    <w:rsid w:val="00AA1D8D"/>
    <w:rsid w:val="00B47730"/>
    <w:rsid w:val="00CB0664"/>
    <w:rsid w:val="00DD7B97"/>
    <w:rsid w:val="00E235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A75BAC"/>
  <w14:defaultImageDpi w14:val="300"/>
  <w15:docId w15:val="{602EF312-2454-4818-B478-A1CC0934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김원용</cp:lastModifiedBy>
  <cp:revision>3</cp:revision>
  <dcterms:created xsi:type="dcterms:W3CDTF">2013-12-23T23:15:00Z</dcterms:created>
  <dcterms:modified xsi:type="dcterms:W3CDTF">2026-08-31T13:56:00Z</dcterms:modified>
  <cp:category/>
</cp:coreProperties>
</file>