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9339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lang w:val="en-US"/>
        </w:rPr>
        <w:t>T</w:t>
      </w:r>
      <w:r>
        <w:rPr>
          <w:rFonts w:hint="default" w:ascii="Times New Roman Bold" w:hAnsi="Times New Roman Bold" w:cs="Times New Roman Bold"/>
          <w:b/>
          <w:bCs/>
          <w:lang w:val="en-US" w:eastAsia="zh-CN"/>
        </w:rPr>
        <w:t>able 2</w:t>
      </w:r>
      <w:r>
        <w:rPr>
          <w:rFonts w:hint="default" w:ascii="Times New Roman Bold" w:hAnsi="Times New Roman Bold" w:cs="Times New Roman Bold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>The clinical characteristics of the population that was included in the study</w:t>
      </w:r>
    </w:p>
    <w:tbl>
      <w:tblPr>
        <w:tblStyle w:val="3"/>
        <w:tblW w:w="0" w:type="auto"/>
        <w:tblCellSpacing w:w="0" w:type="dxa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7"/>
        <w:gridCol w:w="1316"/>
        <w:gridCol w:w="2928"/>
        <w:gridCol w:w="2294"/>
        <w:gridCol w:w="941"/>
      </w:tblGrid>
      <w:tr w14:paraId="51BE7B70">
        <w:trPr>
          <w:tblHeader/>
          <w:tblCellSpacing w:w="0" w:type="dxa"/>
        </w:trPr>
        <w:tc>
          <w:tcPr>
            <w:tcW w:w="0" w:type="auto"/>
            <w:tcBorders>
              <w:bottom w:val="single" w:color="000000" w:sz="6" w:space="0"/>
            </w:tcBorders>
            <w:shd w:val="clear" w:color="auto" w:fill="auto"/>
            <w:vAlign w:val="center"/>
          </w:tcPr>
          <w:p w14:paraId="1F5D18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Bold" w:hAnsi="Times New Roman Bold" w:eastAsia="Times" w:cs="Times New Roman Bold"/>
                <w:b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/>
              </w:rPr>
            </w:pPr>
            <w:r>
              <w:rPr>
                <w:rFonts w:hint="default" w:ascii="Times New Roman Bold" w:hAnsi="Times New Roman Bold" w:eastAsia="Times" w:cs="Times New Roman Bold"/>
                <w:b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lang w:val="en-US" w:eastAsia="zh-CN" w:bidi="ar"/>
              </w:rPr>
              <w:t>Group</w:t>
            </w:r>
          </w:p>
        </w:tc>
        <w:tc>
          <w:tcPr>
            <w:tcW w:w="0" w:type="auto"/>
            <w:tcBorders>
              <w:bottom w:val="single" w:color="000000" w:sz="6" w:space="0"/>
            </w:tcBorders>
            <w:shd w:val="clear" w:color="auto" w:fill="auto"/>
            <w:vAlign w:val="center"/>
          </w:tcPr>
          <w:p w14:paraId="255316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Bold" w:hAnsi="Times New Roman Bold" w:eastAsia="Times" w:cs="Times New Roman Bold"/>
                <w:b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default" w:ascii="Times New Roman Bold" w:hAnsi="Times New Roman Bold" w:eastAsia="Times" w:cs="Times New Roman Bold"/>
                <w:b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p.Val14Ile</w:t>
            </w:r>
          </w:p>
        </w:tc>
        <w:tc>
          <w:tcPr>
            <w:tcW w:w="2721" w:type="dxa"/>
            <w:tcBorders>
              <w:bottom w:val="single" w:color="000000" w:sz="6" w:space="0"/>
            </w:tcBorders>
            <w:shd w:val="clear" w:color="auto" w:fill="auto"/>
            <w:vAlign w:val="center"/>
          </w:tcPr>
          <w:p w14:paraId="156E3A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Bold" w:hAnsi="Times New Roman Bold" w:eastAsia="宋体" w:cs="Times New Roman Bold"/>
                <w:b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other mutation</w:t>
            </w:r>
          </w:p>
        </w:tc>
        <w:tc>
          <w:tcPr>
            <w:tcW w:w="2294" w:type="dxa"/>
            <w:tcBorders>
              <w:bottom w:val="single" w:color="000000" w:sz="6" w:space="0"/>
            </w:tcBorders>
            <w:shd w:val="clear" w:color="auto" w:fill="auto"/>
            <w:vAlign w:val="center"/>
          </w:tcPr>
          <w:p w14:paraId="37E5CD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Bold" w:hAnsi="Times New Roman Bold" w:eastAsia="Times" w:cs="Times New Roman Bold"/>
                <w:b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default" w:ascii="Times New Roman Bold" w:hAnsi="Times New Roman Bold" w:eastAsia="Times" w:cs="Times New Roman Bold"/>
                <w:b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lang w:val="en-US" w:eastAsia="zh-CN" w:bidi="ar"/>
              </w:rPr>
              <w:t>Standardize diff.</w:t>
            </w:r>
          </w:p>
        </w:tc>
        <w:tc>
          <w:tcPr>
            <w:tcW w:w="941" w:type="dxa"/>
            <w:tcBorders>
              <w:bottom w:val="single" w:color="000000" w:sz="6" w:space="0"/>
            </w:tcBorders>
            <w:shd w:val="clear" w:color="auto" w:fill="auto"/>
            <w:vAlign w:val="center"/>
          </w:tcPr>
          <w:p w14:paraId="51D0D9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Bold" w:hAnsi="Times New Roman Bold" w:eastAsia="Times" w:cs="Times New Roman Bold"/>
                <w:b/>
                <w:bCs w:val="0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default" w:ascii="Times New Roman Bold" w:hAnsi="Times New Roman Bold" w:eastAsia="Times" w:cs="Times New Roman Bold"/>
                <w:b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lang w:val="en-US" w:eastAsia="zh-CN" w:bidi="ar"/>
              </w:rPr>
              <w:t>P-value</w:t>
            </w:r>
          </w:p>
        </w:tc>
      </w:tr>
      <w:tr w14:paraId="45CC65C0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3545CA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7F3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5C6C33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47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3FEF9CE0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51BC7BF7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7064D2A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56FC74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Age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91EA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12.01 ± 4.24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71B79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8.21 ± 9.37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702AC6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0.52 (-0.33, 1.38)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89922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0.309</w:t>
            </w:r>
          </w:p>
        </w:tc>
      </w:tr>
      <w:tr w14:paraId="136F96D8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2F38F021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Sex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032215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0.24 (-0.52, 1.01)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227939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0.549</w:t>
            </w:r>
          </w:p>
        </w:tc>
      </w:tr>
      <w:tr w14:paraId="0059451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76BB4D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male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4B5A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6 (75.00%)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05E568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23 (63.89%)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382FD3DA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15C3D2BC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4BC47DC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72448F2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female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33B5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 (25.00%)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8E554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13 </w:t>
            </w:r>
            <w:bookmarkStart w:id="0" w:name="_GoBack"/>
            <w:bookmarkEnd w:id="0"/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(36.11%)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C399DE4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1FFF85EB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4688E0E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67EC6815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Craniofacial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and brain morphological abnormalities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3A6D75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0.21 (-0.99, 1.41)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56495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0.724</w:t>
            </w:r>
          </w:p>
        </w:tc>
      </w:tr>
      <w:tr w14:paraId="69E17478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44912F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84BA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(33.33%)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059A13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6 (24.00%)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77419A71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506D71CE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9FEAEF0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3C83DE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F34A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 (66.67%)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146EB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19 (76.00%)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5C90B4B0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133EDAD7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280B5F9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5F378AD6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Growth restriction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69D267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0.08 (-0.64, 0.80)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48B2AB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0.828</w:t>
            </w:r>
          </w:p>
        </w:tc>
      </w:tr>
      <w:tr w14:paraId="530C1060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2F2522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896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 (22.22%)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F6401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8 (19.05%)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1E3B63D8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02A89BAA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C296A6B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5474A0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8540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 (77.78%)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6022F86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34 (80.95%)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797B683D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5E330F56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18A5441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0F3CFB08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Development and intelligence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3675CF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0.17 (-0.59, 0.93)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06FEA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0.640</w:t>
            </w:r>
          </w:p>
        </w:tc>
      </w:tr>
      <w:tr w14:paraId="3AE2A2AA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3E8764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D57B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(12.50%)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066FED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 (7.50%)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5319D38E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5BA1ADC3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1D7C93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654772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1AA4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 (87.50%)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5C0959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37 (92.50%)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10104169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41C2D56F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D7F6BA2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7D11D569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Central nervous system abnormalities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0862E635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08FC48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 w14:paraId="5065C014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6F3883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CDB1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(100.00%)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1F8FF03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 (0.00%)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BF67F58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2D2560A5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B0D6FBF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6E7723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601B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 (0.00%)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629F1A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12 (100.00%)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3F7A5265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383D24B2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460DC40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4B806C4E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Cardiovascular system abnormalities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70D818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0.34 (-0.35, 1.03)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10677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0.300</w:t>
            </w:r>
          </w:p>
        </w:tc>
      </w:tr>
      <w:tr w14:paraId="6F102DB8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1F528E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DA99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 (30.00%)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6C8E7E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 (15.91%)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78F527F4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5BBFD4D2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4CD9AE7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6872FE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983D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 (70.00%)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77E3EA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37 (84.09%)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58CB2CC2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6ECC985D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6AF3DAB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0F02693F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Trunk and neck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733D9C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0.46 (-0.36, 1.27)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1E846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0.209</w:t>
            </w:r>
          </w:p>
        </w:tc>
      </w:tr>
      <w:tr w14:paraId="535059A0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43D16C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6BC4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 (28.57%)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137B28F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4 (10.81%)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6A72D4BB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3EBE370C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2BC7702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3A5B62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5EE5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 (71.43%)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1FB361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33 (89.19%)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2C8D773F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1BF4549D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BBD3B92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3CE1621F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Limb and skeletal development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142AC6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0.13 (-1.15, 1.41)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08604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0.837</w:t>
            </w:r>
          </w:p>
        </w:tc>
      </w:tr>
      <w:tr w14:paraId="475E30C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5865D6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CE37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(33.33%)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6F59E2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 (27.27%)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5D28C856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00E1A374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29EF0E2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736887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30DB1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 (66.67%)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5BD31E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8 (72.73%)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C4D142E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125DF669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C01CFBF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371D7EE6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Hair abnormalities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69C1EE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2.07 (0.51, 3.63)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9DDFA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0.057</w:t>
            </w:r>
          </w:p>
        </w:tc>
      </w:tr>
      <w:tr w14:paraId="6158BF76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78ACFB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76A6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 (100.00%)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2BB485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 (31.82%)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14D039B7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78090BE8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96023C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475378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AFF2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 (0.00%)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76064E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15 (68.18%)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8485062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1551D3BE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16591FC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5AE729F2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Skin abnormalities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531C4D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0.85 (-0.13, 1.84)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5CACA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0.119</w:t>
            </w:r>
          </w:p>
        </w:tc>
      </w:tr>
      <w:tr w14:paraId="3E6C587A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572038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2463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4 (80.00%)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3EC659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 (41.67%)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30CB61E9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72DDF481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8BA98C9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1DEF2C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7D50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(20.00%)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6604C9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14 (58.33%)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0E9771B5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7A4FC76F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8604B04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628185EC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Reproductive system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1639D0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0.23 (-0.86, 1.31)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A2792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0.683</w:t>
            </w:r>
          </w:p>
        </w:tc>
      </w:tr>
      <w:tr w14:paraId="196E7468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1037AF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15C8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 (50.00%)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71B1D3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 (38.89%)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191F6C60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671017BB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2370038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6F9AB4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9DFB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 (50.00%)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E74F6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11 (61.11%)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62230EE6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1F4B2CD2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7F93BC9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3031D79C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Urinary system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3B6618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4.00 (1.29, 6.71)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4F733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0.035</w:t>
            </w:r>
          </w:p>
        </w:tc>
      </w:tr>
      <w:tr w14:paraId="4E4552A7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3CE0DF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574EB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(100.00%)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FE38F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(11.11%)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31FEE2D2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706D5C78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E1A51C8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21574F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21DC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 (0.00%)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73953D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8 (88.89%)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358B0674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6DAAE11D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5E3B1D8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55CF52B4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Ear, nose, throat (ENT) and vestibular system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121E3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0.40 (-0.77, 1.57)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9BD09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0.469</w:t>
            </w:r>
          </w:p>
        </w:tc>
      </w:tr>
      <w:tr w14:paraId="61683CC9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1857EA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9027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(25.00%)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0A692F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(10.00%)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043975A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4A9305DC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9E086B5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5E58A0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83FA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 (75.00%)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6D56696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9 (90.00%)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123571B3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5E28CAAA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8990EAC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6D27E878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Eye/Vision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00959A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0.21 (-0.57, 0.99)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F83B1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0.589</w:t>
            </w:r>
          </w:p>
        </w:tc>
      </w:tr>
      <w:tr w14:paraId="328E8735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5A8DDE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A60D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 (25.00%)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478F5B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 (16.67%)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68A6268A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02D7C995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5A6D056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38195B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DC3F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6 (75.00%)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24066D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25 (83.33%)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6C54A68C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470FD030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53994C6">
        <w:trPr>
          <w:tblCellSpacing w:w="0" w:type="dxa"/>
        </w:trPr>
        <w:tc>
          <w:tcPr>
            <w:tcW w:w="5101" w:type="dxa"/>
            <w:gridSpan w:val="3"/>
            <w:shd w:val="clear" w:color="auto" w:fill="auto"/>
            <w:vAlign w:val="center"/>
          </w:tcPr>
          <w:p w14:paraId="1352417F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Lymphatic and hematologic systems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82CF8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1.58 (0.37, 2.80)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0DBEFD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0.013</w:t>
            </w:r>
          </w:p>
        </w:tc>
      </w:tr>
      <w:tr w14:paraId="0D617315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0B44BC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AE93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 (75.00%)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2C2B65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 (13.33%)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8FAFA9C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59B8F3A8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C20745F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70C576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  <w:t>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0E4F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(25.00%)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796755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13 (86.67%)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482EFE57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0EA79EF4">
            <w:pPr>
              <w:rPr>
                <w:rFonts w:hint="default" w:ascii="Times New Roman" w:hAnsi="Times New Roman" w:eastAsia="Times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33B6C7DF">
      <w:pPr>
        <w:keepNext w:val="0"/>
        <w:keepLines w:val="0"/>
        <w:widowControl/>
        <w:suppressLineNumbers w:val="0"/>
        <w:jc w:val="left"/>
      </w:pPr>
    </w:p>
    <w:p w14:paraId="602C8D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FB8154"/>
    <w:rsid w:val="0C7D9A06"/>
    <w:rsid w:val="497AF11E"/>
    <w:rsid w:val="4BFF7C4A"/>
    <w:rsid w:val="6EF78240"/>
    <w:rsid w:val="74F14960"/>
    <w:rsid w:val="7F2FB9EF"/>
    <w:rsid w:val="7FFF61E2"/>
    <w:rsid w:val="AB3F5504"/>
    <w:rsid w:val="B7FB8154"/>
    <w:rsid w:val="CDDFDDE8"/>
    <w:rsid w:val="D7FBF9E6"/>
    <w:rsid w:val="DD8D849E"/>
    <w:rsid w:val="DFFC442B"/>
    <w:rsid w:val="EFB52680"/>
    <w:rsid w:val="F6DBE9B2"/>
    <w:rsid w:val="F9D75B29"/>
    <w:rsid w:val="FBD04FC3"/>
    <w:rsid w:val="FDE744CD"/>
    <w:rsid w:val="FF1F8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2026-08-30T14:43:00Z</dcterms:created>
  <dc:creator>Li.X</dc:creator>
  <cp:lastModifiedBy>Li.X</cp:lastModifiedBy>
  <dcterms:modified xsi:type="dcterms:W3CDTF">2026-08-30T22:33:36Z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A91E98DEE2A1B419747F926A12F725AA_41</vt:lpwstr>
  </property>
</Properties>
</file>