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0E4FC2" w14:textId="77777777" w:rsidR="00E10083" w:rsidRPr="00E10083" w:rsidRDefault="00E10083" w:rsidP="00E10083">
      <w:pPr>
        <w:jc w:val="both"/>
        <w:rPr>
          <w:rFonts w:cs="Calibri"/>
          <w:b/>
          <w:bCs/>
          <w:sz w:val="24"/>
          <w:szCs w:val="24"/>
          <w:lang w:val="en-GB"/>
        </w:rPr>
      </w:pPr>
      <w:r w:rsidRPr="00E10083">
        <w:rPr>
          <w:rFonts w:cs="Calibri"/>
          <w:b/>
          <w:bCs/>
          <w:sz w:val="24"/>
          <w:szCs w:val="24"/>
          <w:lang w:val="en-GB"/>
        </w:rPr>
        <w:t>Alternative Clustering approaches</w:t>
      </w:r>
    </w:p>
    <w:p w14:paraId="4516B199" w14:textId="77777777" w:rsidR="00E10083" w:rsidRPr="00AF2314" w:rsidRDefault="00E10083" w:rsidP="00E10083">
      <w:pPr>
        <w:jc w:val="both"/>
        <w:rPr>
          <w:rFonts w:cs="Calibri"/>
          <w:lang w:val="en-GB"/>
        </w:rPr>
      </w:pPr>
      <w:r w:rsidRPr="00AF2314">
        <w:rPr>
          <w:rFonts w:cs="Calibri"/>
          <w:lang w:val="en-GB"/>
        </w:rPr>
        <w:t>Minimum spanning trees generated without</w:t>
      </w:r>
      <w:r>
        <w:rPr>
          <w:rFonts w:cs="Calibri"/>
          <w:lang w:val="en-GB"/>
        </w:rPr>
        <w:t xml:space="preserve"> inclusion of</w:t>
      </w:r>
      <w:r w:rsidRPr="00AF2314">
        <w:rPr>
          <w:rFonts w:cs="Calibri"/>
          <w:lang w:val="en-GB"/>
        </w:rPr>
        <w:t xml:space="preserve"> </w:t>
      </w:r>
      <w:r w:rsidRPr="00FF6B8C">
        <w:rPr>
          <w:rFonts w:cs="Calibri"/>
          <w:i/>
          <w:iCs/>
          <w:lang w:val="en-GB"/>
        </w:rPr>
        <w:t>hsp65</w:t>
      </w:r>
      <w:r w:rsidRPr="00AF2314">
        <w:rPr>
          <w:rFonts w:cs="Calibri"/>
          <w:lang w:val="en-GB"/>
        </w:rPr>
        <w:t xml:space="preserve"> sequence data </w:t>
      </w:r>
      <w:r>
        <w:rPr>
          <w:rFonts w:cs="Calibri"/>
          <w:lang w:val="en-GB"/>
        </w:rPr>
        <w:t>(</w:t>
      </w:r>
      <w:r w:rsidRPr="007868B0">
        <w:rPr>
          <w:rFonts w:cs="Calibri"/>
          <w:b/>
          <w:bCs/>
          <w:lang w:val="en-GB"/>
        </w:rPr>
        <w:fldChar w:fldCharType="begin"/>
      </w:r>
      <w:r w:rsidRPr="007868B0">
        <w:rPr>
          <w:rFonts w:cs="Calibri"/>
          <w:b/>
          <w:bCs/>
          <w:lang w:val="en-GB"/>
        </w:rPr>
        <w:instrText xml:space="preserve"> REF _Ref233109522 \h  \* MERGEFORMAT </w:instrText>
      </w:r>
      <w:r w:rsidRPr="007868B0">
        <w:rPr>
          <w:rFonts w:cs="Calibri"/>
          <w:b/>
          <w:bCs/>
          <w:lang w:val="en-GB"/>
        </w:rPr>
      </w:r>
      <w:r w:rsidRPr="007868B0">
        <w:rPr>
          <w:rFonts w:cs="Calibri"/>
          <w:b/>
          <w:bCs/>
          <w:lang w:val="en-GB"/>
        </w:rPr>
        <w:fldChar w:fldCharType="separate"/>
      </w:r>
      <w:r w:rsidRPr="007868B0">
        <w:rPr>
          <w:b/>
          <w:bCs/>
          <w:lang w:val="en-GB"/>
        </w:rPr>
        <w:t xml:space="preserve">Figure </w:t>
      </w:r>
      <w:r>
        <w:rPr>
          <w:b/>
          <w:bCs/>
          <w:lang w:val="en-GB"/>
        </w:rPr>
        <w:t>S</w:t>
      </w:r>
      <w:r w:rsidRPr="007868B0">
        <w:rPr>
          <w:b/>
          <w:bCs/>
          <w:noProof/>
          <w:lang w:val="en-GB"/>
        </w:rPr>
        <w:t>1</w:t>
      </w:r>
      <w:r w:rsidRPr="007868B0">
        <w:rPr>
          <w:rFonts w:cs="Calibri"/>
          <w:b/>
          <w:bCs/>
          <w:lang w:val="en-GB"/>
        </w:rPr>
        <w:fldChar w:fldCharType="end"/>
      </w:r>
      <w:r w:rsidRPr="007868B0">
        <w:rPr>
          <w:rFonts w:cs="Calibri"/>
          <w:b/>
          <w:bCs/>
          <w:lang w:val="en-GB"/>
        </w:rPr>
        <w:t>)</w:t>
      </w:r>
      <w:r w:rsidRPr="00AF2314">
        <w:rPr>
          <w:rFonts w:cs="Calibri"/>
          <w:lang w:val="en-GB"/>
        </w:rPr>
        <w:t xml:space="preserve"> exhibited reduced discriminatory resolution,</w:t>
      </w:r>
      <w:r w:rsidRPr="00AF2314">
        <w:rPr>
          <w:lang w:val="en-GB"/>
        </w:rPr>
        <w:t xml:space="preserve"> resulting in the clustering of isolates with different hsp65 codes despite these representing distinct strain types. Inclusion of hsp65 sequence data therefore improved strain differentiation and cluster separation.</w:t>
      </w:r>
    </w:p>
    <w:p w14:paraId="12A8188C" w14:textId="77777777" w:rsidR="00E10083" w:rsidRPr="00AF2314" w:rsidRDefault="00E10083" w:rsidP="00E10083">
      <w:pPr>
        <w:jc w:val="both"/>
        <w:rPr>
          <w:rFonts w:cs="Calibri"/>
          <w:lang w:val="en-GB"/>
        </w:rPr>
      </w:pPr>
      <w:r w:rsidRPr="00AF2314">
        <w:rPr>
          <w:rFonts w:cs="Calibri"/>
          <w:lang w:val="en-GB"/>
        </w:rPr>
        <w:t>An alternative MST based on epidemiological clustering criteria and predefined allelic distance thresholds (</w:t>
      </w:r>
      <w:r w:rsidRPr="00E15D29">
        <w:rPr>
          <w:rFonts w:cs="Calibri"/>
          <w:lang w:val="en-GB"/>
        </w:rPr>
        <w:fldChar w:fldCharType="begin"/>
      </w:r>
      <w:r w:rsidRPr="00E15D29">
        <w:rPr>
          <w:rFonts w:cs="Calibri"/>
          <w:lang w:val="en-GB"/>
        </w:rPr>
        <w:instrText xml:space="preserve"> REF _Ref233109524 \h  \* MERGEFORMAT </w:instrText>
      </w:r>
      <w:r w:rsidRPr="00E15D29">
        <w:rPr>
          <w:rFonts w:cs="Calibri"/>
          <w:lang w:val="en-GB"/>
        </w:rPr>
      </w:r>
      <w:r w:rsidRPr="00E15D29">
        <w:rPr>
          <w:rFonts w:cs="Calibri"/>
          <w:lang w:val="en-GB"/>
        </w:rPr>
        <w:fldChar w:fldCharType="separate"/>
      </w:r>
      <w:r w:rsidRPr="00FF6B8C">
        <w:rPr>
          <w:b/>
          <w:bCs/>
          <w:lang w:val="en-GB"/>
        </w:rPr>
        <w:t>Figure</w:t>
      </w:r>
      <w:r w:rsidRPr="00E15D29">
        <w:rPr>
          <w:lang w:val="en-GB"/>
        </w:rPr>
        <w:t xml:space="preserve"> </w:t>
      </w:r>
      <w:r>
        <w:rPr>
          <w:lang w:val="en-GB"/>
        </w:rPr>
        <w:t>S</w:t>
      </w:r>
      <w:r w:rsidRPr="00FF6B8C">
        <w:rPr>
          <w:b/>
          <w:bCs/>
          <w:noProof/>
          <w:lang w:val="en-GB"/>
        </w:rPr>
        <w:t>2</w:t>
      </w:r>
      <w:r w:rsidRPr="00E15D29">
        <w:rPr>
          <w:rFonts w:cs="Calibri"/>
          <w:lang w:val="en-GB"/>
        </w:rPr>
        <w:fldChar w:fldCharType="end"/>
      </w:r>
      <w:r w:rsidRPr="00E15D29">
        <w:rPr>
          <w:rFonts w:cs="Calibri"/>
          <w:lang w:val="en-GB"/>
        </w:rPr>
        <w:t>)</w:t>
      </w:r>
      <w:r w:rsidRPr="00AF2314">
        <w:rPr>
          <w:rFonts w:cs="Calibri"/>
          <w:lang w:val="en-GB"/>
        </w:rPr>
        <w:t xml:space="preserve"> grouped related strain types into broader clusters. Despite differences in cluster composition, the overall population structure remained consistent across all approaches, with a small number of dominant lineages coexisting alongside numerous rare strain types.</w:t>
      </w:r>
    </w:p>
    <w:p w14:paraId="55C25DCB" w14:textId="77777777" w:rsidR="00E10083" w:rsidRPr="00AF2314" w:rsidRDefault="00E10083" w:rsidP="00E10083">
      <w:pPr>
        <w:jc w:val="both"/>
        <w:rPr>
          <w:rFonts w:cs="Calibri"/>
          <w:lang w:val="en-GB"/>
        </w:rPr>
      </w:pPr>
      <w:r w:rsidRPr="00AF2314">
        <w:rPr>
          <w:rFonts w:cs="Calibri"/>
          <w:lang w:val="en-GB"/>
        </w:rPr>
        <w:t>The composition of epidemiological clusters is provided i</w:t>
      </w:r>
      <w:r>
        <w:rPr>
          <w:rFonts w:cs="Calibri"/>
          <w:lang w:val="en-GB"/>
        </w:rPr>
        <w:t xml:space="preserve">n </w:t>
      </w:r>
      <w:r>
        <w:rPr>
          <w:rFonts w:cs="Calibri"/>
          <w:lang w:val="en-GB"/>
        </w:rPr>
        <w:fldChar w:fldCharType="begin"/>
      </w:r>
      <w:r>
        <w:rPr>
          <w:rFonts w:cs="Calibri"/>
          <w:lang w:val="en-GB"/>
        </w:rPr>
        <w:instrText xml:space="preserve"> REF _Ref233109564 \h  \* MERGEFORMAT </w:instrText>
      </w:r>
      <w:r>
        <w:rPr>
          <w:rFonts w:cs="Calibri"/>
          <w:lang w:val="en-GB"/>
        </w:rPr>
      </w:r>
      <w:r>
        <w:rPr>
          <w:rFonts w:cs="Calibri"/>
          <w:lang w:val="en-GB"/>
        </w:rPr>
        <w:fldChar w:fldCharType="separate"/>
      </w:r>
      <w:r>
        <w:rPr>
          <w:b/>
          <w:bCs/>
          <w:lang w:val="en-GB"/>
        </w:rPr>
        <w:t xml:space="preserve">Additional File 1: </w:t>
      </w:r>
      <w:r w:rsidRPr="00FF6B8C">
        <w:rPr>
          <w:b/>
          <w:bCs/>
          <w:lang w:val="en-GB"/>
        </w:rPr>
        <w:t>Table</w:t>
      </w:r>
      <w:r>
        <w:rPr>
          <w:b/>
          <w:bCs/>
          <w:lang w:val="en-GB"/>
        </w:rPr>
        <w:t xml:space="preserve"> S</w:t>
      </w:r>
      <w:r w:rsidRPr="00FF6B8C">
        <w:rPr>
          <w:b/>
          <w:bCs/>
          <w:noProof/>
          <w:lang w:val="en-GB"/>
        </w:rPr>
        <w:t>4</w:t>
      </w:r>
      <w:r w:rsidRPr="00FF6B8C">
        <w:rPr>
          <w:b/>
          <w:bCs/>
          <w:lang w:val="en-GB"/>
        </w:rPr>
        <w:t>.</w:t>
      </w:r>
      <w:r w:rsidRPr="00AF2314">
        <w:rPr>
          <w:b/>
          <w:bCs/>
          <w:lang w:val="en-GB"/>
        </w:rPr>
        <w:t xml:space="preserve"> </w:t>
      </w:r>
      <w:r>
        <w:rPr>
          <w:rFonts w:cs="Calibri"/>
          <w:lang w:val="en-GB"/>
        </w:rPr>
        <w:fldChar w:fldCharType="end"/>
      </w:r>
    </w:p>
    <w:p w14:paraId="1C9511A9" w14:textId="0E847447" w:rsidR="00E10083" w:rsidRDefault="00E10083" w:rsidP="00E10083">
      <w:pPr>
        <w:keepNext/>
        <w:jc w:val="both"/>
      </w:pPr>
      <w:r>
        <w:rPr>
          <w:rFonts w:cs="Calibri"/>
          <w:noProof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D91AD" wp14:editId="0E05BFBE">
                <wp:simplePos x="0" y="0"/>
                <wp:positionH relativeFrom="column">
                  <wp:posOffset>5247617</wp:posOffset>
                </wp:positionH>
                <wp:positionV relativeFrom="paragraph">
                  <wp:posOffset>178313</wp:posOffset>
                </wp:positionV>
                <wp:extent cx="925417" cy="275421"/>
                <wp:effectExtent l="12700" t="12700" r="14605" b="17145"/>
                <wp:wrapNone/>
                <wp:docPr id="192911046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417" cy="2754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97B89D" id="Rechteck 1" o:spid="_x0000_s1026" style="position:absolute;margin-left:413.2pt;margin-top:14.05pt;width:72.85pt;height:21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" fillcolor="white [3212]" strokecolor="white [3212]" strokeweight="1.5pt"/>
            </w:pict>
          </mc:Fallback>
        </mc:AlternateContent>
      </w:r>
      <w:r w:rsidRPr="00AF2314">
        <w:rPr>
          <w:rFonts w:cs="Calibri"/>
          <w:noProof/>
          <w:lang w:val="en-GB"/>
        </w:rPr>
        <w:drawing>
          <wp:inline distT="0" distB="0" distL="0" distR="0" wp14:anchorId="2C660F4A" wp14:editId="793AFA75">
            <wp:extent cx="6296888" cy="4505325"/>
            <wp:effectExtent l="0" t="0" r="2540" b="3175"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rcRect t="3625" r="10349" b="1"/>
                    <a:stretch/>
                  </pic:blipFill>
                  <pic:spPr bwMode="auto">
                    <a:xfrm>
                      <a:off x="0" y="0"/>
                      <a:ext cx="6351655" cy="4544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D33CDD" w14:textId="79B612DC" w:rsidR="00E10083" w:rsidRPr="00AF2314" w:rsidRDefault="00E10083" w:rsidP="00E10083">
      <w:pPr>
        <w:pStyle w:val="Beschriftung"/>
        <w:jc w:val="both"/>
        <w:rPr>
          <w:lang w:val="en-GB"/>
        </w:rPr>
      </w:pPr>
      <w:bookmarkStart w:id="0" w:name="_Ref233109522"/>
      <w:bookmarkStart w:id="1" w:name="_Ref233109516"/>
      <w:r w:rsidRPr="00682414">
        <w:rPr>
          <w:b/>
          <w:lang w:val="en-GB"/>
        </w:rPr>
        <w:t xml:space="preserve">Figure </w:t>
      </w:r>
      <w:r>
        <w:rPr>
          <w:b/>
          <w:lang w:val="en-GB"/>
        </w:rPr>
        <w:t>S</w:t>
      </w:r>
      <w:r w:rsidRPr="00682414">
        <w:rPr>
          <w:b/>
          <w:bCs w:val="0"/>
        </w:rPr>
        <w:fldChar w:fldCharType="begin"/>
      </w:r>
      <w:r w:rsidRPr="00682414">
        <w:rPr>
          <w:b/>
          <w:lang w:val="en-GB"/>
        </w:rPr>
        <w:instrText xml:space="preserve"> SEQ Supplementary_Figure \* ARABIC </w:instrText>
      </w:r>
      <w:r w:rsidRPr="00682414">
        <w:rPr>
          <w:b/>
          <w:bCs w:val="0"/>
        </w:rPr>
        <w:fldChar w:fldCharType="separate"/>
      </w:r>
      <w:r>
        <w:rPr>
          <w:b/>
          <w:noProof/>
          <w:lang w:val="en-GB"/>
        </w:rPr>
        <w:t>1</w:t>
      </w:r>
      <w:r w:rsidRPr="00682414">
        <w:rPr>
          <w:b/>
          <w:bCs w:val="0"/>
        </w:rPr>
        <w:fldChar w:fldCharType="end"/>
      </w:r>
      <w:bookmarkEnd w:id="0"/>
      <w:r w:rsidRPr="00682414">
        <w:rPr>
          <w:b/>
          <w:lang w:val="en-GB"/>
        </w:rPr>
        <w:t xml:space="preserve">. </w:t>
      </w:r>
      <w:r w:rsidRPr="00E10083">
        <w:rPr>
          <w:b/>
          <w:lang w:val="en-GB"/>
        </w:rPr>
        <w:t xml:space="preserve">Minimum spanning tree (MST) of MAH isolates based on VNTR allelic profiles without inclusion of </w:t>
      </w:r>
      <w:r w:rsidRPr="00E10083">
        <w:rPr>
          <w:rStyle w:val="Hervorhebung"/>
          <w:b/>
          <w:lang w:val="en-GB"/>
        </w:rPr>
        <w:t>hsp65</w:t>
      </w:r>
      <w:r>
        <w:rPr>
          <w:lang w:val="en-GB"/>
        </w:rPr>
        <w:t>.</w:t>
      </w:r>
      <w:r w:rsidRPr="00AF2314">
        <w:rPr>
          <w:lang w:val="en-GB"/>
        </w:rPr>
        <w:t xml:space="preserve"> Each node represents a strain type, and node size reflects the number of isolates. Edges indicate allelic differences between strain types. Compared to Figure 3, exclusion of </w:t>
      </w:r>
      <w:r w:rsidRPr="00AF2314">
        <w:rPr>
          <w:rStyle w:val="Hervorhebung"/>
          <w:lang w:val="en-GB"/>
        </w:rPr>
        <w:t>hsp65</w:t>
      </w:r>
      <w:r w:rsidRPr="00AF2314">
        <w:rPr>
          <w:lang w:val="en-GB"/>
        </w:rPr>
        <w:t xml:space="preserve"> results in reduced discriminatory resolution, with partial merging of strain types into larger clusters</w:t>
      </w:r>
      <w:bookmarkEnd w:id="1"/>
    </w:p>
    <w:p w14:paraId="4BD2B42A" w14:textId="77777777" w:rsidR="00E10083" w:rsidRDefault="00E10083" w:rsidP="00E10083">
      <w:pPr>
        <w:keepNext/>
        <w:jc w:val="both"/>
      </w:pPr>
      <w:r w:rsidRPr="00AF2314">
        <w:rPr>
          <w:rFonts w:cs="Calibri"/>
          <w:noProof/>
          <w:lang w:val="en-GB"/>
        </w:rPr>
        <w:lastRenderedPageBreak/>
        <w:drawing>
          <wp:inline distT="0" distB="0" distL="0" distR="0" wp14:anchorId="647C1B3A" wp14:editId="7F5F46E4">
            <wp:extent cx="6330476" cy="3778449"/>
            <wp:effectExtent l="0" t="0" r="0" b="6350"/>
            <wp:docPr id="5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t="11811" r="7428" b="5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1443" cy="3790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568CD7" w14:textId="527F1540" w:rsidR="00E10083" w:rsidRDefault="00E10083" w:rsidP="00E10083">
      <w:pPr>
        <w:pStyle w:val="Beschriftung"/>
        <w:jc w:val="both"/>
        <w:rPr>
          <w:lang w:val="en-GB"/>
        </w:rPr>
      </w:pPr>
      <w:bookmarkStart w:id="2" w:name="_Ref233109524"/>
      <w:r w:rsidRPr="00682414">
        <w:rPr>
          <w:b/>
          <w:lang w:val="en-GB"/>
        </w:rPr>
        <w:t xml:space="preserve">Figure </w:t>
      </w:r>
      <w:r>
        <w:rPr>
          <w:b/>
          <w:lang w:val="en-GB"/>
        </w:rPr>
        <w:t>S</w:t>
      </w:r>
      <w:r w:rsidRPr="00682414">
        <w:rPr>
          <w:b/>
          <w:bCs w:val="0"/>
        </w:rPr>
        <w:fldChar w:fldCharType="begin"/>
      </w:r>
      <w:r w:rsidRPr="00682414">
        <w:rPr>
          <w:b/>
          <w:lang w:val="en-GB"/>
        </w:rPr>
        <w:instrText xml:space="preserve"> SEQ Supplementary_Figure \* ARABIC </w:instrText>
      </w:r>
      <w:r w:rsidRPr="00682414">
        <w:rPr>
          <w:b/>
          <w:bCs w:val="0"/>
        </w:rPr>
        <w:fldChar w:fldCharType="separate"/>
      </w:r>
      <w:r>
        <w:rPr>
          <w:b/>
          <w:noProof/>
          <w:lang w:val="en-GB"/>
        </w:rPr>
        <w:t>2</w:t>
      </w:r>
      <w:r w:rsidRPr="00682414">
        <w:rPr>
          <w:b/>
          <w:bCs w:val="0"/>
        </w:rPr>
        <w:fldChar w:fldCharType="end"/>
      </w:r>
      <w:bookmarkEnd w:id="2"/>
      <w:r w:rsidRPr="00E10083">
        <w:rPr>
          <w:b/>
          <w:lang w:val="en-GB"/>
        </w:rPr>
        <w:t>. Minimum spanning tree (MST) of MAH isolates based on epidemiological clustering using predefined allelic distance thresholds</w:t>
      </w:r>
      <w:r w:rsidRPr="00AF2314">
        <w:rPr>
          <w:lang w:val="en-GB"/>
        </w:rPr>
        <w:t xml:space="preserve"> (≤1 allelic difference for isolates collected between 2020–2022 and ≤2 for comparisons involving 2015 isolates). </w:t>
      </w:r>
      <w:r>
        <w:rPr>
          <w:lang w:val="en-GB"/>
        </w:rPr>
        <w:t xml:space="preserve">Distances are calculated based on a representative profile within the cluster. </w:t>
      </w:r>
      <w:r w:rsidRPr="00AF2314">
        <w:rPr>
          <w:lang w:val="en-GB"/>
        </w:rPr>
        <w:t>Each node represents a cluster type, and node size reflects the number of isolates. Clustering results in grouping of genetically related strain types into broader clusters, facilitating epidemiological interpretation while reducing fine-scale genetic resolution.</w:t>
      </w:r>
    </w:p>
    <w:p w14:paraId="283A25A9" w14:textId="77777777" w:rsidR="00E10083" w:rsidRPr="00E10083" w:rsidRDefault="00E10083">
      <w:pPr>
        <w:rPr>
          <w:lang w:val="en-GB"/>
        </w:rPr>
      </w:pPr>
    </w:p>
    <w:sectPr w:rsidR="00E10083" w:rsidRPr="00E1008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053C88"/>
    <w:multiLevelType w:val="multilevel"/>
    <w:tmpl w:val="C5A4A2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440849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083"/>
    <w:rsid w:val="00562895"/>
    <w:rsid w:val="00E1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87000E"/>
  <w15:chartTrackingRefBased/>
  <w15:docId w15:val="{D63AB250-61B1-1543-9BA7-833B3985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0083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10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0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00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00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00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00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00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00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00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00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00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00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008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008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008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008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008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00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100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0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00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0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00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008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1008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008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00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008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10083"/>
    <w:rPr>
      <w:b/>
      <w:bCs/>
      <w:smallCaps/>
      <w:color w:val="0F4761" w:themeColor="accent1" w:themeShade="BF"/>
      <w:spacing w:val="5"/>
    </w:rPr>
  </w:style>
  <w:style w:type="character" w:styleId="Hervorhebung">
    <w:name w:val="Emphasis"/>
    <w:basedOn w:val="Absatz-Standardschriftart"/>
    <w:uiPriority w:val="20"/>
    <w:qFormat/>
    <w:rsid w:val="00E10083"/>
    <w:rPr>
      <w:i/>
      <w:iCs/>
    </w:rPr>
  </w:style>
  <w:style w:type="paragraph" w:styleId="Beschriftung">
    <w:name w:val="caption"/>
    <w:basedOn w:val="Standard"/>
    <w:next w:val="Standard"/>
    <w:uiPriority w:val="35"/>
    <w:unhideWhenUsed/>
    <w:qFormat/>
    <w:rsid w:val="00E10083"/>
    <w:pPr>
      <w:spacing w:line="240" w:lineRule="auto"/>
    </w:pPr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Noller</dc:creator>
  <cp:keywords/>
  <dc:description/>
  <cp:lastModifiedBy>Lara Noller</cp:lastModifiedBy>
  <cp:revision>1</cp:revision>
  <dcterms:created xsi:type="dcterms:W3CDTF">2026-08-27T12:09:00Z</dcterms:created>
  <dcterms:modified xsi:type="dcterms:W3CDTF">2026-08-27T12:12:00Z</dcterms:modified>
</cp:coreProperties>
</file>