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7F4F7" w14:textId="77777777" w:rsidR="007F2F11" w:rsidRPr="00E87B55" w:rsidRDefault="007F2F11" w:rsidP="007F2F11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E87B55">
        <w:rPr>
          <w:rFonts w:ascii="Times New Roman" w:hAnsi="Times New Roman" w:cs="Times New Roman"/>
          <w:b/>
          <w:bCs/>
        </w:rPr>
        <w:t>Table 3. Adjusted mixed regression models for periodontal clinical outcomes</w:t>
      </w:r>
    </w:p>
    <w:tbl>
      <w:tblPr>
        <w:tblStyle w:val="Bordered"/>
        <w:tblW w:w="0" w:type="auto"/>
        <w:tblLook w:val="04A0" w:firstRow="1" w:lastRow="0" w:firstColumn="1" w:lastColumn="0" w:noHBand="0" w:noVBand="1"/>
      </w:tblPr>
      <w:tblGrid>
        <w:gridCol w:w="1249"/>
        <w:gridCol w:w="3313"/>
        <w:gridCol w:w="2886"/>
        <w:gridCol w:w="883"/>
      </w:tblGrid>
      <w:tr w:rsidR="007F2F11" w:rsidRPr="00AA48F5" w14:paraId="1ABC2D65" w14:textId="77777777" w:rsidTr="007141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ED706A" w14:textId="77777777" w:rsidR="007F2F11" w:rsidRPr="00AA48F5" w:rsidRDefault="007F2F11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A48F5">
              <w:rPr>
                <w:rFonts w:ascii="Times New Roman" w:hAnsi="Times New Roman" w:cs="Times New Roman"/>
                <w:b/>
                <w:bCs/>
              </w:rPr>
              <w:t>Outcome</w:t>
            </w:r>
          </w:p>
        </w:tc>
        <w:tc>
          <w:tcPr>
            <w:tcW w:w="0" w:type="auto"/>
            <w:hideMark/>
          </w:tcPr>
          <w:p w14:paraId="2BFE4D54" w14:textId="77777777" w:rsidR="007F2F11" w:rsidRPr="00AA48F5" w:rsidRDefault="007F2F11" w:rsidP="00714192">
            <w:pPr>
              <w:spacing w:after="16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AA48F5">
              <w:rPr>
                <w:rFonts w:ascii="Times New Roman" w:hAnsi="Times New Roman" w:cs="Times New Roman"/>
                <w:b/>
                <w:bCs/>
              </w:rPr>
              <w:t>Predictor</w:t>
            </w:r>
          </w:p>
        </w:tc>
        <w:tc>
          <w:tcPr>
            <w:tcW w:w="0" w:type="auto"/>
            <w:hideMark/>
          </w:tcPr>
          <w:p w14:paraId="55E9598B" w14:textId="77777777" w:rsidR="007F2F11" w:rsidRPr="00AA48F5" w:rsidRDefault="007F2F11" w:rsidP="00714192">
            <w:pPr>
              <w:spacing w:after="16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AA48F5">
              <w:rPr>
                <w:rFonts w:ascii="Times New Roman" w:hAnsi="Times New Roman" w:cs="Times New Roman"/>
                <w:b/>
                <w:bCs/>
              </w:rPr>
              <w:t>β (95% CI)</w:t>
            </w:r>
          </w:p>
        </w:tc>
        <w:tc>
          <w:tcPr>
            <w:tcW w:w="0" w:type="auto"/>
            <w:hideMark/>
          </w:tcPr>
          <w:p w14:paraId="741D1504" w14:textId="77777777" w:rsidR="007F2F11" w:rsidRPr="00AA48F5" w:rsidRDefault="007F2F11" w:rsidP="00714192">
            <w:pPr>
              <w:spacing w:after="16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AA48F5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 w:rsidRPr="00AA48F5">
              <w:rPr>
                <w:rFonts w:ascii="Times New Roman" w:hAnsi="Times New Roman" w:cs="Times New Roman"/>
                <w:b/>
                <w:bCs/>
              </w:rPr>
              <w:t xml:space="preserve"> value</w:t>
            </w:r>
          </w:p>
        </w:tc>
      </w:tr>
      <w:tr w:rsidR="007F2F11" w:rsidRPr="00AA48F5" w14:paraId="5D6F0ED5" w14:textId="77777777" w:rsidTr="007141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02647BE" w14:textId="77777777" w:rsidR="007F2F11" w:rsidRPr="00AA48F5" w:rsidRDefault="007F2F11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A48F5">
              <w:rPr>
                <w:rFonts w:ascii="Times New Roman" w:hAnsi="Times New Roman" w:cs="Times New Roman"/>
                <w:b/>
                <w:bCs/>
              </w:rPr>
              <w:t>PPD (mm)</w:t>
            </w:r>
          </w:p>
        </w:tc>
        <w:tc>
          <w:tcPr>
            <w:tcW w:w="0" w:type="auto"/>
            <w:hideMark/>
          </w:tcPr>
          <w:p w14:paraId="179B2BE0" w14:textId="77777777" w:rsidR="007F2F11" w:rsidRPr="00AA48F5" w:rsidRDefault="007F2F11" w:rsidP="00714192">
            <w:pPr>
              <w:spacing w:after="1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48F5">
              <w:rPr>
                <w:rFonts w:ascii="Times New Roman" w:hAnsi="Times New Roman" w:cs="Times New Roman"/>
              </w:rPr>
              <w:t>Regenerative procedure (ref: OFD)</w:t>
            </w:r>
          </w:p>
        </w:tc>
        <w:tc>
          <w:tcPr>
            <w:tcW w:w="0" w:type="auto"/>
            <w:hideMark/>
          </w:tcPr>
          <w:p w14:paraId="36EF00C6" w14:textId="77777777" w:rsidR="007F2F11" w:rsidRPr="00AA48F5" w:rsidRDefault="007F2F11" w:rsidP="00714192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48F5">
              <w:rPr>
                <w:rFonts w:ascii="Times New Roman" w:hAnsi="Times New Roman" w:cs="Times New Roman"/>
              </w:rPr>
              <w:t>−0.737 (−1.327 to −0.146)</w:t>
            </w:r>
          </w:p>
        </w:tc>
        <w:tc>
          <w:tcPr>
            <w:tcW w:w="0" w:type="auto"/>
            <w:hideMark/>
          </w:tcPr>
          <w:p w14:paraId="09FD81F3" w14:textId="77777777" w:rsidR="007F2F11" w:rsidRPr="00AA48F5" w:rsidRDefault="007F2F11" w:rsidP="00714192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48F5">
              <w:rPr>
                <w:rFonts w:ascii="Times New Roman" w:hAnsi="Times New Roman" w:cs="Times New Roman"/>
              </w:rPr>
              <w:t>0.014</w:t>
            </w:r>
          </w:p>
        </w:tc>
      </w:tr>
      <w:tr w:rsidR="007F2F11" w:rsidRPr="00AA48F5" w14:paraId="187BE09C" w14:textId="77777777" w:rsidTr="007141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98ED21" w14:textId="77777777" w:rsidR="007F2F11" w:rsidRPr="00AA48F5" w:rsidRDefault="007F2F11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hideMark/>
          </w:tcPr>
          <w:p w14:paraId="6DCDC61B" w14:textId="77777777" w:rsidR="007F2F11" w:rsidRPr="00AA48F5" w:rsidRDefault="007F2F11" w:rsidP="00714192">
            <w:pPr>
              <w:spacing w:after="1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/>
                <w:sz w:val="22"/>
              </w:rPr>
            </w:pPr>
            <w:r w:rsidRPr="00AA48F5">
              <w:rPr>
                <w:rFonts w:ascii="Times New Roman" w:hAnsi="Times New Roman" w:cs="Times New Roman"/>
                <w:color w:val="404040"/>
                <w:sz w:val="22"/>
              </w:rPr>
              <w:t>Post-treatment (ref: baseline)</w:t>
            </w:r>
          </w:p>
        </w:tc>
        <w:tc>
          <w:tcPr>
            <w:tcW w:w="0" w:type="auto"/>
            <w:hideMark/>
          </w:tcPr>
          <w:p w14:paraId="0A35DFB7" w14:textId="77777777" w:rsidR="007F2F11" w:rsidRPr="00AA48F5" w:rsidRDefault="007F2F11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/>
                <w:sz w:val="22"/>
              </w:rPr>
            </w:pPr>
            <w:r w:rsidRPr="00AA48F5">
              <w:rPr>
                <w:rFonts w:ascii="Times New Roman" w:hAnsi="Times New Roman" w:cs="Times New Roman"/>
                <w:color w:val="404040"/>
                <w:sz w:val="22"/>
              </w:rPr>
              <w:t>−1.703 (−1.975 to −1.431)</w:t>
            </w:r>
          </w:p>
        </w:tc>
        <w:tc>
          <w:tcPr>
            <w:tcW w:w="0" w:type="auto"/>
            <w:hideMark/>
          </w:tcPr>
          <w:p w14:paraId="4FD42428" w14:textId="77777777" w:rsidR="007F2F11" w:rsidRPr="00AA48F5" w:rsidRDefault="007F2F11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/>
                <w:sz w:val="22"/>
              </w:rPr>
            </w:pPr>
            <w:r w:rsidRPr="00AA48F5">
              <w:rPr>
                <w:rFonts w:ascii="Times New Roman" w:hAnsi="Times New Roman" w:cs="Times New Roman"/>
                <w:color w:val="404040"/>
                <w:sz w:val="22"/>
              </w:rPr>
              <w:t>&lt;0.001</w:t>
            </w:r>
          </w:p>
        </w:tc>
      </w:tr>
      <w:tr w:rsidR="007F2F11" w:rsidRPr="00AA48F5" w14:paraId="6A8684A4" w14:textId="77777777" w:rsidTr="007141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647E7C" w14:textId="77777777" w:rsidR="007F2F11" w:rsidRPr="00AA48F5" w:rsidRDefault="007F2F11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hideMark/>
          </w:tcPr>
          <w:p w14:paraId="215555A2" w14:textId="77777777" w:rsidR="007F2F11" w:rsidRPr="00AA48F5" w:rsidRDefault="007F2F11" w:rsidP="00714192">
            <w:pPr>
              <w:spacing w:after="1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48F5">
              <w:rPr>
                <w:rFonts w:ascii="Times New Roman" w:hAnsi="Times New Roman" w:cs="Times New Roman"/>
              </w:rPr>
              <w:t>Procedure × time</w:t>
            </w:r>
          </w:p>
        </w:tc>
        <w:tc>
          <w:tcPr>
            <w:tcW w:w="0" w:type="auto"/>
            <w:hideMark/>
          </w:tcPr>
          <w:p w14:paraId="61C2E19F" w14:textId="77777777" w:rsidR="007F2F11" w:rsidRPr="00AA48F5" w:rsidRDefault="007F2F11" w:rsidP="00714192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48F5">
              <w:rPr>
                <w:rFonts w:ascii="Times New Roman" w:hAnsi="Times New Roman" w:cs="Times New Roman"/>
              </w:rPr>
              <w:t>−1.889 (−2.259 to −1.520)</w:t>
            </w:r>
          </w:p>
        </w:tc>
        <w:tc>
          <w:tcPr>
            <w:tcW w:w="0" w:type="auto"/>
            <w:hideMark/>
          </w:tcPr>
          <w:p w14:paraId="0C566C54" w14:textId="77777777" w:rsidR="007F2F11" w:rsidRPr="00AA48F5" w:rsidRDefault="007F2F11" w:rsidP="00714192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48F5">
              <w:rPr>
                <w:rFonts w:ascii="Times New Roman" w:hAnsi="Times New Roman" w:cs="Times New Roman"/>
              </w:rPr>
              <w:t>&lt;0.001</w:t>
            </w:r>
          </w:p>
        </w:tc>
      </w:tr>
      <w:tr w:rsidR="007F2F11" w:rsidRPr="00AA48F5" w14:paraId="3FC59494" w14:textId="77777777" w:rsidTr="007141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9B7546" w14:textId="77777777" w:rsidR="007F2F11" w:rsidRPr="00AA48F5" w:rsidRDefault="007F2F11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hideMark/>
          </w:tcPr>
          <w:p w14:paraId="77EED545" w14:textId="77777777" w:rsidR="007F2F11" w:rsidRPr="00AA48F5" w:rsidRDefault="007F2F11" w:rsidP="00714192">
            <w:pPr>
              <w:spacing w:after="1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/>
                <w:sz w:val="22"/>
              </w:rPr>
            </w:pPr>
            <w:r w:rsidRPr="00AA48F5">
              <w:rPr>
                <w:rFonts w:ascii="Times New Roman" w:hAnsi="Times New Roman" w:cs="Times New Roman"/>
                <w:color w:val="404040"/>
                <w:sz w:val="22"/>
              </w:rPr>
              <w:t>Non-smoker (ref: smoker)</w:t>
            </w:r>
          </w:p>
        </w:tc>
        <w:tc>
          <w:tcPr>
            <w:tcW w:w="0" w:type="auto"/>
            <w:hideMark/>
          </w:tcPr>
          <w:p w14:paraId="2078A5EA" w14:textId="77777777" w:rsidR="007F2F11" w:rsidRPr="00AA48F5" w:rsidRDefault="007F2F11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/>
                <w:sz w:val="22"/>
              </w:rPr>
            </w:pPr>
            <w:r w:rsidRPr="00AA48F5">
              <w:rPr>
                <w:rFonts w:ascii="Times New Roman" w:hAnsi="Times New Roman" w:cs="Times New Roman"/>
                <w:color w:val="404040"/>
                <w:sz w:val="22"/>
              </w:rPr>
              <w:t>−0.505 (−0.990 to −0.020)</w:t>
            </w:r>
          </w:p>
        </w:tc>
        <w:tc>
          <w:tcPr>
            <w:tcW w:w="0" w:type="auto"/>
            <w:hideMark/>
          </w:tcPr>
          <w:p w14:paraId="4F81C093" w14:textId="77777777" w:rsidR="007F2F11" w:rsidRPr="00AA48F5" w:rsidRDefault="007F2F11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/>
                <w:sz w:val="22"/>
              </w:rPr>
            </w:pPr>
            <w:r w:rsidRPr="00AA48F5">
              <w:rPr>
                <w:rFonts w:ascii="Times New Roman" w:hAnsi="Times New Roman" w:cs="Times New Roman"/>
                <w:color w:val="404040"/>
                <w:sz w:val="22"/>
              </w:rPr>
              <w:t>0.041</w:t>
            </w:r>
          </w:p>
        </w:tc>
      </w:tr>
      <w:tr w:rsidR="007F2F11" w:rsidRPr="00AA48F5" w14:paraId="145D9838" w14:textId="77777777" w:rsidTr="007141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E1CF0E" w14:textId="77777777" w:rsidR="007F2F11" w:rsidRPr="00AA48F5" w:rsidRDefault="007F2F11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A48F5">
              <w:rPr>
                <w:rFonts w:ascii="Times New Roman" w:hAnsi="Times New Roman" w:cs="Times New Roman"/>
                <w:b/>
                <w:bCs/>
              </w:rPr>
              <w:t>CAL (mm)</w:t>
            </w:r>
          </w:p>
        </w:tc>
        <w:tc>
          <w:tcPr>
            <w:tcW w:w="0" w:type="auto"/>
            <w:hideMark/>
          </w:tcPr>
          <w:p w14:paraId="06D10509" w14:textId="77777777" w:rsidR="007F2F11" w:rsidRPr="00AA48F5" w:rsidRDefault="007F2F11" w:rsidP="00714192">
            <w:pPr>
              <w:spacing w:after="1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48F5">
              <w:rPr>
                <w:rFonts w:ascii="Times New Roman" w:hAnsi="Times New Roman" w:cs="Times New Roman"/>
              </w:rPr>
              <w:t>Regenerative procedure (ref: OFD)</w:t>
            </w:r>
          </w:p>
        </w:tc>
        <w:tc>
          <w:tcPr>
            <w:tcW w:w="0" w:type="auto"/>
            <w:hideMark/>
          </w:tcPr>
          <w:p w14:paraId="1BBADF8C" w14:textId="77777777" w:rsidR="007F2F11" w:rsidRPr="00AA48F5" w:rsidRDefault="007F2F11" w:rsidP="00714192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48F5">
              <w:rPr>
                <w:rFonts w:ascii="Times New Roman" w:hAnsi="Times New Roman" w:cs="Times New Roman"/>
              </w:rPr>
              <w:t>−0.877 (−1.555 to −0.199)</w:t>
            </w:r>
          </w:p>
        </w:tc>
        <w:tc>
          <w:tcPr>
            <w:tcW w:w="0" w:type="auto"/>
            <w:hideMark/>
          </w:tcPr>
          <w:p w14:paraId="6B1EB6F4" w14:textId="77777777" w:rsidR="007F2F11" w:rsidRPr="00AA48F5" w:rsidRDefault="007F2F11" w:rsidP="00714192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48F5">
              <w:rPr>
                <w:rFonts w:ascii="Times New Roman" w:hAnsi="Times New Roman" w:cs="Times New Roman"/>
              </w:rPr>
              <w:t>0.011</w:t>
            </w:r>
          </w:p>
        </w:tc>
      </w:tr>
      <w:tr w:rsidR="007F2F11" w:rsidRPr="00AA48F5" w14:paraId="514B5C99" w14:textId="77777777" w:rsidTr="007141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A54D45" w14:textId="77777777" w:rsidR="007F2F11" w:rsidRPr="00AA48F5" w:rsidRDefault="007F2F11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hideMark/>
          </w:tcPr>
          <w:p w14:paraId="1192415C" w14:textId="77777777" w:rsidR="007F2F11" w:rsidRPr="00AA48F5" w:rsidRDefault="007F2F11" w:rsidP="00714192">
            <w:pPr>
              <w:spacing w:after="1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/>
                <w:sz w:val="22"/>
              </w:rPr>
            </w:pPr>
            <w:r w:rsidRPr="00AA48F5">
              <w:rPr>
                <w:rFonts w:ascii="Times New Roman" w:hAnsi="Times New Roman" w:cs="Times New Roman"/>
                <w:color w:val="404040"/>
                <w:sz w:val="22"/>
              </w:rPr>
              <w:t>Post-treatment (ref: baseline)</w:t>
            </w:r>
          </w:p>
        </w:tc>
        <w:tc>
          <w:tcPr>
            <w:tcW w:w="0" w:type="auto"/>
            <w:hideMark/>
          </w:tcPr>
          <w:p w14:paraId="32E2327A" w14:textId="77777777" w:rsidR="007F2F11" w:rsidRPr="00AA48F5" w:rsidRDefault="007F2F11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/>
                <w:sz w:val="22"/>
              </w:rPr>
            </w:pPr>
            <w:r w:rsidRPr="00AA48F5">
              <w:rPr>
                <w:rFonts w:ascii="Times New Roman" w:hAnsi="Times New Roman" w:cs="Times New Roman"/>
                <w:color w:val="404040"/>
                <w:sz w:val="22"/>
              </w:rPr>
              <w:t>−1.788 (−2.076 to −1.500)</w:t>
            </w:r>
          </w:p>
        </w:tc>
        <w:tc>
          <w:tcPr>
            <w:tcW w:w="0" w:type="auto"/>
            <w:hideMark/>
          </w:tcPr>
          <w:p w14:paraId="2AB733CF" w14:textId="77777777" w:rsidR="007F2F11" w:rsidRPr="00AA48F5" w:rsidRDefault="007F2F11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/>
                <w:sz w:val="22"/>
              </w:rPr>
            </w:pPr>
            <w:r w:rsidRPr="00AA48F5">
              <w:rPr>
                <w:rFonts w:ascii="Times New Roman" w:hAnsi="Times New Roman" w:cs="Times New Roman"/>
                <w:color w:val="404040"/>
                <w:sz w:val="22"/>
              </w:rPr>
              <w:t>&lt;0.001</w:t>
            </w:r>
          </w:p>
        </w:tc>
      </w:tr>
      <w:tr w:rsidR="007F2F11" w:rsidRPr="00AA48F5" w14:paraId="418FD60D" w14:textId="77777777" w:rsidTr="007141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2C2F99" w14:textId="77777777" w:rsidR="007F2F11" w:rsidRPr="00AA48F5" w:rsidRDefault="007F2F11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hideMark/>
          </w:tcPr>
          <w:p w14:paraId="612AEE80" w14:textId="77777777" w:rsidR="007F2F11" w:rsidRPr="00AA48F5" w:rsidRDefault="007F2F11" w:rsidP="00714192">
            <w:pPr>
              <w:spacing w:after="1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48F5">
              <w:rPr>
                <w:rFonts w:ascii="Times New Roman" w:hAnsi="Times New Roman" w:cs="Times New Roman"/>
              </w:rPr>
              <w:t>Procedure × time</w:t>
            </w:r>
          </w:p>
        </w:tc>
        <w:tc>
          <w:tcPr>
            <w:tcW w:w="0" w:type="auto"/>
            <w:hideMark/>
          </w:tcPr>
          <w:p w14:paraId="470C903F" w14:textId="77777777" w:rsidR="007F2F11" w:rsidRPr="00AA48F5" w:rsidRDefault="007F2F11" w:rsidP="00714192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48F5">
              <w:rPr>
                <w:rFonts w:ascii="Times New Roman" w:hAnsi="Times New Roman" w:cs="Times New Roman"/>
              </w:rPr>
              <w:t>−1.843 (−2.234 to −1.451)</w:t>
            </w:r>
          </w:p>
        </w:tc>
        <w:tc>
          <w:tcPr>
            <w:tcW w:w="0" w:type="auto"/>
            <w:hideMark/>
          </w:tcPr>
          <w:p w14:paraId="4806A25E" w14:textId="77777777" w:rsidR="007F2F11" w:rsidRPr="00AA48F5" w:rsidRDefault="007F2F11" w:rsidP="00714192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48F5">
              <w:rPr>
                <w:rFonts w:ascii="Times New Roman" w:hAnsi="Times New Roman" w:cs="Times New Roman"/>
              </w:rPr>
              <w:t>&lt;0.001</w:t>
            </w:r>
          </w:p>
        </w:tc>
      </w:tr>
      <w:tr w:rsidR="007F2F11" w:rsidRPr="00AA48F5" w14:paraId="3718B409" w14:textId="77777777" w:rsidTr="007141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138BC3" w14:textId="77777777" w:rsidR="007F2F11" w:rsidRPr="00AA48F5" w:rsidRDefault="007F2F11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hideMark/>
          </w:tcPr>
          <w:p w14:paraId="76E585E9" w14:textId="77777777" w:rsidR="007F2F11" w:rsidRPr="00AA48F5" w:rsidRDefault="007F2F11" w:rsidP="00714192">
            <w:pPr>
              <w:spacing w:after="1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/>
                <w:sz w:val="22"/>
              </w:rPr>
            </w:pPr>
            <w:r w:rsidRPr="00AA48F5">
              <w:rPr>
                <w:rFonts w:ascii="Times New Roman" w:hAnsi="Times New Roman" w:cs="Times New Roman"/>
                <w:color w:val="404040"/>
                <w:sz w:val="22"/>
              </w:rPr>
              <w:t>Age (per year)</w:t>
            </w:r>
          </w:p>
        </w:tc>
        <w:tc>
          <w:tcPr>
            <w:tcW w:w="0" w:type="auto"/>
            <w:hideMark/>
          </w:tcPr>
          <w:p w14:paraId="5E4F462F" w14:textId="77777777" w:rsidR="007F2F11" w:rsidRPr="00AA48F5" w:rsidRDefault="007F2F11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/>
                <w:sz w:val="22"/>
              </w:rPr>
            </w:pPr>
            <w:r w:rsidRPr="00AA48F5">
              <w:rPr>
                <w:rFonts w:ascii="Times New Roman" w:hAnsi="Times New Roman" w:cs="Times New Roman"/>
                <w:color w:val="404040"/>
                <w:sz w:val="22"/>
              </w:rPr>
              <w:t>0.032 (0.009 to 0.055)</w:t>
            </w:r>
          </w:p>
        </w:tc>
        <w:tc>
          <w:tcPr>
            <w:tcW w:w="0" w:type="auto"/>
            <w:hideMark/>
          </w:tcPr>
          <w:p w14:paraId="224473BC" w14:textId="77777777" w:rsidR="007F2F11" w:rsidRPr="00AA48F5" w:rsidRDefault="007F2F11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/>
                <w:sz w:val="22"/>
              </w:rPr>
            </w:pPr>
            <w:r w:rsidRPr="00AA48F5">
              <w:rPr>
                <w:rFonts w:ascii="Times New Roman" w:hAnsi="Times New Roman" w:cs="Times New Roman"/>
                <w:color w:val="404040"/>
                <w:sz w:val="22"/>
              </w:rPr>
              <w:t>0.007</w:t>
            </w:r>
          </w:p>
        </w:tc>
      </w:tr>
      <w:tr w:rsidR="007F2F11" w:rsidRPr="00AA48F5" w14:paraId="28F004C0" w14:textId="77777777" w:rsidTr="007141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9BF94B6" w14:textId="77777777" w:rsidR="007F2F11" w:rsidRPr="00AA48F5" w:rsidRDefault="007F2F11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hideMark/>
          </w:tcPr>
          <w:p w14:paraId="55B8E2FB" w14:textId="77777777" w:rsidR="007F2F11" w:rsidRPr="00AA48F5" w:rsidRDefault="007F2F11" w:rsidP="00714192">
            <w:pPr>
              <w:spacing w:after="1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48F5">
              <w:rPr>
                <w:rFonts w:ascii="Times New Roman" w:hAnsi="Times New Roman" w:cs="Times New Roman"/>
              </w:rPr>
              <w:t>Non-smoker (ref: smoker)</w:t>
            </w:r>
          </w:p>
        </w:tc>
        <w:tc>
          <w:tcPr>
            <w:tcW w:w="0" w:type="auto"/>
            <w:hideMark/>
          </w:tcPr>
          <w:p w14:paraId="30E8A15C" w14:textId="77777777" w:rsidR="007F2F11" w:rsidRPr="00AA48F5" w:rsidRDefault="007F2F11" w:rsidP="00714192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48F5">
              <w:rPr>
                <w:rFonts w:ascii="Times New Roman" w:hAnsi="Times New Roman" w:cs="Times New Roman"/>
              </w:rPr>
              <w:t>−0.510 (−1.064 to 0.044)</w:t>
            </w:r>
          </w:p>
        </w:tc>
        <w:tc>
          <w:tcPr>
            <w:tcW w:w="0" w:type="auto"/>
            <w:hideMark/>
          </w:tcPr>
          <w:p w14:paraId="678308A8" w14:textId="77777777" w:rsidR="007F2F11" w:rsidRPr="00AA48F5" w:rsidRDefault="007F2F11" w:rsidP="00714192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48F5">
              <w:rPr>
                <w:rFonts w:ascii="Times New Roman" w:hAnsi="Times New Roman" w:cs="Times New Roman"/>
              </w:rPr>
              <w:t>0.071</w:t>
            </w:r>
          </w:p>
        </w:tc>
      </w:tr>
      <w:tr w:rsidR="007F2F11" w:rsidRPr="00AA48F5" w14:paraId="061E2E23" w14:textId="77777777" w:rsidTr="007141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F30CEC" w14:textId="77777777" w:rsidR="007F2F11" w:rsidRPr="00AA48F5" w:rsidRDefault="007F2F11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A48F5">
              <w:rPr>
                <w:rFonts w:ascii="Times New Roman" w:hAnsi="Times New Roman" w:cs="Times New Roman"/>
                <w:b/>
                <w:bCs/>
              </w:rPr>
              <w:t>PI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(%)</w:t>
            </w:r>
          </w:p>
        </w:tc>
        <w:tc>
          <w:tcPr>
            <w:tcW w:w="0" w:type="auto"/>
            <w:hideMark/>
          </w:tcPr>
          <w:p w14:paraId="79438509" w14:textId="77777777" w:rsidR="007F2F11" w:rsidRPr="00AA48F5" w:rsidRDefault="007F2F11" w:rsidP="00714192">
            <w:pPr>
              <w:spacing w:after="1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/>
                <w:sz w:val="22"/>
              </w:rPr>
            </w:pPr>
            <w:r w:rsidRPr="00AA48F5">
              <w:rPr>
                <w:rFonts w:ascii="Times New Roman" w:hAnsi="Times New Roman" w:cs="Times New Roman"/>
                <w:color w:val="404040"/>
                <w:sz w:val="22"/>
              </w:rPr>
              <w:t>Regenerative procedure (ref: OFD)</w:t>
            </w:r>
          </w:p>
        </w:tc>
        <w:tc>
          <w:tcPr>
            <w:tcW w:w="0" w:type="auto"/>
            <w:hideMark/>
          </w:tcPr>
          <w:p w14:paraId="2E53992A" w14:textId="77777777" w:rsidR="007F2F11" w:rsidRPr="00AA48F5" w:rsidRDefault="007F2F11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/>
                <w:sz w:val="22"/>
              </w:rPr>
            </w:pPr>
            <w:r w:rsidRPr="00AA48F5">
              <w:rPr>
                <w:rFonts w:ascii="Times New Roman" w:hAnsi="Times New Roman" w:cs="Times New Roman"/>
                <w:color w:val="404040"/>
                <w:sz w:val="22"/>
              </w:rPr>
              <w:t>−4.110 (−5.770 to −2.450)</w:t>
            </w:r>
          </w:p>
        </w:tc>
        <w:tc>
          <w:tcPr>
            <w:tcW w:w="0" w:type="auto"/>
            <w:hideMark/>
          </w:tcPr>
          <w:p w14:paraId="5827B381" w14:textId="77777777" w:rsidR="007F2F11" w:rsidRPr="00AA48F5" w:rsidRDefault="007F2F11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/>
                <w:sz w:val="22"/>
              </w:rPr>
            </w:pPr>
            <w:r w:rsidRPr="00AA48F5">
              <w:rPr>
                <w:rFonts w:ascii="Times New Roman" w:hAnsi="Times New Roman" w:cs="Times New Roman"/>
                <w:color w:val="404040"/>
                <w:sz w:val="22"/>
              </w:rPr>
              <w:t>&lt;0.001</w:t>
            </w:r>
          </w:p>
        </w:tc>
      </w:tr>
      <w:tr w:rsidR="007F2F11" w:rsidRPr="00AA48F5" w14:paraId="5AC3773E" w14:textId="77777777" w:rsidTr="007141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DCB920" w14:textId="77777777" w:rsidR="007F2F11" w:rsidRPr="00AA48F5" w:rsidRDefault="007F2F11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hideMark/>
          </w:tcPr>
          <w:p w14:paraId="04B6D440" w14:textId="77777777" w:rsidR="007F2F11" w:rsidRPr="00AA48F5" w:rsidRDefault="007F2F11" w:rsidP="00714192">
            <w:pPr>
              <w:spacing w:after="1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48F5">
              <w:rPr>
                <w:rFonts w:ascii="Times New Roman" w:hAnsi="Times New Roman" w:cs="Times New Roman"/>
              </w:rPr>
              <w:t>Post-treatment (ref: baseline)</w:t>
            </w:r>
          </w:p>
        </w:tc>
        <w:tc>
          <w:tcPr>
            <w:tcW w:w="0" w:type="auto"/>
            <w:hideMark/>
          </w:tcPr>
          <w:p w14:paraId="74F943A2" w14:textId="77777777" w:rsidR="007F2F11" w:rsidRPr="00AA48F5" w:rsidRDefault="007F2F11" w:rsidP="00714192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48F5">
              <w:rPr>
                <w:rFonts w:ascii="Times New Roman" w:hAnsi="Times New Roman" w:cs="Times New Roman"/>
              </w:rPr>
              <w:t>−12.361 (−14.432 to −10.290)</w:t>
            </w:r>
          </w:p>
        </w:tc>
        <w:tc>
          <w:tcPr>
            <w:tcW w:w="0" w:type="auto"/>
            <w:hideMark/>
          </w:tcPr>
          <w:p w14:paraId="19A49A63" w14:textId="77777777" w:rsidR="007F2F11" w:rsidRPr="00AA48F5" w:rsidRDefault="007F2F11" w:rsidP="00714192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48F5">
              <w:rPr>
                <w:rFonts w:ascii="Times New Roman" w:hAnsi="Times New Roman" w:cs="Times New Roman"/>
              </w:rPr>
              <w:t>&lt;0.001</w:t>
            </w:r>
          </w:p>
        </w:tc>
      </w:tr>
      <w:tr w:rsidR="007F2F11" w:rsidRPr="00AA48F5" w14:paraId="346B95DC" w14:textId="77777777" w:rsidTr="007141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7C276F8" w14:textId="77777777" w:rsidR="007F2F11" w:rsidRPr="00AA48F5" w:rsidRDefault="007F2F11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A48F5">
              <w:rPr>
                <w:rFonts w:ascii="Times New Roman" w:hAnsi="Times New Roman" w:cs="Times New Roman"/>
                <w:b/>
                <w:bCs/>
              </w:rPr>
              <w:t>BOP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(%)</w:t>
            </w:r>
          </w:p>
        </w:tc>
        <w:tc>
          <w:tcPr>
            <w:tcW w:w="0" w:type="auto"/>
            <w:hideMark/>
          </w:tcPr>
          <w:p w14:paraId="1A5ABBB9" w14:textId="77777777" w:rsidR="007F2F11" w:rsidRPr="00AA48F5" w:rsidRDefault="007F2F11" w:rsidP="00714192">
            <w:pPr>
              <w:spacing w:after="1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/>
                <w:sz w:val="22"/>
              </w:rPr>
            </w:pPr>
            <w:r w:rsidRPr="00AA48F5">
              <w:rPr>
                <w:rFonts w:ascii="Times New Roman" w:hAnsi="Times New Roman" w:cs="Times New Roman"/>
                <w:color w:val="404040"/>
                <w:sz w:val="22"/>
              </w:rPr>
              <w:t>Regenerative procedure (ref: OFD)</w:t>
            </w:r>
          </w:p>
        </w:tc>
        <w:tc>
          <w:tcPr>
            <w:tcW w:w="0" w:type="auto"/>
            <w:hideMark/>
          </w:tcPr>
          <w:p w14:paraId="25E06174" w14:textId="77777777" w:rsidR="007F2F11" w:rsidRPr="00AA48F5" w:rsidRDefault="007F2F11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/>
                <w:sz w:val="22"/>
              </w:rPr>
            </w:pPr>
            <w:r w:rsidRPr="00AA48F5">
              <w:rPr>
                <w:rFonts w:ascii="Times New Roman" w:hAnsi="Times New Roman" w:cs="Times New Roman"/>
                <w:color w:val="404040"/>
                <w:sz w:val="22"/>
              </w:rPr>
              <w:t>−1.200 (−2.820 to 0.410)</w:t>
            </w:r>
          </w:p>
        </w:tc>
        <w:tc>
          <w:tcPr>
            <w:tcW w:w="0" w:type="auto"/>
            <w:hideMark/>
          </w:tcPr>
          <w:p w14:paraId="2C07704A" w14:textId="77777777" w:rsidR="007F2F11" w:rsidRPr="00AA48F5" w:rsidRDefault="007F2F11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/>
                <w:sz w:val="22"/>
              </w:rPr>
            </w:pPr>
            <w:r w:rsidRPr="00AA48F5">
              <w:rPr>
                <w:rFonts w:ascii="Times New Roman" w:hAnsi="Times New Roman" w:cs="Times New Roman"/>
                <w:color w:val="404040"/>
                <w:sz w:val="22"/>
              </w:rPr>
              <w:t>0.144</w:t>
            </w:r>
          </w:p>
        </w:tc>
      </w:tr>
      <w:tr w:rsidR="007F2F11" w:rsidRPr="00AA48F5" w14:paraId="23D9B6D8" w14:textId="77777777" w:rsidTr="007141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60DDA2" w14:textId="77777777" w:rsidR="007F2F11" w:rsidRPr="00AA48F5" w:rsidRDefault="007F2F11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hideMark/>
          </w:tcPr>
          <w:p w14:paraId="052358FC" w14:textId="77777777" w:rsidR="007F2F11" w:rsidRPr="00AA48F5" w:rsidRDefault="007F2F11" w:rsidP="00714192">
            <w:pPr>
              <w:spacing w:after="1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48F5">
              <w:rPr>
                <w:rFonts w:ascii="Times New Roman" w:hAnsi="Times New Roman" w:cs="Times New Roman"/>
              </w:rPr>
              <w:t>Post-treatment (ref: baseline)</w:t>
            </w:r>
          </w:p>
        </w:tc>
        <w:tc>
          <w:tcPr>
            <w:tcW w:w="0" w:type="auto"/>
            <w:hideMark/>
          </w:tcPr>
          <w:p w14:paraId="381979D0" w14:textId="77777777" w:rsidR="007F2F11" w:rsidRPr="00AA48F5" w:rsidRDefault="007F2F11" w:rsidP="00714192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48F5">
              <w:rPr>
                <w:rFonts w:ascii="Times New Roman" w:hAnsi="Times New Roman" w:cs="Times New Roman"/>
              </w:rPr>
              <w:t>−14.290 (−16.250 to −12.330)</w:t>
            </w:r>
          </w:p>
        </w:tc>
        <w:tc>
          <w:tcPr>
            <w:tcW w:w="0" w:type="auto"/>
            <w:hideMark/>
          </w:tcPr>
          <w:p w14:paraId="4462F83B" w14:textId="77777777" w:rsidR="007F2F11" w:rsidRPr="00AA48F5" w:rsidRDefault="007F2F11" w:rsidP="00714192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48F5">
              <w:rPr>
                <w:rFonts w:ascii="Times New Roman" w:hAnsi="Times New Roman" w:cs="Times New Roman"/>
              </w:rPr>
              <w:t>&lt;0.001</w:t>
            </w:r>
          </w:p>
        </w:tc>
      </w:tr>
    </w:tbl>
    <w:p w14:paraId="724833EA" w14:textId="77777777" w:rsidR="007F2F11" w:rsidRPr="00C46BA5" w:rsidRDefault="007F2F11" w:rsidP="007F2F11">
      <w:pPr>
        <w:spacing w:line="276" w:lineRule="auto"/>
        <w:jc w:val="both"/>
        <w:rPr>
          <w:rFonts w:ascii="Times New Roman" w:hAnsi="Times New Roman" w:cs="Times New Roman"/>
          <w:b/>
          <w:bCs/>
          <w:color w:val="404040"/>
          <w:sz w:val="20"/>
          <w:szCs w:val="22"/>
        </w:rPr>
      </w:pPr>
      <w:r w:rsidRPr="00C46BA5">
        <w:rPr>
          <w:rFonts w:ascii="Times New Roman" w:hAnsi="Times New Roman" w:cs="Times New Roman"/>
          <w:b/>
          <w:bCs/>
          <w:color w:val="404040"/>
          <w:sz w:val="20"/>
          <w:szCs w:val="22"/>
        </w:rPr>
        <w:t>Abbreviations: β, regression coefficient; CI, confidence interval; PPD, probing pocket depth; CAL, clinical attachment level; PI, plaque index; BOP, bleeding on probing; OFD, open flap debridement.</w:t>
      </w:r>
    </w:p>
    <w:p w14:paraId="56FC81BB" w14:textId="77777777" w:rsidR="007F2F11" w:rsidRPr="00C46BA5" w:rsidRDefault="007F2F11" w:rsidP="007F2F11">
      <w:pPr>
        <w:spacing w:line="276" w:lineRule="auto"/>
        <w:jc w:val="both"/>
        <w:rPr>
          <w:rFonts w:ascii="Times New Roman" w:hAnsi="Times New Roman" w:cs="Times New Roman"/>
          <w:b/>
          <w:bCs/>
          <w:color w:val="404040"/>
          <w:sz w:val="20"/>
          <w:szCs w:val="22"/>
        </w:rPr>
      </w:pPr>
      <w:r w:rsidRPr="00C46BA5">
        <w:rPr>
          <w:rFonts w:ascii="Times New Roman" w:hAnsi="Times New Roman" w:cs="Times New Roman"/>
          <w:b/>
          <w:bCs/>
          <w:color w:val="404040"/>
          <w:sz w:val="20"/>
          <w:szCs w:val="22"/>
        </w:rPr>
        <w:t>Reference categories: OFD for surgical procedure, baseline for time, and smoker for smoking status. Negative β coefficients indicate lower outcome values relative to the corresponding reference category. For CAL, lower postoperative values indicate clinical attachment gain.</w:t>
      </w:r>
    </w:p>
    <w:p w14:paraId="0E26FB1E" w14:textId="77777777" w:rsidR="007F2F11" w:rsidRDefault="007F2F11"/>
    <w:sectPr w:rsidR="007F2F1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F11"/>
    <w:rsid w:val="007F2F11"/>
    <w:rsid w:val="0094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B8103"/>
  <w15:chartTrackingRefBased/>
  <w15:docId w15:val="{AD4A6A06-3899-46F0-840C-7E4765FC4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F11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2F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2F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2F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2F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2F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2F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2F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2F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2F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2F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2F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2F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2F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2F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2F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2F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2F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2F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2F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2F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2F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2F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2F11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7F2F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2F11"/>
    <w:pPr>
      <w:ind w:left="720"/>
      <w:contextualSpacing/>
    </w:pPr>
    <w:rPr>
      <w:kern w:val="2"/>
    </w:rPr>
  </w:style>
  <w:style w:type="character" w:styleId="IntenseEmphasis">
    <w:name w:val="Intense Emphasis"/>
    <w:basedOn w:val="DefaultParagraphFont"/>
    <w:uiPriority w:val="21"/>
    <w:qFormat/>
    <w:rsid w:val="007F2F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F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F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2F11"/>
    <w:rPr>
      <w:b/>
      <w:bCs/>
      <w:smallCaps/>
      <w:color w:val="0F4761" w:themeColor="accent1" w:themeShade="BF"/>
      <w:spacing w:val="5"/>
    </w:rPr>
  </w:style>
  <w:style w:type="table" w:customStyle="1" w:styleId="Bordered">
    <w:name w:val="Bordered"/>
    <w:basedOn w:val="TableNormal"/>
    <w:uiPriority w:val="99"/>
    <w:rsid w:val="007F2F11"/>
    <w:pPr>
      <w:spacing w:after="0" w:line="240" w:lineRule="auto"/>
    </w:pPr>
    <w:rPr>
      <w:kern w:val="0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 Ahmed</dc:creator>
  <cp:keywords/>
  <dc:description/>
  <cp:lastModifiedBy>Mai Ahmed</cp:lastModifiedBy>
  <cp:revision>1</cp:revision>
  <dcterms:created xsi:type="dcterms:W3CDTF">2026-08-30T10:03:00Z</dcterms:created>
  <dcterms:modified xsi:type="dcterms:W3CDTF">2026-08-30T10:03:00Z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3eb12f1b-1046-48bd-83fd-84825e12b712</vt:lpwstr>
  </property>
</Properties>
</file>