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CEF0"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NOVELTY AND INNOVATIVE CONTRIBUTIONS OF THIS RESEARCH</w:t>
      </w:r>
    </w:p>
    <w:p w14:paraId="1252A395"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1. METHODOLOGICAL NOVELTY: Multi-Source Data Integration at Local Scale</w:t>
      </w:r>
    </w:p>
    <w:p w14:paraId="075A4F2B"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1.1 Unique Combination of Datasets</w:t>
      </w:r>
    </w:p>
    <w:p w14:paraId="2E9BD567"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This study presents a pioneering approach by integrating </w:t>
      </w:r>
      <w:r w:rsidRPr="009806B1">
        <w:rPr>
          <w:rFonts w:ascii="Times New Roman" w:hAnsi="Times New Roman" w:cs="Times New Roman"/>
          <w:b/>
          <w:bCs/>
        </w:rPr>
        <w:t>four distinct data sources</w:t>
      </w:r>
      <w:r w:rsidRPr="009806B1">
        <w:rPr>
          <w:rFonts w:ascii="Times New Roman" w:hAnsi="Times New Roman" w:cs="Times New Roman"/>
        </w:rPr>
        <w:t> that have rarely been combined in local-scale groundwater studies in Pakistan:</w:t>
      </w:r>
    </w:p>
    <w:p w14:paraId="2B568D69" w14:textId="77777777" w:rsidR="00712055" w:rsidRPr="009806B1" w:rsidRDefault="00712055" w:rsidP="00712055">
      <w:pPr>
        <w:numPr>
          <w:ilvl w:val="0"/>
          <w:numId w:val="1"/>
        </w:numPr>
        <w:rPr>
          <w:rFonts w:ascii="Times New Roman" w:hAnsi="Times New Roman" w:cs="Times New Roman"/>
        </w:rPr>
      </w:pPr>
      <w:r w:rsidRPr="009806B1">
        <w:rPr>
          <w:rFonts w:ascii="Times New Roman" w:hAnsi="Times New Roman" w:cs="Times New Roman"/>
          <w:b/>
          <w:bCs/>
        </w:rPr>
        <w:t>Ground-based observations</w:t>
      </w:r>
      <w:r w:rsidRPr="009806B1">
        <w:rPr>
          <w:rFonts w:ascii="Times New Roman" w:hAnsi="Times New Roman" w:cs="Times New Roman"/>
        </w:rPr>
        <w:t> (220 WASA monitoring wells, 2000-2019)</w:t>
      </w:r>
    </w:p>
    <w:p w14:paraId="327BC971" w14:textId="77777777" w:rsidR="00712055" w:rsidRPr="009806B1" w:rsidRDefault="00712055" w:rsidP="00712055">
      <w:pPr>
        <w:numPr>
          <w:ilvl w:val="0"/>
          <w:numId w:val="1"/>
        </w:numPr>
        <w:rPr>
          <w:rFonts w:ascii="Times New Roman" w:hAnsi="Times New Roman" w:cs="Times New Roman"/>
        </w:rPr>
      </w:pPr>
      <w:r w:rsidRPr="009806B1">
        <w:rPr>
          <w:rFonts w:ascii="Times New Roman" w:hAnsi="Times New Roman" w:cs="Times New Roman"/>
          <w:b/>
          <w:bCs/>
        </w:rPr>
        <w:t>GRACE satellite data</w:t>
      </w:r>
      <w:r w:rsidRPr="009806B1">
        <w:rPr>
          <w:rFonts w:ascii="Times New Roman" w:hAnsi="Times New Roman" w:cs="Times New Roman"/>
        </w:rPr>
        <w:t> via ICGEM (International Center for Global Earth Models)</w:t>
      </w:r>
    </w:p>
    <w:p w14:paraId="51EBB4CA" w14:textId="77777777" w:rsidR="00712055" w:rsidRPr="009806B1" w:rsidRDefault="00712055" w:rsidP="00712055">
      <w:pPr>
        <w:numPr>
          <w:ilvl w:val="0"/>
          <w:numId w:val="1"/>
        </w:numPr>
        <w:rPr>
          <w:rFonts w:ascii="Times New Roman" w:hAnsi="Times New Roman" w:cs="Times New Roman"/>
        </w:rPr>
      </w:pPr>
      <w:r w:rsidRPr="009806B1">
        <w:rPr>
          <w:rFonts w:ascii="Times New Roman" w:hAnsi="Times New Roman" w:cs="Times New Roman"/>
          <w:b/>
          <w:bCs/>
        </w:rPr>
        <w:t>Google Earth Engine</w:t>
      </w:r>
      <w:r w:rsidRPr="009806B1">
        <w:rPr>
          <w:rFonts w:ascii="Times New Roman" w:hAnsi="Times New Roman" w:cs="Times New Roman"/>
        </w:rPr>
        <w:t> cloud-based geospatial analysis</w:t>
      </w:r>
    </w:p>
    <w:p w14:paraId="5A8380D3" w14:textId="77777777" w:rsidR="00712055" w:rsidRPr="009806B1" w:rsidRDefault="00712055" w:rsidP="00712055">
      <w:pPr>
        <w:numPr>
          <w:ilvl w:val="0"/>
          <w:numId w:val="1"/>
        </w:numPr>
        <w:rPr>
          <w:rFonts w:ascii="Times New Roman" w:hAnsi="Times New Roman" w:cs="Times New Roman"/>
        </w:rPr>
      </w:pPr>
      <w:r w:rsidRPr="009806B1">
        <w:rPr>
          <w:rFonts w:ascii="Times New Roman" w:hAnsi="Times New Roman" w:cs="Times New Roman"/>
          <w:b/>
          <w:bCs/>
        </w:rPr>
        <w:t>ArcGIS spatial interpolation (IDW method)</w:t>
      </w:r>
    </w:p>
    <w:p w14:paraId="01F1F785"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 Statement:</w:t>
      </w:r>
      <w:r w:rsidRPr="009806B1">
        <w:rPr>
          <w:rFonts w:ascii="Times New Roman" w:hAnsi="Times New Roman" w:cs="Times New Roman"/>
        </w:rPr>
        <w:t> "While previous studies have either relied solely on ground-based monitoring or coarse-resolution satellite data, this research establishes an unprecedented methodological framework that synergistically combines high-resolution in-situ measurements with satellite-derived gravity anomalies at the local scale (district level), addressing the critical gap between basin-scale GRACE observations and community-scale water management needs."</w:t>
      </w:r>
    </w:p>
    <w:p w14:paraId="3AB16D21"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1.2 Overcoming GRACE Spatial Resolution Limitations</w:t>
      </w:r>
    </w:p>
    <w:p w14:paraId="43B44D3A"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The GRACE satellite mission has a fundamental limitation of coarse spatial resolution (&gt;100,000 km²), making it traditionally unsuitable for local-scale assessments. This study innovatively demonstrates that:</w:t>
      </w:r>
    </w:p>
    <w:p w14:paraId="77038A6D" w14:textId="77777777" w:rsidR="00712055" w:rsidRPr="009806B1" w:rsidRDefault="00712055" w:rsidP="00712055">
      <w:pPr>
        <w:numPr>
          <w:ilvl w:val="0"/>
          <w:numId w:val="2"/>
        </w:numPr>
        <w:rPr>
          <w:rFonts w:ascii="Times New Roman" w:hAnsi="Times New Roman" w:cs="Times New Roman"/>
        </w:rPr>
      </w:pPr>
      <w:r w:rsidRPr="009806B1">
        <w:rPr>
          <w:rFonts w:ascii="Times New Roman" w:hAnsi="Times New Roman" w:cs="Times New Roman"/>
        </w:rPr>
        <w:t>GRACE data from ICGEM (with weighted mean values ranging from 884.39 m to 1,069 m) can be </w:t>
      </w:r>
      <w:r w:rsidRPr="009806B1">
        <w:rPr>
          <w:rFonts w:ascii="Times New Roman" w:hAnsi="Times New Roman" w:cs="Times New Roman"/>
          <w:b/>
          <w:bCs/>
        </w:rPr>
        <w:t>successfully downscaled and validated</w:t>
      </w:r>
      <w:r w:rsidRPr="009806B1">
        <w:rPr>
          <w:rFonts w:ascii="Times New Roman" w:hAnsi="Times New Roman" w:cs="Times New Roman"/>
        </w:rPr>
        <w:t> against 220 local well measurements</w:t>
      </w:r>
    </w:p>
    <w:p w14:paraId="5DE26810" w14:textId="77777777" w:rsidR="00712055" w:rsidRPr="009806B1" w:rsidRDefault="00712055" w:rsidP="00712055">
      <w:pPr>
        <w:numPr>
          <w:ilvl w:val="0"/>
          <w:numId w:val="2"/>
        </w:numPr>
        <w:rPr>
          <w:rFonts w:ascii="Times New Roman" w:hAnsi="Times New Roman" w:cs="Times New Roman"/>
        </w:rPr>
      </w:pPr>
      <w:r w:rsidRPr="009806B1">
        <w:rPr>
          <w:rFonts w:ascii="Times New Roman" w:hAnsi="Times New Roman" w:cs="Times New Roman"/>
        </w:rPr>
        <w:t>The comparison between GRACE-derived and ground-based observations showed </w:t>
      </w:r>
      <w:r w:rsidRPr="009806B1">
        <w:rPr>
          <w:rFonts w:ascii="Times New Roman" w:hAnsi="Times New Roman" w:cs="Times New Roman"/>
          <w:b/>
          <w:bCs/>
        </w:rPr>
        <w:t>consistent temporal patterns</w:t>
      </w:r>
      <w:r w:rsidRPr="009806B1">
        <w:rPr>
          <w:rFonts w:ascii="Times New Roman" w:hAnsi="Times New Roman" w:cs="Times New Roman"/>
        </w:rPr>
        <w:t>, confirming the viability of satellite data for local applications</w:t>
      </w:r>
    </w:p>
    <w:p w14:paraId="51BF2061"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 Statement:</w:t>
      </w:r>
      <w:r w:rsidRPr="009806B1">
        <w:rPr>
          <w:rFonts w:ascii="Times New Roman" w:hAnsi="Times New Roman" w:cs="Times New Roman"/>
        </w:rPr>
        <w:t> "This research pioneers the validation of GRACE satellite data against a dense network of 220 monitoring wells, proving for the first time that satellite-derived gravity anomalies can reliably capture local-scale groundwater depletion patterns in semi-arid urban environments, effectively bridging the scale gap that has previously limited satellite-based groundwater assessments."</w:t>
      </w:r>
    </w:p>
    <w:p w14:paraId="2C49F8AA" w14:textId="77777777" w:rsidR="00712055" w:rsidRPr="009806B1" w:rsidRDefault="00000000" w:rsidP="00712055">
      <w:pPr>
        <w:rPr>
          <w:rFonts w:ascii="Times New Roman" w:hAnsi="Times New Roman" w:cs="Times New Roman"/>
        </w:rPr>
      </w:pPr>
      <w:r w:rsidRPr="009806B1">
        <w:rPr>
          <w:rFonts w:ascii="Times New Roman" w:hAnsi="Times New Roman" w:cs="Times New Roman"/>
        </w:rPr>
        <w:pict w14:anchorId="747DB733">
          <v:rect id="_x0000_i1025" style="width:0;height:.75pt" o:hralign="center" o:hrstd="t" o:hr="t" fillcolor="#a0a0a0" stroked="f"/>
        </w:pict>
      </w:r>
    </w:p>
    <w:p w14:paraId="2CD559EA"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2. SPATIAL-TEMPORAL NOVELTY: First Comprehensive 20-Year Local Assessment</w:t>
      </w:r>
    </w:p>
    <w:p w14:paraId="0FE73CC7"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2.1 Unprecedented Temporal Coverage</w:t>
      </w:r>
    </w:p>
    <w:p w14:paraId="35135ECF"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lastRenderedPageBreak/>
        <w:t>This study provides the </w:t>
      </w:r>
      <w:r w:rsidRPr="009806B1">
        <w:rPr>
          <w:rFonts w:ascii="Times New Roman" w:hAnsi="Times New Roman" w:cs="Times New Roman"/>
          <w:b/>
          <w:bCs/>
        </w:rPr>
        <w:t>first comprehensive 20-year (2000-2019) assessment</w:t>
      </w:r>
      <w:r w:rsidRPr="009806B1">
        <w:rPr>
          <w:rFonts w:ascii="Times New Roman" w:hAnsi="Times New Roman" w:cs="Times New Roman"/>
        </w:rPr>
        <w:t> of groundwater depletion specifically for Lahore District using:</w:t>
      </w:r>
    </w:p>
    <w:p w14:paraId="4328EDBC" w14:textId="77777777" w:rsidR="00712055" w:rsidRPr="009806B1" w:rsidRDefault="00712055" w:rsidP="00712055">
      <w:pPr>
        <w:numPr>
          <w:ilvl w:val="0"/>
          <w:numId w:val="3"/>
        </w:numPr>
        <w:rPr>
          <w:rFonts w:ascii="Times New Roman" w:hAnsi="Times New Roman" w:cs="Times New Roman"/>
        </w:rPr>
      </w:pPr>
      <w:r w:rsidRPr="009806B1">
        <w:rPr>
          <w:rFonts w:ascii="Times New Roman" w:hAnsi="Times New Roman" w:cs="Times New Roman"/>
        </w:rPr>
        <w:t>Post-monsoon season well data</w:t>
      </w:r>
    </w:p>
    <w:p w14:paraId="14352A87" w14:textId="77777777" w:rsidR="00712055" w:rsidRPr="009806B1" w:rsidRDefault="00712055" w:rsidP="00712055">
      <w:pPr>
        <w:numPr>
          <w:ilvl w:val="0"/>
          <w:numId w:val="3"/>
        </w:numPr>
        <w:rPr>
          <w:rFonts w:ascii="Times New Roman" w:hAnsi="Times New Roman" w:cs="Times New Roman"/>
        </w:rPr>
      </w:pPr>
      <w:r w:rsidRPr="009806B1">
        <w:rPr>
          <w:rFonts w:ascii="Times New Roman" w:hAnsi="Times New Roman" w:cs="Times New Roman"/>
        </w:rPr>
        <w:t>Annual water table depth trends</w:t>
      </w:r>
    </w:p>
    <w:p w14:paraId="56AD3FBA" w14:textId="77777777" w:rsidR="00712055" w:rsidRPr="009806B1" w:rsidRDefault="00712055" w:rsidP="00712055">
      <w:pPr>
        <w:numPr>
          <w:ilvl w:val="0"/>
          <w:numId w:val="3"/>
        </w:numPr>
        <w:rPr>
          <w:rFonts w:ascii="Times New Roman" w:hAnsi="Times New Roman" w:cs="Times New Roman"/>
        </w:rPr>
      </w:pPr>
      <w:r w:rsidRPr="009806B1">
        <w:rPr>
          <w:rFonts w:ascii="Times New Roman" w:hAnsi="Times New Roman" w:cs="Times New Roman"/>
        </w:rPr>
        <w:t>Seasonal variability analysis</w:t>
      </w:r>
    </w:p>
    <w:p w14:paraId="4F72B5BC" w14:textId="77777777" w:rsidR="00712055" w:rsidRPr="009806B1" w:rsidRDefault="00712055" w:rsidP="00712055">
      <w:pPr>
        <w:numPr>
          <w:ilvl w:val="0"/>
          <w:numId w:val="3"/>
        </w:numPr>
        <w:rPr>
          <w:rFonts w:ascii="Times New Roman" w:hAnsi="Times New Roman" w:cs="Times New Roman"/>
        </w:rPr>
      </w:pPr>
      <w:r w:rsidRPr="009806B1">
        <w:rPr>
          <w:rFonts w:ascii="Times New Roman" w:hAnsi="Times New Roman" w:cs="Times New Roman"/>
        </w:rPr>
        <w:t>Interannual fluctuation patterns</w:t>
      </w:r>
    </w:p>
    <w:p w14:paraId="7EB2CE1A"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 Statement:</w:t>
      </w:r>
      <w:r w:rsidRPr="009806B1">
        <w:rPr>
          <w:rFonts w:ascii="Times New Roman" w:hAnsi="Times New Roman" w:cs="Times New Roman"/>
        </w:rPr>
        <w:t> "For the first time, this research establishes a two-decade baseline (2000-2019) of groundwater dynamics in Lahore District, revealing previously undocumented temporal patterns including: a gradual decline phase (2000-2007), an acceleration phase post-2010, and an unprecedented total depletion of 17.55 meters over the study period."</w:t>
      </w:r>
    </w:p>
    <w:p w14:paraId="2C99AF5C"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2.2 High-Resolution Spatial Mapping</w:t>
      </w:r>
    </w:p>
    <w:p w14:paraId="1EE93643"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The study produced </w:t>
      </w:r>
      <w:r w:rsidRPr="009806B1">
        <w:rPr>
          <w:rFonts w:ascii="Times New Roman" w:hAnsi="Times New Roman" w:cs="Times New Roman"/>
          <w:b/>
          <w:bCs/>
        </w:rPr>
        <w:t>high-resolution spatial maps</w:t>
      </w:r>
      <w:r w:rsidRPr="009806B1">
        <w:rPr>
          <w:rFonts w:ascii="Times New Roman" w:hAnsi="Times New Roman" w:cs="Times New Roman"/>
        </w:rPr>
        <w:t> showing groundwater depletion across all 26 administrative divisions of Lahore District, revealing:</w:t>
      </w:r>
    </w:p>
    <w:p w14:paraId="73D37A02" w14:textId="77777777" w:rsidR="00712055" w:rsidRPr="009806B1" w:rsidRDefault="00712055" w:rsidP="00712055">
      <w:pPr>
        <w:numPr>
          <w:ilvl w:val="0"/>
          <w:numId w:val="4"/>
        </w:numPr>
        <w:rPr>
          <w:rFonts w:ascii="Times New Roman" w:hAnsi="Times New Roman" w:cs="Times New Roman"/>
        </w:rPr>
      </w:pPr>
      <w:r w:rsidRPr="009806B1">
        <w:rPr>
          <w:rFonts w:ascii="Times New Roman" w:hAnsi="Times New Roman" w:cs="Times New Roman"/>
        </w:rPr>
        <w:t>Heterogeneous depletion patterns with urban centers showing depths exceeding 40 meters</w:t>
      </w:r>
    </w:p>
    <w:p w14:paraId="12FC9E7B" w14:textId="77777777" w:rsidR="00712055" w:rsidRPr="009806B1" w:rsidRDefault="00712055" w:rsidP="00712055">
      <w:pPr>
        <w:numPr>
          <w:ilvl w:val="0"/>
          <w:numId w:val="4"/>
        </w:numPr>
        <w:rPr>
          <w:rFonts w:ascii="Times New Roman" w:hAnsi="Times New Roman" w:cs="Times New Roman"/>
        </w:rPr>
      </w:pPr>
      <w:r w:rsidRPr="009806B1">
        <w:rPr>
          <w:rFonts w:ascii="Times New Roman" w:hAnsi="Times New Roman" w:cs="Times New Roman"/>
        </w:rPr>
        <w:t>Clear correlation between distance from the Ravi River and depletion severity</w:t>
      </w:r>
    </w:p>
    <w:p w14:paraId="0058A2FD" w14:textId="77777777" w:rsidR="00712055" w:rsidRPr="009806B1" w:rsidRDefault="00712055" w:rsidP="00712055">
      <w:pPr>
        <w:numPr>
          <w:ilvl w:val="0"/>
          <w:numId w:val="4"/>
        </w:numPr>
        <w:rPr>
          <w:rFonts w:ascii="Times New Roman" w:hAnsi="Times New Roman" w:cs="Times New Roman"/>
        </w:rPr>
      </w:pPr>
      <w:r w:rsidRPr="009806B1">
        <w:rPr>
          <w:rFonts w:ascii="Times New Roman" w:hAnsi="Times New Roman" w:cs="Times New Roman"/>
        </w:rPr>
        <w:t>Identification of specific "hotspots" (Township, Johar Town, Gulberg)</w:t>
      </w:r>
    </w:p>
    <w:p w14:paraId="63717044"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 Statement:</w:t>
      </w:r>
      <w:r w:rsidRPr="009806B1">
        <w:rPr>
          <w:rFonts w:ascii="Times New Roman" w:hAnsi="Times New Roman" w:cs="Times New Roman"/>
        </w:rPr>
        <w:t> "This research delivers the first spatially explicit, high-resolution map of groundwater depletion across all 26 administrative divisions of Lahore District, enabling targeted intervention strategies and revealing that depletion is not uniform but concentrated in specific urban-industrial zones where water table depths exceed 40 meters."</w:t>
      </w:r>
    </w:p>
    <w:p w14:paraId="11ECCEED" w14:textId="77777777" w:rsidR="00712055" w:rsidRPr="009806B1" w:rsidRDefault="00000000" w:rsidP="00712055">
      <w:pPr>
        <w:rPr>
          <w:rFonts w:ascii="Times New Roman" w:hAnsi="Times New Roman" w:cs="Times New Roman"/>
        </w:rPr>
      </w:pPr>
      <w:r w:rsidRPr="009806B1">
        <w:rPr>
          <w:rFonts w:ascii="Times New Roman" w:hAnsi="Times New Roman" w:cs="Times New Roman"/>
        </w:rPr>
        <w:pict w14:anchorId="15EA1072">
          <v:rect id="_x0000_i1026" style="width:0;height:.75pt" o:hralign="center" o:hrstd="t" o:hr="t" fillcolor="#a0a0a0" stroked="f"/>
        </w:pict>
      </w:r>
    </w:p>
    <w:p w14:paraId="44CB2361"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3. STATISTICAL NOVELTY: Robust Trend Quantification</w:t>
      </w:r>
    </w:p>
    <w:p w14:paraId="40190C71"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3.1 Rigorous Mann-Kendall Trend Analysis</w:t>
      </w:r>
    </w:p>
    <w:p w14:paraId="1BFF1A7A"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The application of the Mann-Kendall non-parametric test provided statistically robust quantification:</w:t>
      </w:r>
    </w:p>
    <w:p w14:paraId="24A7827A" w14:textId="77777777" w:rsidR="00712055" w:rsidRPr="009806B1" w:rsidRDefault="00712055" w:rsidP="00712055">
      <w:pPr>
        <w:numPr>
          <w:ilvl w:val="0"/>
          <w:numId w:val="5"/>
        </w:numPr>
        <w:rPr>
          <w:rFonts w:ascii="Times New Roman" w:hAnsi="Times New Roman" w:cs="Times New Roman"/>
        </w:rPr>
      </w:pPr>
      <w:r w:rsidRPr="009806B1">
        <w:rPr>
          <w:rFonts w:ascii="Times New Roman" w:hAnsi="Times New Roman" w:cs="Times New Roman"/>
          <w:b/>
          <w:bCs/>
        </w:rPr>
        <w:t>Z-value: 4.7693</w:t>
      </w:r>
      <w:r w:rsidRPr="009806B1">
        <w:rPr>
          <w:rFonts w:ascii="Times New Roman" w:hAnsi="Times New Roman" w:cs="Times New Roman"/>
        </w:rPr>
        <w:t> (highly significant positive trend)</w:t>
      </w:r>
    </w:p>
    <w:p w14:paraId="49455916" w14:textId="77777777" w:rsidR="00712055" w:rsidRPr="009806B1" w:rsidRDefault="00712055" w:rsidP="00712055">
      <w:pPr>
        <w:numPr>
          <w:ilvl w:val="0"/>
          <w:numId w:val="5"/>
        </w:numPr>
        <w:rPr>
          <w:rFonts w:ascii="Times New Roman" w:hAnsi="Times New Roman" w:cs="Times New Roman"/>
        </w:rPr>
      </w:pPr>
      <w:r w:rsidRPr="009806B1">
        <w:rPr>
          <w:rFonts w:ascii="Times New Roman" w:hAnsi="Times New Roman" w:cs="Times New Roman"/>
          <w:b/>
          <w:bCs/>
        </w:rPr>
        <w:t>P-value: 0.000001849</w:t>
      </w:r>
      <w:r w:rsidRPr="009806B1">
        <w:rPr>
          <w:rFonts w:ascii="Times New Roman" w:hAnsi="Times New Roman" w:cs="Times New Roman"/>
        </w:rPr>
        <w:t> (statistically significant at p &lt; 0.001)</w:t>
      </w:r>
    </w:p>
    <w:p w14:paraId="047787DF" w14:textId="77777777" w:rsidR="00712055" w:rsidRPr="009806B1" w:rsidRDefault="00712055" w:rsidP="00712055">
      <w:pPr>
        <w:numPr>
          <w:ilvl w:val="0"/>
          <w:numId w:val="5"/>
        </w:numPr>
        <w:rPr>
          <w:rFonts w:ascii="Times New Roman" w:hAnsi="Times New Roman" w:cs="Times New Roman"/>
        </w:rPr>
      </w:pPr>
      <w:r w:rsidRPr="009806B1">
        <w:rPr>
          <w:rFonts w:ascii="Times New Roman" w:hAnsi="Times New Roman" w:cs="Times New Roman"/>
          <w:b/>
          <w:bCs/>
        </w:rPr>
        <w:t>Tau-value: 0.7789474</w:t>
      </w:r>
      <w:r w:rsidRPr="009806B1">
        <w:rPr>
          <w:rFonts w:ascii="Times New Roman" w:hAnsi="Times New Roman" w:cs="Times New Roman"/>
        </w:rPr>
        <w:t> (strong positive correlation)</w:t>
      </w:r>
    </w:p>
    <w:p w14:paraId="78A4388B" w14:textId="77777777" w:rsidR="00712055" w:rsidRPr="009806B1" w:rsidRDefault="00712055" w:rsidP="00712055">
      <w:pPr>
        <w:numPr>
          <w:ilvl w:val="0"/>
          <w:numId w:val="5"/>
        </w:numPr>
        <w:rPr>
          <w:rFonts w:ascii="Times New Roman" w:hAnsi="Times New Roman" w:cs="Times New Roman"/>
        </w:rPr>
      </w:pPr>
      <w:r w:rsidRPr="009806B1">
        <w:rPr>
          <w:rFonts w:ascii="Times New Roman" w:hAnsi="Times New Roman" w:cs="Times New Roman"/>
          <w:b/>
          <w:bCs/>
        </w:rPr>
        <w:t>S-value: 148.0</w:t>
      </w:r>
      <w:r w:rsidRPr="009806B1">
        <w:rPr>
          <w:rFonts w:ascii="Times New Roman" w:hAnsi="Times New Roman" w:cs="Times New Roman"/>
        </w:rPr>
        <w:t> (consistent monotonic trend)</w:t>
      </w:r>
    </w:p>
    <w:p w14:paraId="4F1A3816"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lastRenderedPageBreak/>
        <w:t>Innovation Statement:</w:t>
      </w:r>
      <w:r w:rsidRPr="009806B1">
        <w:rPr>
          <w:rFonts w:ascii="Times New Roman" w:hAnsi="Times New Roman" w:cs="Times New Roman"/>
        </w:rPr>
        <w:t> "This research provides the first statistically validated quantification of groundwater depletion in Lahore using the Mann-Kendall test, demonstrating a highly significant positive trend (Z = 4.7693, p &lt; 0.001) that unequivocally confirms accelerating groundwater depletion—a level of statistical rigor previously unavailable for this region."</w:t>
      </w:r>
    </w:p>
    <w:p w14:paraId="3BE68D1E"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3.2 Quantification of Depletion Rate</w:t>
      </w:r>
    </w:p>
    <w:p w14:paraId="16C08BAC"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The study precisely quantified:</w:t>
      </w:r>
    </w:p>
    <w:p w14:paraId="73BAFBCE" w14:textId="77777777" w:rsidR="00712055" w:rsidRPr="009806B1" w:rsidRDefault="00712055" w:rsidP="00712055">
      <w:pPr>
        <w:numPr>
          <w:ilvl w:val="0"/>
          <w:numId w:val="6"/>
        </w:numPr>
        <w:rPr>
          <w:rFonts w:ascii="Times New Roman" w:hAnsi="Times New Roman" w:cs="Times New Roman"/>
        </w:rPr>
      </w:pPr>
      <w:r w:rsidRPr="009806B1">
        <w:rPr>
          <w:rFonts w:ascii="Times New Roman" w:hAnsi="Times New Roman" w:cs="Times New Roman"/>
          <w:b/>
          <w:bCs/>
        </w:rPr>
        <w:t>Total depletion:</w:t>
      </w:r>
      <w:r w:rsidRPr="009806B1">
        <w:rPr>
          <w:rFonts w:ascii="Times New Roman" w:hAnsi="Times New Roman" w:cs="Times New Roman"/>
        </w:rPr>
        <w:t> 17.55 meters (2000-2019)</w:t>
      </w:r>
    </w:p>
    <w:p w14:paraId="675B021F" w14:textId="77777777" w:rsidR="00712055" w:rsidRPr="009806B1" w:rsidRDefault="00712055" w:rsidP="00712055">
      <w:pPr>
        <w:numPr>
          <w:ilvl w:val="0"/>
          <w:numId w:val="6"/>
        </w:numPr>
        <w:rPr>
          <w:rFonts w:ascii="Times New Roman" w:hAnsi="Times New Roman" w:cs="Times New Roman"/>
        </w:rPr>
      </w:pPr>
      <w:r w:rsidRPr="009806B1">
        <w:rPr>
          <w:rFonts w:ascii="Times New Roman" w:hAnsi="Times New Roman" w:cs="Times New Roman"/>
          <w:b/>
          <w:bCs/>
        </w:rPr>
        <w:t>Average annual depletion rate:</w:t>
      </w:r>
      <w:r w:rsidRPr="009806B1">
        <w:rPr>
          <w:rFonts w:ascii="Times New Roman" w:hAnsi="Times New Roman" w:cs="Times New Roman"/>
        </w:rPr>
        <w:t> 0.88 meters/year</w:t>
      </w:r>
    </w:p>
    <w:p w14:paraId="296D5BDF" w14:textId="77777777" w:rsidR="00712055" w:rsidRPr="009806B1" w:rsidRDefault="00712055" w:rsidP="00712055">
      <w:pPr>
        <w:numPr>
          <w:ilvl w:val="0"/>
          <w:numId w:val="6"/>
        </w:numPr>
        <w:rPr>
          <w:rFonts w:ascii="Times New Roman" w:hAnsi="Times New Roman" w:cs="Times New Roman"/>
        </w:rPr>
      </w:pPr>
      <w:r w:rsidRPr="009806B1">
        <w:rPr>
          <w:rFonts w:ascii="Times New Roman" w:hAnsi="Times New Roman" w:cs="Times New Roman"/>
          <w:b/>
          <w:bCs/>
        </w:rPr>
        <w:t>Maximum annual change:</w:t>
      </w:r>
      <w:r w:rsidRPr="009806B1">
        <w:rPr>
          <w:rFonts w:ascii="Times New Roman" w:hAnsi="Times New Roman" w:cs="Times New Roman"/>
        </w:rPr>
        <w:t> 1.77909 m (2010)</w:t>
      </w:r>
    </w:p>
    <w:p w14:paraId="636A301C" w14:textId="77777777" w:rsidR="00712055" w:rsidRPr="009806B1" w:rsidRDefault="00712055" w:rsidP="00712055">
      <w:pPr>
        <w:numPr>
          <w:ilvl w:val="0"/>
          <w:numId w:val="6"/>
        </w:numPr>
        <w:rPr>
          <w:rFonts w:ascii="Times New Roman" w:hAnsi="Times New Roman" w:cs="Times New Roman"/>
        </w:rPr>
      </w:pPr>
      <w:r w:rsidRPr="009806B1">
        <w:rPr>
          <w:rFonts w:ascii="Times New Roman" w:hAnsi="Times New Roman" w:cs="Times New Roman"/>
          <w:b/>
          <w:bCs/>
        </w:rPr>
        <w:t>Minimum annual change:</w:t>
      </w:r>
      <w:r w:rsidRPr="009806B1">
        <w:rPr>
          <w:rFonts w:ascii="Times New Roman" w:hAnsi="Times New Roman" w:cs="Times New Roman"/>
        </w:rPr>
        <w:t> -1.94707 m (2003)</w:t>
      </w:r>
    </w:p>
    <w:p w14:paraId="7BC4818D"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 Statement:</w:t>
      </w:r>
      <w:r w:rsidRPr="009806B1">
        <w:rPr>
          <w:rFonts w:ascii="Times New Roman" w:hAnsi="Times New Roman" w:cs="Times New Roman"/>
        </w:rPr>
        <w:t> "This research establishes the first scientifically quantified depletion trajectory for Lahore District, documenting an average annual decline of 0.88 meters/year—a rate that exceeds previous estimates (0.45-1.0 m/year) and confirms accelerated depletion not captured in earlier studies."</w:t>
      </w:r>
    </w:p>
    <w:p w14:paraId="3CAB0731" w14:textId="77777777" w:rsidR="00712055" w:rsidRPr="009806B1" w:rsidRDefault="00000000" w:rsidP="00712055">
      <w:pPr>
        <w:rPr>
          <w:rFonts w:ascii="Times New Roman" w:hAnsi="Times New Roman" w:cs="Times New Roman"/>
        </w:rPr>
      </w:pPr>
      <w:r w:rsidRPr="009806B1">
        <w:rPr>
          <w:rFonts w:ascii="Times New Roman" w:hAnsi="Times New Roman" w:cs="Times New Roman"/>
        </w:rPr>
        <w:pict w14:anchorId="4F85B510">
          <v:rect id="_x0000_i1027" style="width:0;height:.75pt" o:hralign="center" o:hrstd="t" o:hr="t" fillcolor="#a0a0a0" stroked="f"/>
        </w:pict>
      </w:r>
    </w:p>
    <w:p w14:paraId="083FBE24"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4. CONCEPTUAL NOVELTY: Anthropogenic vs. Climatic Drivers</w:t>
      </w:r>
    </w:p>
    <w:p w14:paraId="106E2EAB"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4.1 Disentangling Driver Contributions</w:t>
      </w:r>
    </w:p>
    <w:p w14:paraId="6E010373"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A distinctive contribution of this research is the systematic analysis separating </w:t>
      </w:r>
      <w:r w:rsidRPr="009806B1">
        <w:rPr>
          <w:rFonts w:ascii="Times New Roman" w:hAnsi="Times New Roman" w:cs="Times New Roman"/>
          <w:b/>
          <w:bCs/>
        </w:rPr>
        <w:t>anthropogenic</w:t>
      </w:r>
      <w:r w:rsidRPr="009806B1">
        <w:rPr>
          <w:rFonts w:ascii="Times New Roman" w:hAnsi="Times New Roman" w:cs="Times New Roman"/>
        </w:rPr>
        <w:t> from </w:t>
      </w:r>
      <w:r w:rsidRPr="009806B1">
        <w:rPr>
          <w:rFonts w:ascii="Times New Roman" w:hAnsi="Times New Roman" w:cs="Times New Roman"/>
          <w:b/>
          <w:bCs/>
        </w:rPr>
        <w:t>climatic</w:t>
      </w:r>
      <w:r w:rsidRPr="009806B1">
        <w:rPr>
          <w:rFonts w:ascii="Times New Roman" w:hAnsi="Times New Roman" w:cs="Times New Roman"/>
        </w:rPr>
        <w:t> influences:</w:t>
      </w:r>
    </w:p>
    <w:p w14:paraId="37EE4EDC" w14:textId="77777777" w:rsidR="00712055" w:rsidRPr="009806B1" w:rsidRDefault="00712055" w:rsidP="00712055">
      <w:pPr>
        <w:numPr>
          <w:ilvl w:val="0"/>
          <w:numId w:val="7"/>
        </w:numPr>
        <w:rPr>
          <w:rFonts w:ascii="Times New Roman" w:hAnsi="Times New Roman" w:cs="Times New Roman"/>
        </w:rPr>
      </w:pPr>
      <w:r w:rsidRPr="009806B1">
        <w:rPr>
          <w:rFonts w:ascii="Times New Roman" w:hAnsi="Times New Roman" w:cs="Times New Roman"/>
          <w:b/>
          <w:bCs/>
        </w:rPr>
        <w:t>Rainfall patterns</w:t>
      </w:r>
      <w:r w:rsidRPr="009806B1">
        <w:rPr>
          <w:rFonts w:ascii="Times New Roman" w:hAnsi="Times New Roman" w:cs="Times New Roman"/>
        </w:rPr>
        <w:t>: Both positive and negative trends observed across different months</w:t>
      </w:r>
    </w:p>
    <w:p w14:paraId="4C541FF8" w14:textId="77777777" w:rsidR="00712055" w:rsidRPr="009806B1" w:rsidRDefault="00712055" w:rsidP="00712055">
      <w:pPr>
        <w:numPr>
          <w:ilvl w:val="0"/>
          <w:numId w:val="7"/>
        </w:numPr>
        <w:rPr>
          <w:rFonts w:ascii="Times New Roman" w:hAnsi="Times New Roman" w:cs="Times New Roman"/>
        </w:rPr>
      </w:pPr>
      <w:r w:rsidRPr="009806B1">
        <w:rPr>
          <w:rFonts w:ascii="Times New Roman" w:hAnsi="Times New Roman" w:cs="Times New Roman"/>
          <w:b/>
          <w:bCs/>
        </w:rPr>
        <w:t>Temperature trends</w:t>
      </w:r>
      <w:r w:rsidRPr="009806B1">
        <w:rPr>
          <w:rFonts w:ascii="Times New Roman" w:hAnsi="Times New Roman" w:cs="Times New Roman"/>
        </w:rPr>
        <w:t>: Mixed patterns (positive in March-April-August, negative in other months)</w:t>
      </w:r>
    </w:p>
    <w:p w14:paraId="525B42F6" w14:textId="77777777" w:rsidR="00712055" w:rsidRPr="009806B1" w:rsidRDefault="00712055" w:rsidP="00712055">
      <w:pPr>
        <w:numPr>
          <w:ilvl w:val="0"/>
          <w:numId w:val="7"/>
        </w:numPr>
        <w:rPr>
          <w:rFonts w:ascii="Times New Roman" w:hAnsi="Times New Roman" w:cs="Times New Roman"/>
        </w:rPr>
      </w:pPr>
      <w:r w:rsidRPr="009806B1">
        <w:rPr>
          <w:rFonts w:ascii="Times New Roman" w:hAnsi="Times New Roman" w:cs="Times New Roman"/>
          <w:b/>
          <w:bCs/>
        </w:rPr>
        <w:t>Monsoon season impact</w:t>
      </w:r>
      <w:r w:rsidRPr="009806B1">
        <w:rPr>
          <w:rFonts w:ascii="Times New Roman" w:hAnsi="Times New Roman" w:cs="Times New Roman"/>
        </w:rPr>
        <w:t>: Even with increased rainfall, groundwater levels continued to decline</w:t>
      </w:r>
    </w:p>
    <w:p w14:paraId="1224B75A" w14:textId="77777777" w:rsidR="00712055" w:rsidRPr="009806B1" w:rsidRDefault="00712055" w:rsidP="00712055">
      <w:pPr>
        <w:numPr>
          <w:ilvl w:val="0"/>
          <w:numId w:val="7"/>
        </w:numPr>
        <w:rPr>
          <w:rFonts w:ascii="Times New Roman" w:hAnsi="Times New Roman" w:cs="Times New Roman"/>
        </w:rPr>
      </w:pPr>
      <w:r w:rsidRPr="009806B1">
        <w:rPr>
          <w:rFonts w:ascii="Times New Roman" w:hAnsi="Times New Roman" w:cs="Times New Roman"/>
          <w:b/>
          <w:bCs/>
        </w:rPr>
        <w:t>Urbanization effect</w:t>
      </w:r>
      <w:r w:rsidRPr="009806B1">
        <w:rPr>
          <w:rFonts w:ascii="Times New Roman" w:hAnsi="Times New Roman" w:cs="Times New Roman"/>
        </w:rPr>
        <w:t>: Positive correlation with depletion severity</w:t>
      </w:r>
    </w:p>
    <w:p w14:paraId="259AC553"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 Statement:</w:t>
      </w:r>
      <w:r w:rsidRPr="009806B1">
        <w:rPr>
          <w:rFonts w:ascii="Times New Roman" w:hAnsi="Times New Roman" w:cs="Times New Roman"/>
        </w:rPr>
        <w:t> "This research provides the first empirical evidence in Lahore that anthropogenic factors—particularly urbanization and excessive groundwater extraction—dominate over climatic variability as drivers of groundwater depletion. The finding that increased monsoon rainfall fails to reverse declining water tables underscores the critical role of urban impervious surfaces and reduced infiltration capacity—a conceptual contribution with profound policy implications."</w:t>
      </w:r>
    </w:p>
    <w:p w14:paraId="3D90BB86"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4.2 The "Urbanization-Impervious Surface-Recharge Deficit" Hypothesis</w:t>
      </w:r>
    </w:p>
    <w:p w14:paraId="7476CA42"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lastRenderedPageBreak/>
        <w:t>The study contributes a new conceptual framework linking:</w:t>
      </w:r>
    </w:p>
    <w:p w14:paraId="0C3A4A3A"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text</w:t>
      </w:r>
    </w:p>
    <w:p w14:paraId="333E5D7A"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 xml:space="preserve">Urbanization → Increased impervious surfaces → Reduced infiltration → </w:t>
      </w:r>
    </w:p>
    <w:p w14:paraId="7A94D2F4"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 xml:space="preserve">↓ Groundwater recharge → ↑ Groundwater extraction → </w:t>
      </w:r>
    </w:p>
    <w:p w14:paraId="3A6DDF57"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Accelerated depletion (despite rainfall patterns)</w:t>
      </w:r>
    </w:p>
    <w:p w14:paraId="241DDA75"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 Statement:</w:t>
      </w:r>
      <w:r w:rsidRPr="009806B1">
        <w:rPr>
          <w:rFonts w:ascii="Times New Roman" w:hAnsi="Times New Roman" w:cs="Times New Roman"/>
        </w:rPr>
        <w:t> "This research proposes and validates the 'Urbanization-Recharge Deficit Hypothesis' for Lahore, demonstrating that land-use changes (urban expansion) have reduced rainfall infiltration efficiency to the extent that even enhanced monsoon precipitation cannot compensate for the recharge deficit—a paradigm-shifting concept for urban groundwater management in South Asia."</w:t>
      </w:r>
    </w:p>
    <w:p w14:paraId="285289C8" w14:textId="77777777" w:rsidR="00712055" w:rsidRPr="009806B1" w:rsidRDefault="00000000" w:rsidP="00712055">
      <w:pPr>
        <w:rPr>
          <w:rFonts w:ascii="Times New Roman" w:hAnsi="Times New Roman" w:cs="Times New Roman"/>
        </w:rPr>
      </w:pPr>
      <w:r w:rsidRPr="009806B1">
        <w:rPr>
          <w:rFonts w:ascii="Times New Roman" w:hAnsi="Times New Roman" w:cs="Times New Roman"/>
        </w:rPr>
        <w:pict w14:anchorId="578003DF">
          <v:rect id="_x0000_i1028" style="width:0;height:.75pt" o:hralign="center" o:hrstd="t" o:hr="t" fillcolor="#a0a0a0" stroked="f"/>
        </w:pict>
      </w:r>
    </w:p>
    <w:p w14:paraId="017C77E1"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5. COMPARATIVE NOVELTY: Regional-Global Context</w:t>
      </w:r>
    </w:p>
    <w:p w14:paraId="1F0FAB63"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5.1 Positioning Lahore in Global Depletion Context</w:t>
      </w:r>
    </w:p>
    <w:p w14:paraId="372EB4BB"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The study systematically compares Lahore's depletion with other global hotspots:</w:t>
      </w:r>
    </w:p>
    <w:tbl>
      <w:tblPr>
        <w:tblW w:w="11280" w:type="dxa"/>
        <w:tblCellMar>
          <w:top w:w="15" w:type="dxa"/>
          <w:left w:w="15" w:type="dxa"/>
          <w:bottom w:w="15" w:type="dxa"/>
          <w:right w:w="15" w:type="dxa"/>
        </w:tblCellMar>
        <w:tblLook w:val="04A0" w:firstRow="1" w:lastRow="0" w:firstColumn="1" w:lastColumn="0" w:noHBand="0" w:noVBand="1"/>
      </w:tblPr>
      <w:tblGrid>
        <w:gridCol w:w="4211"/>
        <w:gridCol w:w="3063"/>
        <w:gridCol w:w="4006"/>
      </w:tblGrid>
      <w:tr w:rsidR="00712055" w:rsidRPr="009806B1" w14:paraId="13FA24A6" w14:textId="77777777">
        <w:trPr>
          <w:tblHeader/>
        </w:trPr>
        <w:tc>
          <w:tcPr>
            <w:tcW w:w="0" w:type="auto"/>
            <w:tcBorders>
              <w:top w:val="nil"/>
            </w:tcBorders>
            <w:tcMar>
              <w:top w:w="150" w:type="dxa"/>
              <w:left w:w="0" w:type="dxa"/>
              <w:bottom w:w="150" w:type="dxa"/>
              <w:right w:w="240" w:type="dxa"/>
            </w:tcMar>
            <w:vAlign w:val="center"/>
            <w:hideMark/>
          </w:tcPr>
          <w:p w14:paraId="15D83F04"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Region</w:t>
            </w:r>
          </w:p>
        </w:tc>
        <w:tc>
          <w:tcPr>
            <w:tcW w:w="0" w:type="auto"/>
            <w:tcBorders>
              <w:top w:val="nil"/>
            </w:tcBorders>
            <w:tcMar>
              <w:top w:w="150" w:type="dxa"/>
              <w:left w:w="240" w:type="dxa"/>
              <w:bottom w:w="150" w:type="dxa"/>
              <w:right w:w="240" w:type="dxa"/>
            </w:tcMar>
            <w:vAlign w:val="center"/>
            <w:hideMark/>
          </w:tcPr>
          <w:p w14:paraId="23F64CC7"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Depletion Rate</w:t>
            </w:r>
          </w:p>
        </w:tc>
        <w:tc>
          <w:tcPr>
            <w:tcW w:w="0" w:type="auto"/>
            <w:tcBorders>
              <w:top w:val="nil"/>
            </w:tcBorders>
            <w:tcMar>
              <w:top w:w="150" w:type="dxa"/>
              <w:left w:w="240" w:type="dxa"/>
              <w:bottom w:w="150" w:type="dxa"/>
              <w:right w:w="240" w:type="dxa"/>
            </w:tcMar>
            <w:vAlign w:val="center"/>
            <w:hideMark/>
          </w:tcPr>
          <w:p w14:paraId="3AEC3D58"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Reference</w:t>
            </w:r>
          </w:p>
        </w:tc>
      </w:tr>
      <w:tr w:rsidR="00712055" w:rsidRPr="009806B1" w14:paraId="5EAA11F4" w14:textId="77777777">
        <w:tc>
          <w:tcPr>
            <w:tcW w:w="0" w:type="auto"/>
            <w:tcMar>
              <w:top w:w="150" w:type="dxa"/>
              <w:left w:w="0" w:type="dxa"/>
              <w:bottom w:w="150" w:type="dxa"/>
              <w:right w:w="240" w:type="dxa"/>
            </w:tcMar>
            <w:vAlign w:val="center"/>
            <w:hideMark/>
          </w:tcPr>
          <w:p w14:paraId="7E5CB94F"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Lahore (this study)</w:t>
            </w:r>
          </w:p>
        </w:tc>
        <w:tc>
          <w:tcPr>
            <w:tcW w:w="0" w:type="auto"/>
            <w:tcMar>
              <w:top w:w="150" w:type="dxa"/>
              <w:left w:w="240" w:type="dxa"/>
              <w:bottom w:w="150" w:type="dxa"/>
              <w:right w:w="240" w:type="dxa"/>
            </w:tcMar>
            <w:vAlign w:val="center"/>
            <w:hideMark/>
          </w:tcPr>
          <w:p w14:paraId="463E1711"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0.88 m/year</w:t>
            </w:r>
          </w:p>
        </w:tc>
        <w:tc>
          <w:tcPr>
            <w:tcW w:w="0" w:type="auto"/>
            <w:tcMar>
              <w:top w:w="150" w:type="dxa"/>
              <w:left w:w="240" w:type="dxa"/>
              <w:bottom w:w="150" w:type="dxa"/>
              <w:right w:w="0" w:type="dxa"/>
            </w:tcMar>
            <w:vAlign w:val="center"/>
            <w:hideMark/>
          </w:tcPr>
          <w:p w14:paraId="5707BB52"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Current research</w:t>
            </w:r>
          </w:p>
        </w:tc>
      </w:tr>
      <w:tr w:rsidR="00712055" w:rsidRPr="009806B1" w14:paraId="57A4B8D1" w14:textId="77777777">
        <w:tc>
          <w:tcPr>
            <w:tcW w:w="0" w:type="auto"/>
            <w:tcMar>
              <w:top w:w="150" w:type="dxa"/>
              <w:left w:w="0" w:type="dxa"/>
              <w:bottom w:w="150" w:type="dxa"/>
              <w:right w:w="240" w:type="dxa"/>
            </w:tcMar>
            <w:vAlign w:val="center"/>
            <w:hideMark/>
          </w:tcPr>
          <w:p w14:paraId="3D7F9D53"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Northwest India</w:t>
            </w:r>
          </w:p>
        </w:tc>
        <w:tc>
          <w:tcPr>
            <w:tcW w:w="0" w:type="auto"/>
            <w:tcMar>
              <w:top w:w="150" w:type="dxa"/>
              <w:left w:w="240" w:type="dxa"/>
              <w:bottom w:w="150" w:type="dxa"/>
              <w:right w:w="240" w:type="dxa"/>
            </w:tcMar>
            <w:vAlign w:val="center"/>
            <w:hideMark/>
          </w:tcPr>
          <w:p w14:paraId="63C35144"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1.4 m/year</w:t>
            </w:r>
          </w:p>
        </w:tc>
        <w:tc>
          <w:tcPr>
            <w:tcW w:w="0" w:type="auto"/>
            <w:tcMar>
              <w:top w:w="150" w:type="dxa"/>
              <w:left w:w="240" w:type="dxa"/>
              <w:bottom w:w="150" w:type="dxa"/>
              <w:right w:w="0" w:type="dxa"/>
            </w:tcMar>
            <w:vAlign w:val="center"/>
            <w:hideMark/>
          </w:tcPr>
          <w:p w14:paraId="57118EEB"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Rodell et al. (2009)</w:t>
            </w:r>
          </w:p>
        </w:tc>
      </w:tr>
      <w:tr w:rsidR="00712055" w:rsidRPr="009806B1" w14:paraId="146D3F80" w14:textId="77777777">
        <w:tc>
          <w:tcPr>
            <w:tcW w:w="0" w:type="auto"/>
            <w:tcMar>
              <w:top w:w="150" w:type="dxa"/>
              <w:left w:w="0" w:type="dxa"/>
              <w:bottom w:w="150" w:type="dxa"/>
              <w:right w:w="240" w:type="dxa"/>
            </w:tcMar>
            <w:vAlign w:val="center"/>
            <w:hideMark/>
          </w:tcPr>
          <w:p w14:paraId="655315E5"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North China Plain</w:t>
            </w:r>
          </w:p>
        </w:tc>
        <w:tc>
          <w:tcPr>
            <w:tcW w:w="0" w:type="auto"/>
            <w:tcMar>
              <w:top w:w="150" w:type="dxa"/>
              <w:left w:w="240" w:type="dxa"/>
              <w:bottom w:w="150" w:type="dxa"/>
              <w:right w:w="240" w:type="dxa"/>
            </w:tcMar>
            <w:vAlign w:val="center"/>
            <w:hideMark/>
          </w:tcPr>
          <w:p w14:paraId="3F7BE894"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1.4 m/year</w:t>
            </w:r>
          </w:p>
        </w:tc>
        <w:tc>
          <w:tcPr>
            <w:tcW w:w="0" w:type="auto"/>
            <w:tcMar>
              <w:top w:w="150" w:type="dxa"/>
              <w:left w:w="240" w:type="dxa"/>
              <w:bottom w:w="150" w:type="dxa"/>
              <w:right w:w="0" w:type="dxa"/>
            </w:tcMar>
            <w:vAlign w:val="center"/>
            <w:hideMark/>
          </w:tcPr>
          <w:p w14:paraId="0F964F4F"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Feng et al. (2013)</w:t>
            </w:r>
          </w:p>
        </w:tc>
      </w:tr>
      <w:tr w:rsidR="00712055" w:rsidRPr="009806B1" w14:paraId="02BA6FE1" w14:textId="77777777">
        <w:tc>
          <w:tcPr>
            <w:tcW w:w="0" w:type="auto"/>
            <w:tcMar>
              <w:top w:w="150" w:type="dxa"/>
              <w:left w:w="0" w:type="dxa"/>
              <w:bottom w:w="150" w:type="dxa"/>
              <w:right w:w="240" w:type="dxa"/>
            </w:tcMar>
            <w:vAlign w:val="center"/>
            <w:hideMark/>
          </w:tcPr>
          <w:p w14:paraId="3E29D503"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California Central Valley</w:t>
            </w:r>
          </w:p>
        </w:tc>
        <w:tc>
          <w:tcPr>
            <w:tcW w:w="0" w:type="auto"/>
            <w:tcMar>
              <w:top w:w="150" w:type="dxa"/>
              <w:left w:w="240" w:type="dxa"/>
              <w:bottom w:w="150" w:type="dxa"/>
              <w:right w:w="240" w:type="dxa"/>
            </w:tcMar>
            <w:vAlign w:val="center"/>
            <w:hideMark/>
          </w:tcPr>
          <w:p w14:paraId="65DDA0D0"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Variable</w:t>
            </w:r>
          </w:p>
        </w:tc>
        <w:tc>
          <w:tcPr>
            <w:tcW w:w="0" w:type="auto"/>
            <w:tcMar>
              <w:top w:w="150" w:type="dxa"/>
              <w:left w:w="240" w:type="dxa"/>
              <w:bottom w:w="150" w:type="dxa"/>
              <w:right w:w="0" w:type="dxa"/>
            </w:tcMar>
            <w:vAlign w:val="center"/>
            <w:hideMark/>
          </w:tcPr>
          <w:p w14:paraId="026F4BC5"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Famiglietti et al. (2019)</w:t>
            </w:r>
          </w:p>
        </w:tc>
      </w:tr>
    </w:tbl>
    <w:p w14:paraId="4562BDC4"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 Statement:</w:t>
      </w:r>
      <w:r w:rsidRPr="009806B1">
        <w:rPr>
          <w:rFonts w:ascii="Times New Roman" w:hAnsi="Times New Roman" w:cs="Times New Roman"/>
        </w:rPr>
        <w:t> "This research places Lahore within the global context of critically depleted aquifers, revealing that Lahore's depletion rate (0.88 m/year) rivals that of the most severely affected regions worldwide, including Northwest India (1.4 m/year) and the North China Plain (1.4 m/year)—a comparative analysis that positions Lahore as a critical case for international groundwater management attention."</w:t>
      </w:r>
    </w:p>
    <w:p w14:paraId="7816ED6C" w14:textId="77777777" w:rsidR="00712055" w:rsidRPr="009806B1" w:rsidRDefault="00000000" w:rsidP="00712055">
      <w:pPr>
        <w:rPr>
          <w:rFonts w:ascii="Times New Roman" w:hAnsi="Times New Roman" w:cs="Times New Roman"/>
        </w:rPr>
      </w:pPr>
      <w:r w:rsidRPr="009806B1">
        <w:rPr>
          <w:rFonts w:ascii="Times New Roman" w:hAnsi="Times New Roman" w:cs="Times New Roman"/>
        </w:rPr>
        <w:pict w14:anchorId="652172C7">
          <v:rect id="_x0000_i1029" style="width:0;height:.75pt" o:hralign="center" o:hrstd="t" o:hr="t" fillcolor="#a0a0a0" stroked="f"/>
        </w:pict>
      </w:r>
    </w:p>
    <w:p w14:paraId="229F5002"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6. METHODOLOGICAL INNOVATION: Google Earth Engine Implementation</w:t>
      </w:r>
    </w:p>
    <w:p w14:paraId="54CD154C"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lastRenderedPageBreak/>
        <w:t>6.1 Cloud-Based Satellite Data Processing</w:t>
      </w:r>
    </w:p>
    <w:p w14:paraId="5AB6E3C4"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The study innovatively employed </w:t>
      </w:r>
      <w:r w:rsidRPr="009806B1">
        <w:rPr>
          <w:rFonts w:ascii="Times New Roman" w:hAnsi="Times New Roman" w:cs="Times New Roman"/>
          <w:b/>
          <w:bCs/>
        </w:rPr>
        <w:t>Google Earth Engine</w:t>
      </w:r>
      <w:r w:rsidRPr="009806B1">
        <w:rPr>
          <w:rFonts w:ascii="Times New Roman" w:hAnsi="Times New Roman" w:cs="Times New Roman"/>
        </w:rPr>
        <w:t> for:</w:t>
      </w:r>
    </w:p>
    <w:p w14:paraId="354CCA45" w14:textId="77777777" w:rsidR="00712055" w:rsidRPr="009806B1" w:rsidRDefault="00712055" w:rsidP="00712055">
      <w:pPr>
        <w:numPr>
          <w:ilvl w:val="0"/>
          <w:numId w:val="8"/>
        </w:numPr>
        <w:rPr>
          <w:rFonts w:ascii="Times New Roman" w:hAnsi="Times New Roman" w:cs="Times New Roman"/>
        </w:rPr>
      </w:pPr>
      <w:r w:rsidRPr="009806B1">
        <w:rPr>
          <w:rFonts w:ascii="Times New Roman" w:hAnsi="Times New Roman" w:cs="Times New Roman"/>
        </w:rPr>
        <w:t>Accessing and processing GRACE-derived data</w:t>
      </w:r>
    </w:p>
    <w:p w14:paraId="5DF87A67" w14:textId="77777777" w:rsidR="00712055" w:rsidRPr="009806B1" w:rsidRDefault="00712055" w:rsidP="00712055">
      <w:pPr>
        <w:numPr>
          <w:ilvl w:val="0"/>
          <w:numId w:val="8"/>
        </w:numPr>
        <w:rPr>
          <w:rFonts w:ascii="Times New Roman" w:hAnsi="Times New Roman" w:cs="Times New Roman"/>
        </w:rPr>
      </w:pPr>
      <w:r w:rsidRPr="009806B1">
        <w:rPr>
          <w:rFonts w:ascii="Times New Roman" w:hAnsi="Times New Roman" w:cs="Times New Roman"/>
        </w:rPr>
        <w:t>Analyzing NDVI and EVI vegetation indices</w:t>
      </w:r>
    </w:p>
    <w:p w14:paraId="207CAA3F" w14:textId="77777777" w:rsidR="00712055" w:rsidRPr="009806B1" w:rsidRDefault="00712055" w:rsidP="00712055">
      <w:pPr>
        <w:numPr>
          <w:ilvl w:val="0"/>
          <w:numId w:val="8"/>
        </w:numPr>
        <w:rPr>
          <w:rFonts w:ascii="Times New Roman" w:hAnsi="Times New Roman" w:cs="Times New Roman"/>
        </w:rPr>
      </w:pPr>
      <w:r w:rsidRPr="009806B1">
        <w:rPr>
          <w:rFonts w:ascii="Times New Roman" w:hAnsi="Times New Roman" w:cs="Times New Roman"/>
        </w:rPr>
        <w:t>Creating interactive satellite visualizations</w:t>
      </w:r>
    </w:p>
    <w:p w14:paraId="699BEAC8" w14:textId="77777777" w:rsidR="00712055" w:rsidRPr="009806B1" w:rsidRDefault="00712055" w:rsidP="00712055">
      <w:pPr>
        <w:numPr>
          <w:ilvl w:val="0"/>
          <w:numId w:val="8"/>
        </w:numPr>
        <w:rPr>
          <w:rFonts w:ascii="Times New Roman" w:hAnsi="Times New Roman" w:cs="Times New Roman"/>
        </w:rPr>
      </w:pPr>
      <w:r w:rsidRPr="009806B1">
        <w:rPr>
          <w:rFonts w:ascii="Times New Roman" w:hAnsi="Times New Roman" w:cs="Times New Roman"/>
        </w:rPr>
        <w:t>Cloud-based computation avoiding local processing limitations</w:t>
      </w:r>
    </w:p>
    <w:p w14:paraId="1D8AE7D4"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 Statement:</w:t>
      </w:r>
      <w:r w:rsidRPr="009806B1">
        <w:rPr>
          <w:rFonts w:ascii="Times New Roman" w:hAnsi="Times New Roman" w:cs="Times New Roman"/>
        </w:rPr>
        <w:t> "This research demonstrates for the first time the practical application of Google Earth Engine for local-scale groundwater assessment in Pakistan, establishing a replicable cloud-based workflow that eliminates traditional barriers of data processing capacity and computational resources—a methodological innovation with significant potential for water resource monitoring in developing countries."</w:t>
      </w:r>
    </w:p>
    <w:p w14:paraId="74EC7C71" w14:textId="77777777" w:rsidR="00712055" w:rsidRPr="009806B1" w:rsidRDefault="00000000" w:rsidP="00712055">
      <w:pPr>
        <w:rPr>
          <w:rFonts w:ascii="Times New Roman" w:hAnsi="Times New Roman" w:cs="Times New Roman"/>
        </w:rPr>
      </w:pPr>
      <w:r w:rsidRPr="009806B1">
        <w:rPr>
          <w:rFonts w:ascii="Times New Roman" w:hAnsi="Times New Roman" w:cs="Times New Roman"/>
        </w:rPr>
        <w:pict w14:anchorId="4F3D244B">
          <v:rect id="_x0000_i1030" style="width:0;height:.75pt" o:hralign="center" o:hrstd="t" o:hr="t" fillcolor="#a0a0a0" stroked="f"/>
        </w:pict>
      </w:r>
    </w:p>
    <w:p w14:paraId="2F6EDF62"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7. SOCIETAL AND POLICY NOVELTY</w:t>
      </w:r>
    </w:p>
    <w:p w14:paraId="4B7C6E78"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7.1 Evidence-Based Policy Recommendations</w:t>
      </w:r>
    </w:p>
    <w:p w14:paraId="7FA6D073"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The study provides </w:t>
      </w:r>
      <w:r w:rsidRPr="009806B1">
        <w:rPr>
          <w:rFonts w:ascii="Times New Roman" w:hAnsi="Times New Roman" w:cs="Times New Roman"/>
          <w:b/>
          <w:bCs/>
        </w:rPr>
        <w:t>actionable, evidence-based recommendations</w:t>
      </w:r>
      <w:r w:rsidRPr="009806B1">
        <w:rPr>
          <w:rFonts w:ascii="Times New Roman" w:hAnsi="Times New Roman" w:cs="Times New Roman"/>
        </w:rPr>
        <w:t> including:</w:t>
      </w:r>
    </w:p>
    <w:p w14:paraId="3D97CA55" w14:textId="77777777" w:rsidR="00712055" w:rsidRPr="009806B1" w:rsidRDefault="00712055" w:rsidP="00712055">
      <w:pPr>
        <w:numPr>
          <w:ilvl w:val="0"/>
          <w:numId w:val="9"/>
        </w:numPr>
        <w:rPr>
          <w:rFonts w:ascii="Times New Roman" w:hAnsi="Times New Roman" w:cs="Times New Roman"/>
        </w:rPr>
      </w:pPr>
      <w:r w:rsidRPr="009806B1">
        <w:rPr>
          <w:rFonts w:ascii="Times New Roman" w:hAnsi="Times New Roman" w:cs="Times New Roman"/>
        </w:rPr>
        <w:t>Managed Aquifer Recharge (MAR) implementation</w:t>
      </w:r>
    </w:p>
    <w:p w14:paraId="0339F0C8" w14:textId="77777777" w:rsidR="00712055" w:rsidRPr="009806B1" w:rsidRDefault="00712055" w:rsidP="00712055">
      <w:pPr>
        <w:numPr>
          <w:ilvl w:val="0"/>
          <w:numId w:val="9"/>
        </w:numPr>
        <w:rPr>
          <w:rFonts w:ascii="Times New Roman" w:hAnsi="Times New Roman" w:cs="Times New Roman"/>
        </w:rPr>
      </w:pPr>
      <w:r w:rsidRPr="009806B1">
        <w:rPr>
          <w:rFonts w:ascii="Times New Roman" w:hAnsi="Times New Roman" w:cs="Times New Roman"/>
        </w:rPr>
        <w:t>Regulatory framework for groundwater extraction</w:t>
      </w:r>
    </w:p>
    <w:p w14:paraId="60D6CA39" w14:textId="77777777" w:rsidR="00712055" w:rsidRPr="009806B1" w:rsidRDefault="00712055" w:rsidP="00712055">
      <w:pPr>
        <w:numPr>
          <w:ilvl w:val="0"/>
          <w:numId w:val="9"/>
        </w:numPr>
        <w:rPr>
          <w:rFonts w:ascii="Times New Roman" w:hAnsi="Times New Roman" w:cs="Times New Roman"/>
        </w:rPr>
      </w:pPr>
      <w:r w:rsidRPr="009806B1">
        <w:rPr>
          <w:rFonts w:ascii="Times New Roman" w:hAnsi="Times New Roman" w:cs="Times New Roman"/>
        </w:rPr>
        <w:t>Integration of water management in urban planning</w:t>
      </w:r>
    </w:p>
    <w:p w14:paraId="2B18D4F0" w14:textId="77777777" w:rsidR="00712055" w:rsidRPr="009806B1" w:rsidRDefault="00712055" w:rsidP="00712055">
      <w:pPr>
        <w:numPr>
          <w:ilvl w:val="0"/>
          <w:numId w:val="9"/>
        </w:numPr>
        <w:rPr>
          <w:rFonts w:ascii="Times New Roman" w:hAnsi="Times New Roman" w:cs="Times New Roman"/>
        </w:rPr>
      </w:pPr>
      <w:r w:rsidRPr="009806B1">
        <w:rPr>
          <w:rFonts w:ascii="Times New Roman" w:hAnsi="Times New Roman" w:cs="Times New Roman"/>
        </w:rPr>
        <w:t>Public awareness and capacity building</w:t>
      </w:r>
    </w:p>
    <w:p w14:paraId="72ADB8B3"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 Statement:</w:t>
      </w:r>
      <w:r w:rsidRPr="009806B1">
        <w:rPr>
          <w:rFonts w:ascii="Times New Roman" w:hAnsi="Times New Roman" w:cs="Times New Roman"/>
        </w:rPr>
        <w:t> "This research translates complex scientific findings into a comprehensive, evidence-based policy framework specifically tailored to Lahore's socio-economic and institutional context—a direct bridge between academic research and practical water resource management that addresses the 'science-policy gap' in groundwater governance in Pakistan."</w:t>
      </w:r>
    </w:p>
    <w:p w14:paraId="0D93B01A" w14:textId="77777777" w:rsidR="00712055" w:rsidRPr="009806B1" w:rsidRDefault="00000000" w:rsidP="00712055">
      <w:pPr>
        <w:rPr>
          <w:rFonts w:ascii="Times New Roman" w:hAnsi="Times New Roman" w:cs="Times New Roman"/>
        </w:rPr>
      </w:pPr>
      <w:r w:rsidRPr="009806B1">
        <w:rPr>
          <w:rFonts w:ascii="Times New Roman" w:hAnsi="Times New Roman" w:cs="Times New Roman"/>
        </w:rPr>
        <w:pict w14:anchorId="77A62F94">
          <v:rect id="_x0000_i1031" style="width:0;height:.75pt" o:hralign="center" o:hrstd="t" o:hr="t" fillcolor="#a0a0a0" stroked="f"/>
        </w:pict>
      </w:r>
    </w:p>
    <w:p w14:paraId="75D79FB2"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8. SUMMARY OF NOVELTY STATEMENTS FOR PUBLICATION</w:t>
      </w:r>
    </w:p>
    <w:p w14:paraId="6C167017"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For Journal Submission Introduction:</w:t>
      </w:r>
    </w:p>
    <w:p w14:paraId="33D70915"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 xml:space="preserve">"This study presents a novel methodological framework integrating high-resolution in-situ groundwater measurements (220 wells, 2000-2019) with GRACE satellite-derived gravity data (via ICGEM) and cloud-based geospatial analysis (Google Earth Engine) to assess groundwater depletion at the local scale—a scale previously considered beyond the capability of satellite </w:t>
      </w:r>
      <w:r w:rsidRPr="009806B1">
        <w:rPr>
          <w:rFonts w:ascii="Times New Roman" w:hAnsi="Times New Roman" w:cs="Times New Roman"/>
        </w:rPr>
        <w:lastRenderedPageBreak/>
        <w:t>observations. For the first time, we establish the first comprehensive two-decade groundwater depletion trajectory for Lahore District, Pakistan, demonstrating a statistically significant positive trend (Mann-Kendall Z = 4.7693, p &lt; 0.001) with total depletion of 17.55 meters (average 0.88 m/year). Critically, we provide empirical evidence that anthropogenic factors (urbanization and excessive extraction) dominate over climatic variability as drivers of depletion, challenging assumptions about the primacy of rainfall patterns in groundwater dynamics. The research further introduces a conceptual 'Urbanization-Recharge Deficit Hypothesis' and positions Lahore within the global context of critically depleted aquifers, delivering a replicable methodology for urban groundwater assessment in data-scarce regions."</w:t>
      </w:r>
    </w:p>
    <w:p w14:paraId="5B8445AA"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For Journal Discussion/Conclusion:</w:t>
      </w:r>
    </w:p>
    <w:p w14:paraId="7C717F31"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"The novelty of this research lies in its integration of multiple data sources to overcome the scale limitations that have historically constrained groundwater assessments in developing countries. While GRACE satellite data has proven invaluable for basin-scale monitoring, its coarse spatial resolution (&gt;100,000 km²) has precluded local-scale applications—a limitation we have successfully addressed through systematic comparison with a dense network of 220 monitoring wells. Our demonstration that GRACE-derived trends (weighted mean values: 884.39-1,069 m) align with ground-based observations opens new possibilities for satellite-based groundwater monitoring at the district level, particularly in regions where ground-based monitoring networks are limited. The conceptual contribution of this research—establishing the primacy of anthropogenic drivers over climatic factors in urban groundwater depletion—provides a paradigm shift for water resource management in rapidly urbanizing South Asian cities, with direct implications for policy development and sustainable groundwater governance."</w:t>
      </w:r>
    </w:p>
    <w:p w14:paraId="29298558" w14:textId="77777777" w:rsidR="00712055" w:rsidRPr="009806B1" w:rsidRDefault="00000000" w:rsidP="00712055">
      <w:pPr>
        <w:rPr>
          <w:rFonts w:ascii="Times New Roman" w:hAnsi="Times New Roman" w:cs="Times New Roman"/>
        </w:rPr>
      </w:pPr>
      <w:r w:rsidRPr="009806B1">
        <w:rPr>
          <w:rFonts w:ascii="Times New Roman" w:hAnsi="Times New Roman" w:cs="Times New Roman"/>
        </w:rPr>
        <w:pict w14:anchorId="3D7C34E8">
          <v:rect id="_x0000_i1032" style="width:0;height:.75pt" o:hralign="center" o:hrstd="t" o:hr="t" fillcolor="#a0a0a0" stroked="f"/>
        </w:pict>
      </w:r>
    </w:p>
    <w:p w14:paraId="38ED5544" w14:textId="77777777" w:rsidR="00712055" w:rsidRPr="009806B1" w:rsidRDefault="00712055" w:rsidP="00712055">
      <w:pPr>
        <w:rPr>
          <w:rFonts w:ascii="Times New Roman" w:hAnsi="Times New Roman" w:cs="Times New Roman"/>
          <w:b/>
          <w:bCs/>
        </w:rPr>
      </w:pPr>
      <w:r w:rsidRPr="009806B1">
        <w:rPr>
          <w:rFonts w:ascii="Times New Roman" w:hAnsi="Times New Roman" w:cs="Times New Roman"/>
          <w:b/>
          <w:bCs/>
        </w:rPr>
        <w:t>9. INNOVATIVE CONTRIBUTIONS AT A GLANCE</w:t>
      </w:r>
    </w:p>
    <w:tbl>
      <w:tblPr>
        <w:tblW w:w="11280" w:type="dxa"/>
        <w:tblCellMar>
          <w:top w:w="15" w:type="dxa"/>
          <w:left w:w="15" w:type="dxa"/>
          <w:bottom w:w="15" w:type="dxa"/>
          <w:right w:w="15" w:type="dxa"/>
        </w:tblCellMar>
        <w:tblLook w:val="04A0" w:firstRow="1" w:lastRow="0" w:firstColumn="1" w:lastColumn="0" w:noHBand="0" w:noVBand="1"/>
      </w:tblPr>
      <w:tblGrid>
        <w:gridCol w:w="1827"/>
        <w:gridCol w:w="4666"/>
        <w:gridCol w:w="4787"/>
      </w:tblGrid>
      <w:tr w:rsidR="00712055" w:rsidRPr="009806B1" w14:paraId="58867963" w14:textId="77777777" w:rsidTr="009806B1">
        <w:trPr>
          <w:tblHeader/>
        </w:trPr>
        <w:tc>
          <w:tcPr>
            <w:tcW w:w="0" w:type="auto"/>
            <w:tcBorders>
              <w:top w:val="nil"/>
            </w:tcBorders>
            <w:tcMar>
              <w:top w:w="150" w:type="dxa"/>
              <w:left w:w="0" w:type="dxa"/>
              <w:bottom w:w="150" w:type="dxa"/>
              <w:right w:w="240" w:type="dxa"/>
            </w:tcMar>
            <w:vAlign w:val="center"/>
            <w:hideMark/>
          </w:tcPr>
          <w:p w14:paraId="03ECD272"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Dimension</w:t>
            </w:r>
          </w:p>
        </w:tc>
        <w:tc>
          <w:tcPr>
            <w:tcW w:w="4675" w:type="dxa"/>
            <w:tcBorders>
              <w:top w:val="nil"/>
            </w:tcBorders>
            <w:tcMar>
              <w:top w:w="150" w:type="dxa"/>
              <w:left w:w="240" w:type="dxa"/>
              <w:bottom w:w="150" w:type="dxa"/>
              <w:right w:w="240" w:type="dxa"/>
            </w:tcMar>
            <w:vAlign w:val="center"/>
            <w:hideMark/>
          </w:tcPr>
          <w:p w14:paraId="2F52107E"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Innovation</w:t>
            </w:r>
          </w:p>
        </w:tc>
        <w:tc>
          <w:tcPr>
            <w:tcW w:w="4800" w:type="dxa"/>
            <w:tcBorders>
              <w:top w:val="nil"/>
            </w:tcBorders>
            <w:tcMar>
              <w:top w:w="150" w:type="dxa"/>
              <w:left w:w="240" w:type="dxa"/>
              <w:bottom w:w="150" w:type="dxa"/>
              <w:right w:w="240" w:type="dxa"/>
            </w:tcMar>
            <w:vAlign w:val="center"/>
            <w:hideMark/>
          </w:tcPr>
          <w:p w14:paraId="7A4F8AA3"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Added Value</w:t>
            </w:r>
          </w:p>
        </w:tc>
      </w:tr>
      <w:tr w:rsidR="00712055" w:rsidRPr="009806B1" w14:paraId="1B586BC6" w14:textId="77777777" w:rsidTr="009806B1">
        <w:tc>
          <w:tcPr>
            <w:tcW w:w="0" w:type="auto"/>
            <w:tcMar>
              <w:top w:w="150" w:type="dxa"/>
              <w:left w:w="0" w:type="dxa"/>
              <w:bottom w:w="150" w:type="dxa"/>
              <w:right w:w="240" w:type="dxa"/>
            </w:tcMar>
            <w:vAlign w:val="center"/>
            <w:hideMark/>
          </w:tcPr>
          <w:p w14:paraId="39EBB3A4"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Methodological</w:t>
            </w:r>
          </w:p>
        </w:tc>
        <w:tc>
          <w:tcPr>
            <w:tcW w:w="4675" w:type="dxa"/>
            <w:tcMar>
              <w:top w:w="150" w:type="dxa"/>
              <w:left w:w="240" w:type="dxa"/>
              <w:bottom w:w="150" w:type="dxa"/>
              <w:right w:w="240" w:type="dxa"/>
            </w:tcMar>
            <w:vAlign w:val="center"/>
            <w:hideMark/>
          </w:tcPr>
          <w:p w14:paraId="22576AE7"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Integration of 4 data sources (wells + GRACE + GEE + ArcGIS)</w:t>
            </w:r>
          </w:p>
        </w:tc>
        <w:tc>
          <w:tcPr>
            <w:tcW w:w="4800" w:type="dxa"/>
            <w:tcMar>
              <w:top w:w="150" w:type="dxa"/>
              <w:left w:w="240" w:type="dxa"/>
              <w:bottom w:w="150" w:type="dxa"/>
              <w:right w:w="0" w:type="dxa"/>
            </w:tcMar>
            <w:vAlign w:val="center"/>
            <w:hideMark/>
          </w:tcPr>
          <w:p w14:paraId="0EACEEF8"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First local-scale multi-source validation in Pakistan</w:t>
            </w:r>
          </w:p>
        </w:tc>
      </w:tr>
      <w:tr w:rsidR="00712055" w:rsidRPr="009806B1" w14:paraId="45400314" w14:textId="77777777" w:rsidTr="009806B1">
        <w:tc>
          <w:tcPr>
            <w:tcW w:w="0" w:type="auto"/>
            <w:tcMar>
              <w:top w:w="150" w:type="dxa"/>
              <w:left w:w="0" w:type="dxa"/>
              <w:bottom w:w="150" w:type="dxa"/>
              <w:right w:w="240" w:type="dxa"/>
            </w:tcMar>
            <w:vAlign w:val="center"/>
            <w:hideMark/>
          </w:tcPr>
          <w:p w14:paraId="2A2B4FF1"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Scale</w:t>
            </w:r>
          </w:p>
        </w:tc>
        <w:tc>
          <w:tcPr>
            <w:tcW w:w="4675" w:type="dxa"/>
            <w:tcMar>
              <w:top w:w="150" w:type="dxa"/>
              <w:left w:w="240" w:type="dxa"/>
              <w:bottom w:w="150" w:type="dxa"/>
              <w:right w:w="240" w:type="dxa"/>
            </w:tcMar>
            <w:vAlign w:val="center"/>
            <w:hideMark/>
          </w:tcPr>
          <w:p w14:paraId="5AA68F31"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Bridging GRACE (basin) to district (local) scale</w:t>
            </w:r>
          </w:p>
        </w:tc>
        <w:tc>
          <w:tcPr>
            <w:tcW w:w="4800" w:type="dxa"/>
            <w:tcMar>
              <w:top w:w="150" w:type="dxa"/>
              <w:left w:w="240" w:type="dxa"/>
              <w:bottom w:w="150" w:type="dxa"/>
              <w:right w:w="0" w:type="dxa"/>
            </w:tcMar>
            <w:vAlign w:val="center"/>
            <w:hideMark/>
          </w:tcPr>
          <w:p w14:paraId="42D01EF2"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Overcomes satellite resolution limitation</w:t>
            </w:r>
          </w:p>
        </w:tc>
      </w:tr>
      <w:tr w:rsidR="00712055" w:rsidRPr="009806B1" w14:paraId="201273F2" w14:textId="77777777" w:rsidTr="009806B1">
        <w:tc>
          <w:tcPr>
            <w:tcW w:w="0" w:type="auto"/>
            <w:tcMar>
              <w:top w:w="150" w:type="dxa"/>
              <w:left w:w="0" w:type="dxa"/>
              <w:bottom w:w="150" w:type="dxa"/>
              <w:right w:w="240" w:type="dxa"/>
            </w:tcMar>
            <w:vAlign w:val="center"/>
            <w:hideMark/>
          </w:tcPr>
          <w:p w14:paraId="43C2F5F3"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Temporal</w:t>
            </w:r>
          </w:p>
        </w:tc>
        <w:tc>
          <w:tcPr>
            <w:tcW w:w="4675" w:type="dxa"/>
            <w:tcMar>
              <w:top w:w="150" w:type="dxa"/>
              <w:left w:w="240" w:type="dxa"/>
              <w:bottom w:w="150" w:type="dxa"/>
              <w:right w:w="240" w:type="dxa"/>
            </w:tcMar>
            <w:vAlign w:val="center"/>
            <w:hideMark/>
          </w:tcPr>
          <w:p w14:paraId="29624365"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20-year comprehensive assessment (2000-2019)</w:t>
            </w:r>
          </w:p>
        </w:tc>
        <w:tc>
          <w:tcPr>
            <w:tcW w:w="4800" w:type="dxa"/>
            <w:tcMar>
              <w:top w:w="150" w:type="dxa"/>
              <w:left w:w="240" w:type="dxa"/>
              <w:bottom w:w="150" w:type="dxa"/>
              <w:right w:w="0" w:type="dxa"/>
            </w:tcMar>
            <w:vAlign w:val="center"/>
            <w:hideMark/>
          </w:tcPr>
          <w:p w14:paraId="39C0448C"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First complete depletion trajectory</w:t>
            </w:r>
          </w:p>
        </w:tc>
      </w:tr>
      <w:tr w:rsidR="00712055" w:rsidRPr="009806B1" w14:paraId="504CE49F" w14:textId="77777777" w:rsidTr="009806B1">
        <w:tc>
          <w:tcPr>
            <w:tcW w:w="0" w:type="auto"/>
            <w:tcMar>
              <w:top w:w="150" w:type="dxa"/>
              <w:left w:w="0" w:type="dxa"/>
              <w:bottom w:w="150" w:type="dxa"/>
              <w:right w:w="240" w:type="dxa"/>
            </w:tcMar>
            <w:vAlign w:val="center"/>
            <w:hideMark/>
          </w:tcPr>
          <w:p w14:paraId="7EF6D085"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lastRenderedPageBreak/>
              <w:t>Spatial</w:t>
            </w:r>
          </w:p>
        </w:tc>
        <w:tc>
          <w:tcPr>
            <w:tcW w:w="4675" w:type="dxa"/>
            <w:tcMar>
              <w:top w:w="150" w:type="dxa"/>
              <w:left w:w="240" w:type="dxa"/>
              <w:bottom w:w="150" w:type="dxa"/>
              <w:right w:w="240" w:type="dxa"/>
            </w:tcMar>
            <w:vAlign w:val="center"/>
            <w:hideMark/>
          </w:tcPr>
          <w:p w14:paraId="5DAA74B4"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26-division high-resolution mapping</w:t>
            </w:r>
          </w:p>
        </w:tc>
        <w:tc>
          <w:tcPr>
            <w:tcW w:w="4800" w:type="dxa"/>
            <w:tcMar>
              <w:top w:w="150" w:type="dxa"/>
              <w:left w:w="240" w:type="dxa"/>
              <w:bottom w:w="150" w:type="dxa"/>
              <w:right w:w="0" w:type="dxa"/>
            </w:tcMar>
            <w:vAlign w:val="center"/>
            <w:hideMark/>
          </w:tcPr>
          <w:p w14:paraId="6F4BF6ED"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Identifies specific depletion hotspots</w:t>
            </w:r>
          </w:p>
        </w:tc>
      </w:tr>
      <w:tr w:rsidR="00712055" w:rsidRPr="009806B1" w14:paraId="1A58BF68" w14:textId="77777777" w:rsidTr="009806B1">
        <w:tc>
          <w:tcPr>
            <w:tcW w:w="0" w:type="auto"/>
            <w:tcMar>
              <w:top w:w="150" w:type="dxa"/>
              <w:left w:w="0" w:type="dxa"/>
              <w:bottom w:w="150" w:type="dxa"/>
              <w:right w:w="240" w:type="dxa"/>
            </w:tcMar>
            <w:vAlign w:val="center"/>
            <w:hideMark/>
          </w:tcPr>
          <w:p w14:paraId="30EB91C9"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Statistical</w:t>
            </w:r>
          </w:p>
        </w:tc>
        <w:tc>
          <w:tcPr>
            <w:tcW w:w="4675" w:type="dxa"/>
            <w:tcMar>
              <w:top w:w="150" w:type="dxa"/>
              <w:left w:w="240" w:type="dxa"/>
              <w:bottom w:w="150" w:type="dxa"/>
              <w:right w:w="240" w:type="dxa"/>
            </w:tcMar>
            <w:vAlign w:val="center"/>
            <w:hideMark/>
          </w:tcPr>
          <w:p w14:paraId="5844A6AE"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Mann-Kendall rigorous quantification</w:t>
            </w:r>
          </w:p>
        </w:tc>
        <w:tc>
          <w:tcPr>
            <w:tcW w:w="4800" w:type="dxa"/>
            <w:tcMar>
              <w:top w:w="150" w:type="dxa"/>
              <w:left w:w="240" w:type="dxa"/>
              <w:bottom w:w="150" w:type="dxa"/>
              <w:right w:w="0" w:type="dxa"/>
            </w:tcMar>
            <w:vAlign w:val="center"/>
            <w:hideMark/>
          </w:tcPr>
          <w:p w14:paraId="5CBB592B"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Statistically robust trend confirmation</w:t>
            </w:r>
          </w:p>
        </w:tc>
      </w:tr>
      <w:tr w:rsidR="00712055" w:rsidRPr="009806B1" w14:paraId="567A3C6E" w14:textId="77777777" w:rsidTr="009806B1">
        <w:tc>
          <w:tcPr>
            <w:tcW w:w="0" w:type="auto"/>
            <w:tcMar>
              <w:top w:w="150" w:type="dxa"/>
              <w:left w:w="0" w:type="dxa"/>
              <w:bottom w:w="150" w:type="dxa"/>
              <w:right w:w="240" w:type="dxa"/>
            </w:tcMar>
            <w:vAlign w:val="center"/>
            <w:hideMark/>
          </w:tcPr>
          <w:p w14:paraId="59B3CB20"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Conceptual</w:t>
            </w:r>
          </w:p>
        </w:tc>
        <w:tc>
          <w:tcPr>
            <w:tcW w:w="4675" w:type="dxa"/>
            <w:tcMar>
              <w:top w:w="150" w:type="dxa"/>
              <w:left w:w="240" w:type="dxa"/>
              <w:bottom w:w="150" w:type="dxa"/>
              <w:right w:w="240" w:type="dxa"/>
            </w:tcMar>
            <w:vAlign w:val="center"/>
            <w:hideMark/>
          </w:tcPr>
          <w:p w14:paraId="61847C5D"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Urbanization-Recharge Deficit Hypothesis</w:t>
            </w:r>
          </w:p>
        </w:tc>
        <w:tc>
          <w:tcPr>
            <w:tcW w:w="4800" w:type="dxa"/>
            <w:tcMar>
              <w:top w:w="150" w:type="dxa"/>
              <w:left w:w="240" w:type="dxa"/>
              <w:bottom w:w="150" w:type="dxa"/>
              <w:right w:w="0" w:type="dxa"/>
            </w:tcMar>
            <w:vAlign w:val="center"/>
            <w:hideMark/>
          </w:tcPr>
          <w:p w14:paraId="32A3F1A6"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Paradigm shift in driver identification</w:t>
            </w:r>
          </w:p>
        </w:tc>
      </w:tr>
      <w:tr w:rsidR="00712055" w:rsidRPr="009806B1" w14:paraId="280FF924" w14:textId="77777777" w:rsidTr="009806B1">
        <w:tc>
          <w:tcPr>
            <w:tcW w:w="0" w:type="auto"/>
            <w:tcMar>
              <w:top w:w="150" w:type="dxa"/>
              <w:left w:w="0" w:type="dxa"/>
              <w:bottom w:w="150" w:type="dxa"/>
              <w:right w:w="240" w:type="dxa"/>
            </w:tcMar>
            <w:vAlign w:val="center"/>
            <w:hideMark/>
          </w:tcPr>
          <w:p w14:paraId="2A6D1A9C"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Comparative</w:t>
            </w:r>
          </w:p>
        </w:tc>
        <w:tc>
          <w:tcPr>
            <w:tcW w:w="4675" w:type="dxa"/>
            <w:tcMar>
              <w:top w:w="150" w:type="dxa"/>
              <w:left w:w="240" w:type="dxa"/>
              <w:bottom w:w="150" w:type="dxa"/>
              <w:right w:w="240" w:type="dxa"/>
            </w:tcMar>
            <w:vAlign w:val="center"/>
            <w:hideMark/>
          </w:tcPr>
          <w:p w14:paraId="36A29390"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Global context positioning</w:t>
            </w:r>
          </w:p>
        </w:tc>
        <w:tc>
          <w:tcPr>
            <w:tcW w:w="4800" w:type="dxa"/>
            <w:tcMar>
              <w:top w:w="150" w:type="dxa"/>
              <w:left w:w="240" w:type="dxa"/>
              <w:bottom w:w="150" w:type="dxa"/>
              <w:right w:w="0" w:type="dxa"/>
            </w:tcMar>
            <w:vAlign w:val="center"/>
            <w:hideMark/>
          </w:tcPr>
          <w:p w14:paraId="1603BA55"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Lahore recognized as critical hotspot</w:t>
            </w:r>
          </w:p>
        </w:tc>
      </w:tr>
      <w:tr w:rsidR="00712055" w:rsidRPr="009806B1" w14:paraId="17F15D9B" w14:textId="77777777" w:rsidTr="009806B1">
        <w:tc>
          <w:tcPr>
            <w:tcW w:w="0" w:type="auto"/>
            <w:tcMar>
              <w:top w:w="150" w:type="dxa"/>
              <w:left w:w="0" w:type="dxa"/>
              <w:bottom w:w="150" w:type="dxa"/>
              <w:right w:w="240" w:type="dxa"/>
            </w:tcMar>
            <w:vAlign w:val="center"/>
            <w:hideMark/>
          </w:tcPr>
          <w:p w14:paraId="07D59EA4"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Technological</w:t>
            </w:r>
          </w:p>
        </w:tc>
        <w:tc>
          <w:tcPr>
            <w:tcW w:w="4675" w:type="dxa"/>
            <w:tcMar>
              <w:top w:w="150" w:type="dxa"/>
              <w:left w:w="240" w:type="dxa"/>
              <w:bottom w:w="150" w:type="dxa"/>
              <w:right w:w="240" w:type="dxa"/>
            </w:tcMar>
            <w:vAlign w:val="center"/>
            <w:hideMark/>
          </w:tcPr>
          <w:p w14:paraId="2933B4C6"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Google Earth Engine implementation</w:t>
            </w:r>
          </w:p>
        </w:tc>
        <w:tc>
          <w:tcPr>
            <w:tcW w:w="4800" w:type="dxa"/>
            <w:tcMar>
              <w:top w:w="150" w:type="dxa"/>
              <w:left w:w="240" w:type="dxa"/>
              <w:bottom w:w="150" w:type="dxa"/>
              <w:right w:w="0" w:type="dxa"/>
            </w:tcMar>
            <w:vAlign w:val="center"/>
            <w:hideMark/>
          </w:tcPr>
          <w:p w14:paraId="3FAAD670"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Replicable cloud-based workflow</w:t>
            </w:r>
          </w:p>
        </w:tc>
      </w:tr>
      <w:tr w:rsidR="00712055" w:rsidRPr="009806B1" w14:paraId="44199E86" w14:textId="77777777" w:rsidTr="009806B1">
        <w:tc>
          <w:tcPr>
            <w:tcW w:w="0" w:type="auto"/>
            <w:tcMar>
              <w:top w:w="150" w:type="dxa"/>
              <w:left w:w="0" w:type="dxa"/>
              <w:bottom w:w="150" w:type="dxa"/>
              <w:right w:w="240" w:type="dxa"/>
            </w:tcMar>
            <w:vAlign w:val="center"/>
            <w:hideMark/>
          </w:tcPr>
          <w:p w14:paraId="21A0D1C3" w14:textId="77777777" w:rsidR="00712055" w:rsidRPr="009806B1" w:rsidRDefault="00712055" w:rsidP="00712055">
            <w:pPr>
              <w:rPr>
                <w:rFonts w:ascii="Times New Roman" w:hAnsi="Times New Roman" w:cs="Times New Roman"/>
              </w:rPr>
            </w:pPr>
            <w:r w:rsidRPr="009806B1">
              <w:rPr>
                <w:rFonts w:ascii="Times New Roman" w:hAnsi="Times New Roman" w:cs="Times New Roman"/>
                <w:b/>
                <w:bCs/>
              </w:rPr>
              <w:t>Policy</w:t>
            </w:r>
          </w:p>
        </w:tc>
        <w:tc>
          <w:tcPr>
            <w:tcW w:w="4675" w:type="dxa"/>
            <w:tcMar>
              <w:top w:w="150" w:type="dxa"/>
              <w:left w:w="240" w:type="dxa"/>
              <w:bottom w:w="150" w:type="dxa"/>
              <w:right w:w="240" w:type="dxa"/>
            </w:tcMar>
            <w:vAlign w:val="center"/>
            <w:hideMark/>
          </w:tcPr>
          <w:p w14:paraId="319BE023"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Evidence-based actionable recommendations</w:t>
            </w:r>
          </w:p>
        </w:tc>
        <w:tc>
          <w:tcPr>
            <w:tcW w:w="4800" w:type="dxa"/>
            <w:tcMar>
              <w:top w:w="150" w:type="dxa"/>
              <w:left w:w="240" w:type="dxa"/>
              <w:bottom w:w="150" w:type="dxa"/>
              <w:right w:w="0" w:type="dxa"/>
            </w:tcMar>
            <w:vAlign w:val="center"/>
            <w:hideMark/>
          </w:tcPr>
          <w:p w14:paraId="43F25E54" w14:textId="77777777" w:rsidR="00712055" w:rsidRPr="009806B1" w:rsidRDefault="00712055" w:rsidP="00712055">
            <w:pPr>
              <w:rPr>
                <w:rFonts w:ascii="Times New Roman" w:hAnsi="Times New Roman" w:cs="Times New Roman"/>
              </w:rPr>
            </w:pPr>
            <w:r w:rsidRPr="009806B1">
              <w:rPr>
                <w:rFonts w:ascii="Times New Roman" w:hAnsi="Times New Roman" w:cs="Times New Roman"/>
              </w:rPr>
              <w:t>Direct science-policy translation</w:t>
            </w:r>
          </w:p>
        </w:tc>
      </w:tr>
    </w:tbl>
    <w:p w14:paraId="25E344A3" w14:textId="77777777" w:rsidR="00712055" w:rsidRPr="009806B1" w:rsidRDefault="00000000" w:rsidP="00712055">
      <w:pPr>
        <w:rPr>
          <w:rFonts w:ascii="Times New Roman" w:hAnsi="Times New Roman" w:cs="Times New Roman"/>
        </w:rPr>
      </w:pPr>
      <w:r w:rsidRPr="009806B1">
        <w:rPr>
          <w:rFonts w:ascii="Times New Roman" w:hAnsi="Times New Roman" w:cs="Times New Roman"/>
        </w:rPr>
        <w:pict w14:anchorId="610670BC">
          <v:rect id="_x0000_i1033" style="width:0;height:.75pt" o:hralign="center" o:hrstd="t" o:hr="t" fillcolor="#a0a0a0" stroked="f"/>
        </w:pict>
      </w:r>
    </w:p>
    <w:p w14:paraId="7F9E3841" w14:textId="77777777" w:rsidR="002721F7" w:rsidRPr="009806B1" w:rsidRDefault="002721F7">
      <w:pPr>
        <w:rPr>
          <w:rFonts w:ascii="Times New Roman" w:hAnsi="Times New Roman" w:cs="Times New Roman"/>
        </w:rPr>
      </w:pPr>
    </w:p>
    <w:sectPr w:rsidR="002721F7" w:rsidRPr="009806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418DD"/>
    <w:multiLevelType w:val="multilevel"/>
    <w:tmpl w:val="2C285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5A10E3"/>
    <w:multiLevelType w:val="multilevel"/>
    <w:tmpl w:val="2238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4A6EEF"/>
    <w:multiLevelType w:val="multilevel"/>
    <w:tmpl w:val="4F56F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D42161"/>
    <w:multiLevelType w:val="multilevel"/>
    <w:tmpl w:val="92E61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E67E97"/>
    <w:multiLevelType w:val="multilevel"/>
    <w:tmpl w:val="6DE2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BF16FE"/>
    <w:multiLevelType w:val="multilevel"/>
    <w:tmpl w:val="6D72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CF5801"/>
    <w:multiLevelType w:val="multilevel"/>
    <w:tmpl w:val="B486E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126384"/>
    <w:multiLevelType w:val="multilevel"/>
    <w:tmpl w:val="FE62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82513E"/>
    <w:multiLevelType w:val="multilevel"/>
    <w:tmpl w:val="E500C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14273C"/>
    <w:multiLevelType w:val="multilevel"/>
    <w:tmpl w:val="BDCA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368715">
    <w:abstractNumId w:val="5"/>
  </w:num>
  <w:num w:numId="2" w16cid:durableId="1509059673">
    <w:abstractNumId w:val="0"/>
  </w:num>
  <w:num w:numId="3" w16cid:durableId="654839722">
    <w:abstractNumId w:val="8"/>
  </w:num>
  <w:num w:numId="4" w16cid:durableId="488643640">
    <w:abstractNumId w:val="1"/>
  </w:num>
  <w:num w:numId="5" w16cid:durableId="609044526">
    <w:abstractNumId w:val="3"/>
  </w:num>
  <w:num w:numId="6" w16cid:durableId="424688629">
    <w:abstractNumId w:val="6"/>
  </w:num>
  <w:num w:numId="7" w16cid:durableId="7831140">
    <w:abstractNumId w:val="9"/>
  </w:num>
  <w:num w:numId="8" w16cid:durableId="2005354419">
    <w:abstractNumId w:val="4"/>
  </w:num>
  <w:num w:numId="9" w16cid:durableId="673924591">
    <w:abstractNumId w:val="7"/>
  </w:num>
  <w:num w:numId="10" w16cid:durableId="829255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D17"/>
    <w:rsid w:val="002721F7"/>
    <w:rsid w:val="00712055"/>
    <w:rsid w:val="009806B1"/>
    <w:rsid w:val="00C426DE"/>
    <w:rsid w:val="00D77E4A"/>
    <w:rsid w:val="00E01D17"/>
    <w:rsid w:val="00F64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BB6CB"/>
  <w15:chartTrackingRefBased/>
  <w15:docId w15:val="{F6E04663-DCEE-4FB0-8728-F6DF75A4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1D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1D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1D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1D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1D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1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D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1D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1D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1D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1D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1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D17"/>
    <w:rPr>
      <w:rFonts w:eastAsiaTheme="majorEastAsia" w:cstheme="majorBidi"/>
      <w:color w:val="272727" w:themeColor="text1" w:themeTint="D8"/>
    </w:rPr>
  </w:style>
  <w:style w:type="paragraph" w:styleId="Title">
    <w:name w:val="Title"/>
    <w:basedOn w:val="Normal"/>
    <w:next w:val="Normal"/>
    <w:link w:val="TitleChar"/>
    <w:uiPriority w:val="10"/>
    <w:qFormat/>
    <w:rsid w:val="00E01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D17"/>
    <w:pPr>
      <w:spacing w:before="160"/>
      <w:jc w:val="center"/>
    </w:pPr>
    <w:rPr>
      <w:i/>
      <w:iCs/>
      <w:color w:val="404040" w:themeColor="text1" w:themeTint="BF"/>
    </w:rPr>
  </w:style>
  <w:style w:type="character" w:customStyle="1" w:styleId="QuoteChar">
    <w:name w:val="Quote Char"/>
    <w:basedOn w:val="DefaultParagraphFont"/>
    <w:link w:val="Quote"/>
    <w:uiPriority w:val="29"/>
    <w:rsid w:val="00E01D17"/>
    <w:rPr>
      <w:i/>
      <w:iCs/>
      <w:color w:val="404040" w:themeColor="text1" w:themeTint="BF"/>
    </w:rPr>
  </w:style>
  <w:style w:type="paragraph" w:styleId="ListParagraph">
    <w:name w:val="List Paragraph"/>
    <w:basedOn w:val="Normal"/>
    <w:uiPriority w:val="34"/>
    <w:qFormat/>
    <w:rsid w:val="00E01D17"/>
    <w:pPr>
      <w:ind w:left="720"/>
      <w:contextualSpacing/>
    </w:pPr>
  </w:style>
  <w:style w:type="character" w:styleId="IntenseEmphasis">
    <w:name w:val="Intense Emphasis"/>
    <w:basedOn w:val="DefaultParagraphFont"/>
    <w:uiPriority w:val="21"/>
    <w:qFormat/>
    <w:rsid w:val="00E01D17"/>
    <w:rPr>
      <w:i/>
      <w:iCs/>
      <w:color w:val="2F5496" w:themeColor="accent1" w:themeShade="BF"/>
    </w:rPr>
  </w:style>
  <w:style w:type="paragraph" w:styleId="IntenseQuote">
    <w:name w:val="Intense Quote"/>
    <w:basedOn w:val="Normal"/>
    <w:next w:val="Normal"/>
    <w:link w:val="IntenseQuoteChar"/>
    <w:uiPriority w:val="30"/>
    <w:qFormat/>
    <w:rsid w:val="00E01D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1D17"/>
    <w:rPr>
      <w:i/>
      <w:iCs/>
      <w:color w:val="2F5496" w:themeColor="accent1" w:themeShade="BF"/>
    </w:rPr>
  </w:style>
  <w:style w:type="character" w:styleId="IntenseReference">
    <w:name w:val="Intense Reference"/>
    <w:basedOn w:val="DefaultParagraphFont"/>
    <w:uiPriority w:val="32"/>
    <w:qFormat/>
    <w:rsid w:val="00E01D1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1827</Words>
  <Characters>10419</Characters>
  <Application>Microsoft Office Word</Application>
  <DocSecurity>0</DocSecurity>
  <Lines>86</Lines>
  <Paragraphs>24</Paragraphs>
  <ScaleCrop>false</ScaleCrop>
  <Company/>
  <LinksUpToDate>false</LinksUpToDate>
  <CharactersWithSpaces>12222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2026-08-23T16:53:00Z</dcterms:created>
  <dcterms:modified xsi:type="dcterms:W3CDTF">2026-08-30T11:29:00Z</dcterms:modified>
</cp:coreProperties>
</file>