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6FB93" w14:textId="77777777" w:rsidR="00BF00DD" w:rsidRPr="00C051CA" w:rsidRDefault="00000000">
      <w:pPr>
        <w:spacing w:after="200"/>
        <w:jc w:val="center"/>
        <w:rPr>
          <w:rFonts w:ascii="Calibri" w:hAnsi="Calibri" w:cs="Calibri"/>
        </w:rPr>
      </w:pPr>
      <w:r w:rsidRPr="00C051CA">
        <w:rPr>
          <w:rFonts w:ascii="Calibri" w:hAnsi="Calibri" w:cs="Calibri"/>
          <w:b/>
          <w:sz w:val="32"/>
        </w:rPr>
        <w:t>SUPPLEMENTARY INFORMATION</w:t>
      </w:r>
    </w:p>
    <w:p w14:paraId="151E2A8B" w14:textId="66E5635C" w:rsidR="00BF00DD" w:rsidRPr="00C051CA" w:rsidRDefault="00000000" w:rsidP="00C71197">
      <w:pPr>
        <w:spacing w:after="240"/>
        <w:jc w:val="center"/>
        <w:rPr>
          <w:rFonts w:ascii="Calibri" w:hAnsi="Calibri" w:cs="Calibri"/>
        </w:rPr>
      </w:pPr>
      <w:r w:rsidRPr="00C051CA">
        <w:rPr>
          <w:rFonts w:ascii="Calibri" w:hAnsi="Calibri" w:cs="Calibri"/>
          <w:b/>
          <w:sz w:val="28"/>
        </w:rPr>
        <w:t xml:space="preserve">JUNIPER-Europe </w:t>
      </w:r>
      <w:r w:rsidR="00C71197" w:rsidRPr="00C71197">
        <w:rPr>
          <w:rFonts w:ascii="Calibri" w:hAnsi="Calibri" w:cs="Calibri"/>
          <w:b/>
          <w:sz w:val="28"/>
        </w:rPr>
        <w:t xml:space="preserve">indicator-specific resource–environment nexus </w:t>
      </w:r>
      <w:r w:rsidRPr="00C051CA">
        <w:rPr>
          <w:rFonts w:ascii="Calibri" w:hAnsi="Calibri" w:cs="Calibri"/>
          <w:b/>
          <w:sz w:val="28"/>
        </w:rPr>
        <w:t>hotspots across six countries against a wider European reference</w:t>
      </w:r>
    </w:p>
    <w:p w14:paraId="4152DECD" w14:textId="77777777" w:rsidR="00BF00DD" w:rsidRPr="00C051CA" w:rsidRDefault="00000000">
      <w:pPr>
        <w:jc w:val="center"/>
        <w:rPr>
          <w:rFonts w:ascii="Calibri" w:hAnsi="Calibri" w:cs="Calibri"/>
        </w:rPr>
      </w:pPr>
      <w:r w:rsidRPr="00C051CA">
        <w:rPr>
          <w:rFonts w:ascii="Calibri" w:hAnsi="Calibri" w:cs="Calibri"/>
          <w:b/>
          <w:sz w:val="22"/>
        </w:rPr>
        <w:t>Alexandra E. Ioannou, Dorothea Kasiteropoulou, Konstantinos Ziliaskopoulos, and Chrysi S. Laspidou</w:t>
      </w:r>
    </w:p>
    <w:p w14:paraId="233A432E" w14:textId="77777777" w:rsidR="00BF00DD" w:rsidRPr="00C051CA" w:rsidRDefault="00000000">
      <w:pPr>
        <w:jc w:val="center"/>
        <w:rPr>
          <w:rFonts w:ascii="Calibri" w:hAnsi="Calibri" w:cs="Calibri"/>
        </w:rPr>
      </w:pPr>
      <w:r w:rsidRPr="00C051CA">
        <w:rPr>
          <w:rFonts w:ascii="Calibri" w:hAnsi="Calibri" w:cs="Calibri"/>
          <w:i/>
          <w:sz w:val="19"/>
        </w:rPr>
        <w:t>Correspondence: laspidou@uth.gr</w:t>
      </w:r>
    </w:p>
    <w:p w14:paraId="0D2FF3FC" w14:textId="77777777" w:rsidR="00BF00DD" w:rsidRPr="00C051CA" w:rsidRDefault="00000000">
      <w:pPr>
        <w:spacing w:before="280"/>
        <w:rPr>
          <w:rFonts w:ascii="Calibri" w:hAnsi="Calibri" w:cs="Calibri"/>
        </w:rPr>
      </w:pPr>
      <w:r w:rsidRPr="00C051CA">
        <w:rPr>
          <w:rFonts w:ascii="Calibri" w:hAnsi="Calibri" w:cs="Calibri"/>
          <w:b/>
          <w:sz w:val="25"/>
        </w:rPr>
        <w:t>Contents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2835"/>
        <w:gridCol w:w="6520"/>
      </w:tblGrid>
      <w:tr w:rsidR="00C051CA" w:rsidRPr="00C051CA" w14:paraId="429E7484" w14:textId="77777777">
        <w:trPr>
          <w:cantSplit/>
          <w:tblHeader/>
          <w:jc w:val="center"/>
        </w:trPr>
        <w:tc>
          <w:tcPr>
            <w:tcW w:w="2835" w:type="dxa"/>
            <w:shd w:val="clear" w:color="auto" w:fill="1F4E79"/>
            <w:tcMar>
              <w:top w:w="70" w:type="dxa"/>
              <w:left w:w="80" w:type="dxa"/>
              <w:bottom w:w="70" w:type="dxa"/>
              <w:right w:w="80" w:type="dxa"/>
            </w:tcMar>
            <w:vAlign w:val="center"/>
          </w:tcPr>
          <w:p w14:paraId="03AFCDD6" w14:textId="77777777" w:rsidR="00BF00DD" w:rsidRPr="00C051CA" w:rsidRDefault="00000000">
            <w:pPr>
              <w:spacing w:after="0" w:line="240" w:lineRule="auto"/>
              <w:rPr>
                <w:rFonts w:ascii="Calibri" w:hAnsi="Calibri" w:cs="Calibri"/>
              </w:rPr>
            </w:pPr>
            <w:r w:rsidRPr="00C051CA">
              <w:rPr>
                <w:rFonts w:ascii="Calibri" w:hAnsi="Calibri" w:cs="Calibri"/>
                <w:b/>
                <w:sz w:val="18"/>
              </w:rPr>
              <w:t>Item</w:t>
            </w:r>
          </w:p>
        </w:tc>
        <w:tc>
          <w:tcPr>
            <w:tcW w:w="6520" w:type="dxa"/>
            <w:shd w:val="clear" w:color="auto" w:fill="1F4E79"/>
            <w:tcMar>
              <w:top w:w="70" w:type="dxa"/>
              <w:left w:w="80" w:type="dxa"/>
              <w:bottom w:w="70" w:type="dxa"/>
              <w:right w:w="80" w:type="dxa"/>
            </w:tcMar>
            <w:vAlign w:val="center"/>
          </w:tcPr>
          <w:p w14:paraId="0A784291" w14:textId="77777777" w:rsidR="00BF00DD" w:rsidRPr="00C051CA" w:rsidRDefault="00000000">
            <w:pPr>
              <w:spacing w:after="0" w:line="240" w:lineRule="auto"/>
              <w:rPr>
                <w:rFonts w:ascii="Calibri" w:hAnsi="Calibri" w:cs="Calibri"/>
              </w:rPr>
            </w:pPr>
            <w:r w:rsidRPr="00C051CA">
              <w:rPr>
                <w:rFonts w:ascii="Calibri" w:hAnsi="Calibri" w:cs="Calibri"/>
                <w:b/>
                <w:sz w:val="18"/>
              </w:rPr>
              <w:t>Contents</w:t>
            </w:r>
          </w:p>
        </w:tc>
      </w:tr>
      <w:tr w:rsidR="00C051CA" w:rsidRPr="00C051CA" w14:paraId="30F86DD2" w14:textId="77777777">
        <w:trPr>
          <w:cantSplit/>
          <w:jc w:val="center"/>
        </w:trPr>
        <w:tc>
          <w:tcPr>
            <w:tcW w:w="2835" w:type="dxa"/>
            <w:tcMar>
              <w:top w:w="70" w:type="dxa"/>
              <w:left w:w="80" w:type="dxa"/>
              <w:bottom w:w="70" w:type="dxa"/>
              <w:right w:w="80" w:type="dxa"/>
            </w:tcMar>
            <w:vAlign w:val="center"/>
          </w:tcPr>
          <w:p w14:paraId="53E8BC80" w14:textId="77777777" w:rsidR="00BF00DD" w:rsidRPr="00C051CA" w:rsidRDefault="00000000">
            <w:pPr>
              <w:spacing w:after="0" w:line="240" w:lineRule="auto"/>
              <w:rPr>
                <w:rFonts w:ascii="Calibri" w:hAnsi="Calibri" w:cs="Calibri"/>
              </w:rPr>
            </w:pPr>
            <w:r w:rsidRPr="00C051CA">
              <w:rPr>
                <w:rFonts w:ascii="Calibri" w:hAnsi="Calibri" w:cs="Calibri"/>
                <w:sz w:val="18"/>
              </w:rPr>
              <w:t>Supplementary Methods</w:t>
            </w:r>
          </w:p>
        </w:tc>
        <w:tc>
          <w:tcPr>
            <w:tcW w:w="6520" w:type="dxa"/>
            <w:tcMar>
              <w:top w:w="70" w:type="dxa"/>
              <w:left w:w="80" w:type="dxa"/>
              <w:bottom w:w="70" w:type="dxa"/>
              <w:right w:w="80" w:type="dxa"/>
            </w:tcMar>
            <w:vAlign w:val="center"/>
          </w:tcPr>
          <w:p w14:paraId="22945E75" w14:textId="41610FA7" w:rsidR="00BF00DD" w:rsidRPr="00C051CA" w:rsidRDefault="00ED3A60" w:rsidP="00ED3A60">
            <w:pPr>
              <w:spacing w:after="0" w:line="240" w:lineRule="auto"/>
              <w:rPr>
                <w:rFonts w:ascii="Calibri" w:hAnsi="Calibri" w:cs="Calibri"/>
              </w:rPr>
            </w:pPr>
            <w:r w:rsidRPr="00C051CA">
              <w:rPr>
                <w:rFonts w:ascii="Calibri" w:hAnsi="Calibri" w:cs="Calibri"/>
                <w:sz w:val="18"/>
              </w:rPr>
              <w:t>Scope, human-system context, QoL interpretation, benchmarking conventions, and quality assurance</w:t>
            </w:r>
          </w:p>
        </w:tc>
      </w:tr>
      <w:tr w:rsidR="00C051CA" w:rsidRPr="00C051CA" w14:paraId="668DBD8A" w14:textId="77777777">
        <w:trPr>
          <w:cantSplit/>
          <w:jc w:val="center"/>
        </w:trPr>
        <w:tc>
          <w:tcPr>
            <w:tcW w:w="2835" w:type="dxa"/>
            <w:shd w:val="clear" w:color="auto" w:fill="EEF4F8"/>
            <w:tcMar>
              <w:top w:w="70" w:type="dxa"/>
              <w:left w:w="80" w:type="dxa"/>
              <w:bottom w:w="70" w:type="dxa"/>
              <w:right w:w="80" w:type="dxa"/>
            </w:tcMar>
            <w:vAlign w:val="center"/>
          </w:tcPr>
          <w:p w14:paraId="4599D76C" w14:textId="77777777" w:rsidR="00BF00DD" w:rsidRPr="00C051CA" w:rsidRDefault="00000000">
            <w:pPr>
              <w:spacing w:after="0" w:line="240" w:lineRule="auto"/>
              <w:rPr>
                <w:rFonts w:ascii="Calibri" w:hAnsi="Calibri" w:cs="Calibri"/>
              </w:rPr>
            </w:pPr>
            <w:r w:rsidRPr="00C051CA">
              <w:rPr>
                <w:rFonts w:ascii="Calibri" w:hAnsi="Calibri" w:cs="Calibri"/>
                <w:sz w:val="18"/>
              </w:rPr>
              <w:t>Supplementary Table S1</w:t>
            </w:r>
          </w:p>
        </w:tc>
        <w:tc>
          <w:tcPr>
            <w:tcW w:w="6520" w:type="dxa"/>
            <w:shd w:val="clear" w:color="auto" w:fill="EEF4F8"/>
            <w:tcMar>
              <w:top w:w="70" w:type="dxa"/>
              <w:left w:w="80" w:type="dxa"/>
              <w:bottom w:w="70" w:type="dxa"/>
              <w:right w:w="80" w:type="dxa"/>
            </w:tcMar>
            <w:vAlign w:val="center"/>
          </w:tcPr>
          <w:p w14:paraId="39EA24AC" w14:textId="03AA7D55" w:rsidR="00BF00DD" w:rsidRPr="00C051CA" w:rsidRDefault="00ED3A60" w:rsidP="00ED3A60">
            <w:pPr>
              <w:spacing w:after="0" w:line="240" w:lineRule="auto"/>
              <w:rPr>
                <w:rFonts w:ascii="Calibri" w:hAnsi="Calibri" w:cs="Calibri"/>
              </w:rPr>
            </w:pPr>
            <w:r w:rsidRPr="00C051CA">
              <w:rPr>
                <w:rFonts w:ascii="Calibri" w:hAnsi="Calibri" w:cs="Calibri"/>
                <w:sz w:val="18"/>
              </w:rPr>
              <w:t>2019 national life-expectancy reference values and calibrated QoL proxy</w:t>
            </w:r>
          </w:p>
        </w:tc>
      </w:tr>
      <w:tr w:rsidR="00C051CA" w:rsidRPr="00C051CA" w14:paraId="25E6222A" w14:textId="77777777">
        <w:trPr>
          <w:cantSplit/>
          <w:jc w:val="center"/>
        </w:trPr>
        <w:tc>
          <w:tcPr>
            <w:tcW w:w="2835" w:type="dxa"/>
            <w:tcMar>
              <w:top w:w="70" w:type="dxa"/>
              <w:left w:w="80" w:type="dxa"/>
              <w:bottom w:w="70" w:type="dxa"/>
              <w:right w:w="80" w:type="dxa"/>
            </w:tcMar>
            <w:vAlign w:val="center"/>
          </w:tcPr>
          <w:p w14:paraId="66AD35EA" w14:textId="77777777" w:rsidR="00BF00DD" w:rsidRPr="00C051CA" w:rsidRDefault="00000000">
            <w:pPr>
              <w:spacing w:after="0" w:line="240" w:lineRule="auto"/>
              <w:rPr>
                <w:rFonts w:ascii="Calibri" w:hAnsi="Calibri" w:cs="Calibri"/>
              </w:rPr>
            </w:pPr>
            <w:r w:rsidRPr="00C051CA">
              <w:rPr>
                <w:rFonts w:ascii="Calibri" w:hAnsi="Calibri" w:cs="Calibri"/>
                <w:sz w:val="18"/>
              </w:rPr>
              <w:t>Supplementary Table S2</w:t>
            </w:r>
          </w:p>
        </w:tc>
        <w:tc>
          <w:tcPr>
            <w:tcW w:w="6520" w:type="dxa"/>
            <w:tcMar>
              <w:top w:w="70" w:type="dxa"/>
              <w:left w:w="80" w:type="dxa"/>
              <w:bottom w:w="70" w:type="dxa"/>
              <w:right w:w="80" w:type="dxa"/>
            </w:tcMar>
            <w:vAlign w:val="center"/>
          </w:tcPr>
          <w:p w14:paraId="1DFA4999" w14:textId="5927E1C2" w:rsidR="00BF00DD" w:rsidRPr="00C051CA" w:rsidRDefault="00ED3A60" w:rsidP="00ED3A60">
            <w:pPr>
              <w:spacing w:after="0" w:line="240" w:lineRule="auto"/>
              <w:rPr>
                <w:rFonts w:ascii="Calibri" w:hAnsi="Calibri" w:cs="Calibri"/>
              </w:rPr>
            </w:pPr>
            <w:r w:rsidRPr="00C051CA">
              <w:rPr>
                <w:rFonts w:ascii="Calibri" w:hAnsi="Calibri" w:cs="Calibri"/>
                <w:sz w:val="18"/>
              </w:rPr>
              <w:t>Human-system quantities and interpretive boundaries</w:t>
            </w:r>
          </w:p>
        </w:tc>
      </w:tr>
      <w:tr w:rsidR="00C051CA" w:rsidRPr="00C051CA" w14:paraId="48446759" w14:textId="77777777">
        <w:trPr>
          <w:cantSplit/>
          <w:jc w:val="center"/>
        </w:trPr>
        <w:tc>
          <w:tcPr>
            <w:tcW w:w="2835" w:type="dxa"/>
            <w:shd w:val="clear" w:color="auto" w:fill="EEF4F8"/>
            <w:tcMar>
              <w:top w:w="70" w:type="dxa"/>
              <w:left w:w="80" w:type="dxa"/>
              <w:bottom w:w="70" w:type="dxa"/>
              <w:right w:w="80" w:type="dxa"/>
            </w:tcMar>
            <w:vAlign w:val="center"/>
          </w:tcPr>
          <w:p w14:paraId="08B965DA" w14:textId="77777777" w:rsidR="00BF00DD" w:rsidRPr="00C051CA" w:rsidRDefault="00000000">
            <w:pPr>
              <w:spacing w:after="0" w:line="240" w:lineRule="auto"/>
              <w:rPr>
                <w:rFonts w:ascii="Calibri" w:hAnsi="Calibri" w:cs="Calibri"/>
              </w:rPr>
            </w:pPr>
            <w:r w:rsidRPr="00C051CA">
              <w:rPr>
                <w:rFonts w:ascii="Calibri" w:hAnsi="Calibri" w:cs="Calibri"/>
                <w:sz w:val="18"/>
              </w:rPr>
              <w:t>Supplementary Table S3</w:t>
            </w:r>
          </w:p>
        </w:tc>
        <w:tc>
          <w:tcPr>
            <w:tcW w:w="6520" w:type="dxa"/>
            <w:shd w:val="clear" w:color="auto" w:fill="EEF4F8"/>
            <w:tcMar>
              <w:top w:w="70" w:type="dxa"/>
              <w:left w:w="80" w:type="dxa"/>
              <w:bottom w:w="70" w:type="dxa"/>
              <w:right w:w="80" w:type="dxa"/>
            </w:tcMar>
            <w:vAlign w:val="center"/>
          </w:tcPr>
          <w:p w14:paraId="4B84FF56" w14:textId="77777777" w:rsidR="00BF00DD" w:rsidRPr="00C051CA" w:rsidRDefault="00000000">
            <w:pPr>
              <w:spacing w:after="0" w:line="240" w:lineRule="auto"/>
              <w:rPr>
                <w:rFonts w:ascii="Calibri" w:hAnsi="Calibri" w:cs="Calibri"/>
              </w:rPr>
            </w:pPr>
            <w:r w:rsidRPr="00C051CA">
              <w:rPr>
                <w:rFonts w:ascii="Calibri" w:hAnsi="Calibri" w:cs="Calibri"/>
                <w:sz w:val="18"/>
              </w:rPr>
              <w:t>QoL components and aggregation roles</w:t>
            </w:r>
          </w:p>
        </w:tc>
      </w:tr>
      <w:tr w:rsidR="00C051CA" w:rsidRPr="00C051CA" w14:paraId="17CCE7AF" w14:textId="77777777">
        <w:trPr>
          <w:cantSplit/>
          <w:jc w:val="center"/>
        </w:trPr>
        <w:tc>
          <w:tcPr>
            <w:tcW w:w="2835" w:type="dxa"/>
            <w:tcMar>
              <w:top w:w="70" w:type="dxa"/>
              <w:left w:w="80" w:type="dxa"/>
              <w:bottom w:w="70" w:type="dxa"/>
              <w:right w:w="80" w:type="dxa"/>
            </w:tcMar>
            <w:vAlign w:val="center"/>
          </w:tcPr>
          <w:p w14:paraId="033DAAC3" w14:textId="77777777" w:rsidR="00BF00DD" w:rsidRPr="00C051CA" w:rsidRDefault="00000000">
            <w:pPr>
              <w:spacing w:after="0" w:line="240" w:lineRule="auto"/>
              <w:rPr>
                <w:rFonts w:ascii="Calibri" w:hAnsi="Calibri" w:cs="Calibri"/>
              </w:rPr>
            </w:pPr>
            <w:r w:rsidRPr="00C051CA">
              <w:rPr>
                <w:rFonts w:ascii="Calibri" w:hAnsi="Calibri" w:cs="Calibri"/>
                <w:sz w:val="18"/>
              </w:rPr>
              <w:t>Supplementary Table S4</w:t>
            </w:r>
          </w:p>
        </w:tc>
        <w:tc>
          <w:tcPr>
            <w:tcW w:w="6520" w:type="dxa"/>
            <w:tcMar>
              <w:top w:w="70" w:type="dxa"/>
              <w:left w:w="80" w:type="dxa"/>
              <w:bottom w:w="70" w:type="dxa"/>
              <w:right w:w="80" w:type="dxa"/>
            </w:tcMar>
            <w:vAlign w:val="center"/>
          </w:tcPr>
          <w:p w14:paraId="6FCC9DC1" w14:textId="77777777" w:rsidR="00BF00DD" w:rsidRPr="00C051CA" w:rsidRDefault="00000000">
            <w:pPr>
              <w:spacing w:after="0" w:line="240" w:lineRule="auto"/>
              <w:rPr>
                <w:rFonts w:ascii="Calibri" w:hAnsi="Calibri" w:cs="Calibri"/>
              </w:rPr>
            </w:pPr>
            <w:r w:rsidRPr="00C051CA">
              <w:rPr>
                <w:rFonts w:ascii="Calibri" w:hAnsi="Calibri" w:cs="Calibri"/>
                <w:sz w:val="18"/>
              </w:rPr>
              <w:t>Evidence role and intended interpretation of benchmark outputs</w:t>
            </w:r>
          </w:p>
        </w:tc>
      </w:tr>
      <w:tr w:rsidR="00BF00DD" w:rsidRPr="00C051CA" w14:paraId="50C845B6" w14:textId="77777777">
        <w:trPr>
          <w:cantSplit/>
          <w:jc w:val="center"/>
        </w:trPr>
        <w:tc>
          <w:tcPr>
            <w:tcW w:w="2835" w:type="dxa"/>
            <w:shd w:val="clear" w:color="auto" w:fill="EEF4F8"/>
            <w:tcMar>
              <w:top w:w="70" w:type="dxa"/>
              <w:left w:w="80" w:type="dxa"/>
              <w:bottom w:w="70" w:type="dxa"/>
              <w:right w:w="80" w:type="dxa"/>
            </w:tcMar>
            <w:vAlign w:val="center"/>
          </w:tcPr>
          <w:p w14:paraId="2AE0E4A4" w14:textId="77777777" w:rsidR="00BF00DD" w:rsidRPr="00C051CA" w:rsidRDefault="00000000">
            <w:pPr>
              <w:spacing w:after="0" w:line="240" w:lineRule="auto"/>
              <w:rPr>
                <w:rFonts w:ascii="Calibri" w:hAnsi="Calibri" w:cs="Calibri"/>
              </w:rPr>
            </w:pPr>
            <w:r w:rsidRPr="00C051CA">
              <w:rPr>
                <w:rFonts w:ascii="Calibri" w:hAnsi="Calibri" w:cs="Calibri"/>
                <w:sz w:val="18"/>
              </w:rPr>
              <w:t>Supplementary Table S5</w:t>
            </w:r>
          </w:p>
        </w:tc>
        <w:tc>
          <w:tcPr>
            <w:tcW w:w="6520" w:type="dxa"/>
            <w:shd w:val="clear" w:color="auto" w:fill="EEF4F8"/>
            <w:tcMar>
              <w:top w:w="70" w:type="dxa"/>
              <w:left w:w="80" w:type="dxa"/>
              <w:bottom w:w="70" w:type="dxa"/>
              <w:right w:w="80" w:type="dxa"/>
            </w:tcMar>
            <w:vAlign w:val="center"/>
          </w:tcPr>
          <w:p w14:paraId="10B026AC" w14:textId="77777777" w:rsidR="00BF00DD" w:rsidRPr="00C051CA" w:rsidRDefault="00000000">
            <w:pPr>
              <w:spacing w:after="0" w:line="240" w:lineRule="auto"/>
              <w:rPr>
                <w:rFonts w:ascii="Calibri" w:hAnsi="Calibri" w:cs="Calibri"/>
              </w:rPr>
            </w:pPr>
            <w:r w:rsidRPr="00C051CA">
              <w:rPr>
                <w:rFonts w:ascii="Calibri" w:hAnsi="Calibri" w:cs="Calibri"/>
                <w:sz w:val="18"/>
              </w:rPr>
              <w:t>Cross-implementation quality-control checks</w:t>
            </w:r>
          </w:p>
        </w:tc>
      </w:tr>
    </w:tbl>
    <w:p w14:paraId="2E273DEC" w14:textId="77777777" w:rsidR="00BF00DD" w:rsidRPr="00C051CA" w:rsidRDefault="00BF00DD">
      <w:pPr>
        <w:spacing w:after="40"/>
        <w:rPr>
          <w:rFonts w:ascii="Calibri" w:hAnsi="Calibri" w:cs="Calibri"/>
        </w:rPr>
      </w:pPr>
    </w:p>
    <w:p w14:paraId="114A605D" w14:textId="77777777" w:rsidR="00BB0628" w:rsidRPr="00C051CA" w:rsidRDefault="00000000" w:rsidP="00BB0628">
      <w:pPr>
        <w:spacing w:after="120" w:line="240" w:lineRule="auto"/>
        <w:ind w:left="283" w:right="283"/>
        <w:rPr>
          <w:rFonts w:ascii="Calibri" w:hAnsi="Calibri" w:cs="Calibri"/>
          <w:i/>
          <w:sz w:val="18"/>
        </w:rPr>
      </w:pPr>
      <w:r w:rsidRPr="00C051CA">
        <w:rPr>
          <w:rFonts w:ascii="Calibri" w:hAnsi="Calibri" w:cs="Calibri"/>
          <w:b/>
          <w:i/>
          <w:sz w:val="18"/>
        </w:rPr>
        <w:t xml:space="preserve">Note. </w:t>
      </w:r>
      <w:r w:rsidRPr="00C051CA">
        <w:rPr>
          <w:rFonts w:ascii="Calibri" w:hAnsi="Calibri" w:cs="Calibri"/>
          <w:i/>
          <w:sz w:val="18"/>
        </w:rPr>
        <w:t xml:space="preserve">Reference numbers in this Supplementary Information correspond to the reference list in the main manuscript. </w:t>
      </w:r>
      <w:r w:rsidR="00016DAE" w:rsidRPr="00C051CA">
        <w:rPr>
          <w:rFonts w:ascii="Calibri" w:hAnsi="Calibri" w:cs="Calibri"/>
          <w:i/>
          <w:sz w:val="18"/>
        </w:rPr>
        <w:t>This file provides interpretive and quality-assurance detail; the final quality-controlled output matrix and figure-source data are available from the corresponding author on reasonable request.</w:t>
      </w:r>
    </w:p>
    <w:p w14:paraId="6D5F776B" w14:textId="77777777" w:rsidR="00BB0628" w:rsidRPr="00C051CA" w:rsidRDefault="00BB0628" w:rsidP="00BB0628">
      <w:pPr>
        <w:pStyle w:val="Heading1"/>
        <w:rPr>
          <w:rFonts w:ascii="Calibri" w:hAnsi="Calibri" w:cs="Calibri"/>
          <w:color w:val="auto"/>
        </w:rPr>
      </w:pPr>
      <w:r w:rsidRPr="00C051CA">
        <w:rPr>
          <w:rFonts w:ascii="Calibri" w:hAnsi="Calibri" w:cs="Calibri"/>
          <w:color w:val="auto"/>
        </w:rPr>
        <w:t>Supplementary Methods</w:t>
      </w:r>
    </w:p>
    <w:p w14:paraId="02754773" w14:textId="77777777" w:rsidR="00BB0628" w:rsidRPr="00C051CA" w:rsidRDefault="00BB0628" w:rsidP="00BB0628">
      <w:pPr>
        <w:pStyle w:val="Heading2"/>
        <w:rPr>
          <w:rFonts w:ascii="Calibri" w:hAnsi="Calibri" w:cs="Calibri"/>
          <w:color w:val="auto"/>
        </w:rPr>
      </w:pPr>
      <w:r w:rsidRPr="00C051CA">
        <w:rPr>
          <w:rFonts w:ascii="Calibri" w:hAnsi="Calibri" w:cs="Calibri"/>
          <w:color w:val="auto"/>
        </w:rPr>
        <w:t>Purpose and scope</w:t>
      </w:r>
    </w:p>
    <w:p w14:paraId="6842B8C1" w14:textId="77777777" w:rsidR="00BB0628" w:rsidRPr="00C051CA" w:rsidRDefault="00BB0628" w:rsidP="00BB0628">
      <w:pPr>
        <w:jc w:val="both"/>
        <w:rPr>
          <w:rFonts w:ascii="Calibri" w:hAnsi="Calibri" w:cs="Calibri"/>
        </w:rPr>
      </w:pPr>
      <w:r w:rsidRPr="00C051CA">
        <w:rPr>
          <w:rFonts w:ascii="Calibri" w:hAnsi="Calibri" w:cs="Calibri"/>
        </w:rPr>
        <w:t>This Supplementary Information supports the interpretation of the 2019 JUNIPER-Europe benchmark reported in the main manuscript. It does not introduce additional scenarios, re-estimate model parameters, or alter the numerical results. The analysis compares six national implementations—Greece, the United Kingdom, Finland, Czechia, Spain, and Romania—with a wider European reference covering the EU-27, Norway, Switzerland, and the United Kingdom. Because each national case is contained within the reference geography, national-to-reference deviations are descriptive and are not statistically independent contrasts.</w:t>
      </w:r>
    </w:p>
    <w:p w14:paraId="62B6A3DF" w14:textId="77777777" w:rsidR="00BB0628" w:rsidRPr="00C051CA" w:rsidRDefault="00BB0628" w:rsidP="00BB0628">
      <w:pPr>
        <w:jc w:val="both"/>
        <w:rPr>
          <w:rFonts w:ascii="Calibri" w:hAnsi="Calibri" w:cs="Calibri"/>
        </w:rPr>
      </w:pPr>
      <w:r w:rsidRPr="00C051CA">
        <w:rPr>
          <w:rFonts w:ascii="Calibri" w:hAnsi="Calibri" w:cs="Calibri"/>
        </w:rPr>
        <w:t xml:space="preserve">The 2019 values arise from structurally consistent historical implementations covering 2000–2019. The historical runs are used as </w:t>
      </w:r>
      <w:proofErr w:type="spellStart"/>
      <w:r w:rsidRPr="00C051CA">
        <w:rPr>
          <w:rFonts w:ascii="Calibri" w:hAnsi="Calibri" w:cs="Calibri"/>
        </w:rPr>
        <w:t>harmonised</w:t>
      </w:r>
      <w:proofErr w:type="spellEnd"/>
      <w:r w:rsidRPr="00C051CA">
        <w:rPr>
          <w:rFonts w:ascii="Calibri" w:hAnsi="Calibri" w:cs="Calibri"/>
        </w:rPr>
        <w:t xml:space="preserve"> comparative replays rather than as out-of-sample predictive forecasts. Indicator definitions, directionality rules, arithmetic transformations, and the common baseline year were held constant across implementations. The model architecture and the evaluation logic for the original Greece implementation are described in the model-introduction study [31].</w:t>
      </w:r>
    </w:p>
    <w:p w14:paraId="15FF124D" w14:textId="7BCC178B" w:rsidR="00780387" w:rsidRPr="00C051CA" w:rsidRDefault="00780387" w:rsidP="00BB0628">
      <w:pPr>
        <w:pStyle w:val="Heading2"/>
        <w:rPr>
          <w:rFonts w:ascii="Calibri" w:hAnsi="Calibri" w:cs="Calibri"/>
          <w:color w:val="auto"/>
        </w:rPr>
      </w:pPr>
      <w:r w:rsidRPr="00C051CA">
        <w:rPr>
          <w:rFonts w:ascii="Calibri" w:hAnsi="Calibri" w:cs="Calibri"/>
          <w:color w:val="auto"/>
        </w:rPr>
        <w:t>Human-system context and Quality of Life interpretation</w:t>
      </w:r>
    </w:p>
    <w:p w14:paraId="793C7268" w14:textId="0D589A8C" w:rsidR="00780387" w:rsidRPr="00C051CA" w:rsidRDefault="00780387" w:rsidP="00780387">
      <w:pPr>
        <w:jc w:val="both"/>
        <w:rPr>
          <w:rFonts w:ascii="Calibri" w:hAnsi="Calibri" w:cs="Calibri"/>
        </w:rPr>
      </w:pPr>
      <w:r w:rsidRPr="00C051CA">
        <w:rPr>
          <w:rFonts w:ascii="Calibri" w:hAnsi="Calibri" w:cs="Calibri"/>
        </w:rPr>
        <w:t xml:space="preserve">The human-system comparison in the main manuscript reports two distinct quantities. First, the 2019 national life-expectancy reference-series values embedded in the six national implementations are presented only as external contextual data. They are not simulated JUNIPER outputs, are not independent validation targets, and are not used in the national-to-European-reference deviation analysis because no directly equivalent life-expectancy value was defined for the wider European reference geography. Second, the calibrated Quality of Life (QoL) proxy is retained as the comparative JUNIPER human-system output. Supplementary Table S1 reports the values presented in Fig. 6, while Supplementary Table S2 </w:t>
      </w:r>
      <w:proofErr w:type="spellStart"/>
      <w:r w:rsidRPr="00C051CA">
        <w:rPr>
          <w:rFonts w:ascii="Calibri" w:hAnsi="Calibri" w:cs="Calibri"/>
        </w:rPr>
        <w:t>summarises</w:t>
      </w:r>
      <w:proofErr w:type="spellEnd"/>
      <w:r w:rsidRPr="00C051CA">
        <w:rPr>
          <w:rFonts w:ascii="Calibri" w:hAnsi="Calibri" w:cs="Calibri"/>
        </w:rPr>
        <w:t xml:space="preserve"> their analytical role and interpretive boundaries.</w:t>
      </w:r>
    </w:p>
    <w:p w14:paraId="1F11CB31" w14:textId="428F7EC5" w:rsidR="00BB0628" w:rsidRPr="00C051CA" w:rsidRDefault="00BB0628" w:rsidP="00BB0628">
      <w:pPr>
        <w:pStyle w:val="Heading2"/>
        <w:rPr>
          <w:rFonts w:ascii="Calibri" w:hAnsi="Calibri" w:cs="Calibri"/>
          <w:color w:val="auto"/>
        </w:rPr>
      </w:pPr>
      <w:r w:rsidRPr="00C051CA">
        <w:rPr>
          <w:rFonts w:ascii="Calibri" w:hAnsi="Calibri" w:cs="Calibri"/>
          <w:color w:val="auto"/>
        </w:rPr>
        <w:t>Quality of Life proxy</w:t>
      </w:r>
    </w:p>
    <w:p w14:paraId="08ACD286" w14:textId="7C027024" w:rsidR="00BB0628" w:rsidRPr="00C051CA" w:rsidRDefault="00725DAC" w:rsidP="00725DAC">
      <w:pPr>
        <w:jc w:val="both"/>
        <w:rPr>
          <w:rFonts w:ascii="Calibri" w:hAnsi="Calibri" w:cs="Calibri"/>
        </w:rPr>
      </w:pPr>
      <w:r w:rsidRPr="00725DAC">
        <w:rPr>
          <w:rFonts w:ascii="Calibri" w:hAnsi="Calibri" w:cs="Calibri"/>
        </w:rPr>
        <w:t>The QoL output is a semi-endogenous composite of eight living-conditions components. The aggregation rule implemented in JUNIPER is given by Equation (S1):</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19"/>
        <w:gridCol w:w="4819"/>
      </w:tblGrid>
      <w:tr w:rsidR="00C051CA" w:rsidRPr="00C051CA" w14:paraId="76E41D4A" w14:textId="77777777" w:rsidTr="00623EB8">
        <w:trPr>
          <w:jc w:val="center"/>
        </w:trPr>
        <w:tc>
          <w:tcPr>
            <w:tcW w:w="4819" w:type="dxa"/>
          </w:tcPr>
          <w:p w14:paraId="6915093D" w14:textId="34697E60" w:rsidR="00BB0628" w:rsidRPr="00C051CA" w:rsidRDefault="00E30D16" w:rsidP="00623EB8">
            <w:pPr>
              <w:jc w:val="center"/>
              <w:rPr>
                <w:rFonts w:ascii="Calibri" w:hAnsi="Calibri" w:cs="Calibri"/>
              </w:rPr>
            </w:pPr>
            <m:oMathPara>
              <m:oMath>
                <m:sSub>
                  <m:sSubPr>
                    <m:ctrlPr>
                      <w:rPr>
                        <w:rFonts w:ascii="Cambria Math" w:hAnsi="Cambria Math" w:cs="Calibri"/>
                        <w:i/>
                      </w:rPr>
                    </m:ctrlPr>
                  </m:sSubPr>
                  <m:e>
                    <m:r>
                      <w:rPr>
                        <w:rFonts w:ascii="Cambria Math" w:hAnsi="Cambria Math" w:cs="Calibri"/>
                      </w:rPr>
                      <m:t>QoL</m:t>
                    </m:r>
                  </m:e>
                  <m:sub>
                    <m:r>
                      <w:rPr>
                        <w:rFonts w:ascii="Cambria Math" w:hAnsi="Cambria Math" w:cs="Calibri"/>
                      </w:rPr>
                      <m:t>t</m:t>
                    </m:r>
                  </m:sub>
                </m:sSub>
                <m:r>
                  <w:rPr>
                    <w:rFonts w:ascii="Cambria Math" w:hAnsi="Cambria Math" w:cs="Calibri"/>
                  </w:rPr>
                  <m:t>=100+</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PP</m:t>
                        </m:r>
                      </m:e>
                      <m:sub>
                        <m:r>
                          <w:rPr>
                            <w:rFonts w:ascii="Cambria Math" w:hAnsi="Cambria Math" w:cs="Calibri"/>
                          </w:rPr>
                          <m:t>t</m:t>
                        </m:r>
                      </m:sub>
                    </m:sSub>
                  </m:num>
                  <m:den>
                    <m:r>
                      <w:rPr>
                        <w:rFonts w:ascii="Cambria Math" w:hAnsi="Cambria Math" w:cs="Calibri"/>
                      </w:rPr>
                      <m:t>2.5</m:t>
                    </m:r>
                  </m:den>
                </m:f>
                <m:r>
                  <w:rPr>
                    <w:rFonts w:ascii="Cambria Math" w:hAnsi="Cambria Math" w:cs="Calibri"/>
                  </w:rPr>
                  <m:t>-</m:t>
                </m:r>
                <m:sSub>
                  <m:sSubPr>
                    <m:ctrlPr>
                      <w:rPr>
                        <w:rFonts w:ascii="Cambria Math" w:hAnsi="Cambria Math" w:cs="Calibri"/>
                        <w:i/>
                      </w:rPr>
                    </m:ctrlPr>
                  </m:sSubPr>
                  <m:e>
                    <m:r>
                      <w:rPr>
                        <w:rFonts w:ascii="Cambria Math" w:hAnsi="Cambria Math" w:cs="Calibri"/>
                      </w:rPr>
                      <m:t>PPI</m:t>
                    </m:r>
                  </m:e>
                  <m:sub>
                    <m:r>
                      <w:rPr>
                        <w:rFonts w:ascii="Cambria Math" w:hAnsi="Cambria Math" w:cs="Calibri"/>
                      </w:rPr>
                      <m:t>t</m:t>
                    </m:r>
                  </m:sub>
                </m:sSub>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COL</m:t>
                        </m:r>
                      </m:e>
                      <m:sub>
                        <m:r>
                          <w:rPr>
                            <w:rFonts w:ascii="Cambria Math" w:hAnsi="Cambria Math" w:cs="Calibri"/>
                          </w:rPr>
                          <m:t>t</m:t>
                        </m:r>
                      </m:sub>
                    </m:sSub>
                  </m:num>
                  <m:den>
                    <m:r>
                      <w:rPr>
                        <w:rFonts w:ascii="Cambria Math" w:hAnsi="Cambria Math" w:cs="Calibri"/>
                      </w:rPr>
                      <m:t>10</m:t>
                    </m:r>
                  </m:den>
                </m:f>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SI</m:t>
                        </m:r>
                      </m:e>
                      <m:sub>
                        <m:r>
                          <w:rPr>
                            <w:rFonts w:ascii="Cambria Math" w:hAnsi="Cambria Math" w:cs="Calibri"/>
                          </w:rPr>
                          <m:t>t</m:t>
                        </m:r>
                      </m:sub>
                    </m:sSub>
                  </m:num>
                  <m:den>
                    <m:r>
                      <w:rPr>
                        <w:rFonts w:ascii="Cambria Math" w:hAnsi="Cambria Math" w:cs="Calibri"/>
                      </w:rPr>
                      <m:t>2</m:t>
                    </m:r>
                  </m:den>
                </m:f>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HCI</m:t>
                        </m:r>
                      </m:e>
                      <m:sub>
                        <m:r>
                          <w:rPr>
                            <w:rFonts w:ascii="Cambria Math" w:hAnsi="Cambria Math" w:cs="Calibri"/>
                          </w:rPr>
                          <m:t>t</m:t>
                        </m:r>
                      </m:sub>
                    </m:sSub>
                  </m:num>
                  <m:den>
                    <m:r>
                      <w:rPr>
                        <w:rFonts w:ascii="Cambria Math" w:hAnsi="Cambria Math" w:cs="Calibri"/>
                      </w:rPr>
                      <m:t>2</m:t>
                    </m:r>
                    <m:r>
                      <w:rPr>
                        <w:rFonts w:ascii="Cambria Math" w:hAnsi="Cambria Math" w:cs="Calibri"/>
                      </w:rPr>
                      <m:t>.5</m:t>
                    </m:r>
                  </m:den>
                </m:f>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TCTI</m:t>
                        </m:r>
                      </m:e>
                      <m:sub>
                        <m:r>
                          <w:rPr>
                            <w:rFonts w:ascii="Cambria Math" w:hAnsi="Cambria Math" w:cs="Calibri"/>
                          </w:rPr>
                          <m:t>t</m:t>
                        </m:r>
                      </m:sub>
                    </m:sSub>
                  </m:num>
                  <m:den>
                    <m:r>
                      <w:rPr>
                        <w:rFonts w:ascii="Cambria Math" w:hAnsi="Cambria Math" w:cs="Calibri"/>
                      </w:rPr>
                      <m:t>2</m:t>
                    </m:r>
                  </m:den>
                </m:f>
                <m:r>
                  <w:rPr>
                    <w:rFonts w:ascii="Cambria Math" w:hAnsi="Cambria Math" w:cs="Calibri"/>
                  </w:rPr>
                  <m:t>-2×</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P</m:t>
                        </m:r>
                        <m:r>
                          <w:rPr>
                            <w:rFonts w:ascii="Cambria Math" w:hAnsi="Cambria Math" w:cs="Calibri"/>
                          </w:rPr>
                          <m:t>I</m:t>
                        </m:r>
                      </m:e>
                      <m:sub>
                        <m:r>
                          <w:rPr>
                            <w:rFonts w:ascii="Cambria Math" w:hAnsi="Cambria Math" w:cs="Calibri"/>
                          </w:rPr>
                          <m:t>t</m:t>
                        </m:r>
                      </m:sub>
                    </m:sSub>
                  </m:num>
                  <m:den>
                    <m:r>
                      <w:rPr>
                        <w:rFonts w:ascii="Cambria Math" w:hAnsi="Cambria Math" w:cs="Calibri"/>
                      </w:rPr>
                      <m:t>3</m:t>
                    </m:r>
                  </m:den>
                </m:f>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CI</m:t>
                        </m:r>
                      </m:e>
                      <m:sub>
                        <m:r>
                          <w:rPr>
                            <w:rFonts w:ascii="Cambria Math" w:hAnsi="Cambria Math" w:cs="Calibri"/>
                          </w:rPr>
                          <m:t>t</m:t>
                        </m:r>
                      </m:sub>
                    </m:sSub>
                  </m:num>
                  <m:den>
                    <m:r>
                      <w:rPr>
                        <w:rFonts w:ascii="Cambria Math" w:hAnsi="Cambria Math" w:cs="Calibri"/>
                      </w:rPr>
                      <m:t>3</m:t>
                    </m:r>
                  </m:den>
                </m:f>
              </m:oMath>
            </m:oMathPara>
          </w:p>
        </w:tc>
        <w:tc>
          <w:tcPr>
            <w:tcW w:w="4819" w:type="dxa"/>
          </w:tcPr>
          <w:p w14:paraId="67104997" w14:textId="7DA26857" w:rsidR="00BB0628" w:rsidRPr="00C051CA" w:rsidRDefault="00BB0628" w:rsidP="00623EB8">
            <w:pPr>
              <w:jc w:val="right"/>
              <w:rPr>
                <w:rFonts w:ascii="Calibri" w:hAnsi="Calibri" w:cs="Calibri"/>
              </w:rPr>
            </w:pPr>
            <w:r w:rsidRPr="00C051CA">
              <w:rPr>
                <w:rFonts w:ascii="Calibri" w:hAnsi="Calibri" w:cs="Calibri"/>
                <w:sz w:val="23"/>
              </w:rPr>
              <w:t>(S</w:t>
            </w:r>
            <w:r w:rsidR="00780387" w:rsidRPr="00C051CA">
              <w:rPr>
                <w:rFonts w:ascii="Calibri" w:hAnsi="Calibri" w:cs="Calibri"/>
                <w:sz w:val="23"/>
              </w:rPr>
              <w:t>1</w:t>
            </w:r>
            <w:r w:rsidRPr="00C051CA">
              <w:rPr>
                <w:rFonts w:ascii="Calibri" w:hAnsi="Calibri" w:cs="Calibri"/>
                <w:sz w:val="23"/>
              </w:rPr>
              <w:t>)</w:t>
            </w:r>
          </w:p>
        </w:tc>
      </w:tr>
    </w:tbl>
    <w:p w14:paraId="28448E41" w14:textId="77777777" w:rsidR="00BB0628" w:rsidRPr="00C051CA" w:rsidRDefault="00BB0628" w:rsidP="00BB0628">
      <w:pPr>
        <w:jc w:val="both"/>
        <w:rPr>
          <w:rFonts w:ascii="Calibri" w:hAnsi="Calibri" w:cs="Calibri"/>
        </w:rPr>
      </w:pPr>
      <w:r w:rsidRPr="00C051CA">
        <w:rPr>
          <w:rFonts w:ascii="Calibri" w:hAnsi="Calibri" w:cs="Calibri"/>
        </w:rPr>
        <w:t xml:space="preserve">where </w:t>
      </w:r>
      <w:r w:rsidRPr="000A7C44">
        <w:rPr>
          <w:rFonts w:ascii="Calibri" w:hAnsi="Calibri" w:cs="Calibri"/>
          <w:i/>
          <w:iCs/>
        </w:rPr>
        <w:t>PP</w:t>
      </w:r>
      <w:r w:rsidRPr="00C051CA">
        <w:rPr>
          <w:rFonts w:ascii="Calibri" w:hAnsi="Calibri" w:cs="Calibri"/>
        </w:rPr>
        <w:t xml:space="preserve"> is Purchasing Power, </w:t>
      </w:r>
      <w:r w:rsidRPr="000A7C44">
        <w:rPr>
          <w:rFonts w:ascii="Calibri" w:hAnsi="Calibri" w:cs="Calibri"/>
          <w:i/>
          <w:iCs/>
        </w:rPr>
        <w:t>PPI</w:t>
      </w:r>
      <w:r w:rsidRPr="00C051CA">
        <w:rPr>
          <w:rFonts w:ascii="Calibri" w:hAnsi="Calibri" w:cs="Calibri"/>
        </w:rPr>
        <w:t xml:space="preserve"> is Property Price-to-Income, </w:t>
      </w:r>
      <w:r w:rsidRPr="000A7C44">
        <w:rPr>
          <w:rFonts w:ascii="Calibri" w:hAnsi="Calibri" w:cs="Calibri"/>
          <w:i/>
          <w:iCs/>
        </w:rPr>
        <w:t>COL</w:t>
      </w:r>
      <w:r w:rsidRPr="00C051CA">
        <w:rPr>
          <w:rFonts w:ascii="Calibri" w:hAnsi="Calibri" w:cs="Calibri"/>
        </w:rPr>
        <w:t xml:space="preserve"> is Cost of Living, </w:t>
      </w:r>
      <w:r w:rsidRPr="000A7C44">
        <w:rPr>
          <w:rFonts w:ascii="Calibri" w:hAnsi="Calibri" w:cs="Calibri"/>
          <w:i/>
          <w:iCs/>
        </w:rPr>
        <w:t>SI</w:t>
      </w:r>
      <w:r w:rsidRPr="00C051CA">
        <w:rPr>
          <w:rFonts w:ascii="Calibri" w:hAnsi="Calibri" w:cs="Calibri"/>
        </w:rPr>
        <w:t xml:space="preserve"> is Safety, </w:t>
      </w:r>
      <w:r w:rsidRPr="000A7C44">
        <w:rPr>
          <w:rFonts w:ascii="Calibri" w:hAnsi="Calibri" w:cs="Calibri"/>
          <w:i/>
          <w:iCs/>
        </w:rPr>
        <w:t xml:space="preserve">HCI </w:t>
      </w:r>
      <w:r w:rsidRPr="00C051CA">
        <w:rPr>
          <w:rFonts w:ascii="Calibri" w:hAnsi="Calibri" w:cs="Calibri"/>
        </w:rPr>
        <w:t xml:space="preserve">is Health Care, </w:t>
      </w:r>
      <w:r w:rsidRPr="000A7C44">
        <w:rPr>
          <w:rFonts w:ascii="Calibri" w:hAnsi="Calibri" w:cs="Calibri"/>
          <w:i/>
          <w:iCs/>
        </w:rPr>
        <w:t xml:space="preserve">TCTI </w:t>
      </w:r>
      <w:r w:rsidRPr="00C051CA">
        <w:rPr>
          <w:rFonts w:ascii="Calibri" w:hAnsi="Calibri" w:cs="Calibri"/>
        </w:rPr>
        <w:t xml:space="preserve">is Traffic Commute Time, </w:t>
      </w:r>
      <w:r w:rsidRPr="000A7C44">
        <w:rPr>
          <w:rFonts w:ascii="Calibri" w:hAnsi="Calibri" w:cs="Calibri"/>
          <w:i/>
          <w:iCs/>
        </w:rPr>
        <w:t xml:space="preserve">PI </w:t>
      </w:r>
      <w:r w:rsidRPr="00C051CA">
        <w:rPr>
          <w:rFonts w:ascii="Calibri" w:hAnsi="Calibri" w:cs="Calibri"/>
        </w:rPr>
        <w:t xml:space="preserve">is Pollution, and </w:t>
      </w:r>
      <w:r w:rsidRPr="000A7C44">
        <w:rPr>
          <w:rFonts w:ascii="Calibri" w:hAnsi="Calibri" w:cs="Calibri"/>
          <w:i/>
          <w:iCs/>
        </w:rPr>
        <w:t>CI</w:t>
      </w:r>
      <w:r w:rsidRPr="00C051CA">
        <w:rPr>
          <w:rFonts w:ascii="Calibri" w:hAnsi="Calibri" w:cs="Calibri"/>
        </w:rPr>
        <w:t xml:space="preserve"> is Climate. The aggregation coefficients follow the weighted additive structure of </w:t>
      </w:r>
      <w:proofErr w:type="spellStart"/>
      <w:r w:rsidRPr="00C051CA">
        <w:rPr>
          <w:rFonts w:ascii="Calibri" w:hAnsi="Calibri" w:cs="Calibri"/>
        </w:rPr>
        <w:t>Numbeo’s</w:t>
      </w:r>
      <w:proofErr w:type="spellEnd"/>
      <w:r w:rsidRPr="00C051CA">
        <w:rPr>
          <w:rFonts w:ascii="Calibri" w:hAnsi="Calibri" w:cs="Calibri"/>
        </w:rPr>
        <w:t xml:space="preserve"> published empirical Quality of Life Index rule [32]. Depending on jurisdiction and component availability, trajectories are either reconstructed from JUNIPER drivers through calibrated scaling relations or supplied as external series.</w:t>
      </w:r>
    </w:p>
    <w:p w14:paraId="69121C84" w14:textId="310F6BED" w:rsidR="00BB0628" w:rsidRPr="00C051CA" w:rsidRDefault="00BB0628" w:rsidP="00BB0628">
      <w:pPr>
        <w:jc w:val="both"/>
        <w:rPr>
          <w:rFonts w:ascii="Calibri" w:hAnsi="Calibri" w:cs="Calibri"/>
        </w:rPr>
      </w:pPr>
      <w:r w:rsidRPr="00C051CA">
        <w:rPr>
          <w:rFonts w:ascii="Calibri" w:hAnsi="Calibri" w:cs="Calibri"/>
        </w:rPr>
        <w:t xml:space="preserve">The 2013–2019 reference series is used for calibration and benchmarking, not for independent validation. </w:t>
      </w:r>
      <w:proofErr w:type="spellStart"/>
      <w:r w:rsidRPr="00C051CA">
        <w:rPr>
          <w:rFonts w:ascii="Calibri" w:hAnsi="Calibri" w:cs="Calibri"/>
        </w:rPr>
        <w:t>Numbeo</w:t>
      </w:r>
      <w:proofErr w:type="spellEnd"/>
      <w:r w:rsidRPr="00C051CA">
        <w:rPr>
          <w:rFonts w:ascii="Calibri" w:hAnsi="Calibri" w:cs="Calibri"/>
        </w:rPr>
        <w:t xml:space="preserve"> documents that different aggregation formulas were used before December 2017 [32], so the historical reference series is not assumed to be methodologically homogeneous across the full calibration window. QoL is therefore interpreted as a calibrated national living-conditions proxy, and the paper avoids treating its absolute values as directly observed welfare statistics. The components and their roles are </w:t>
      </w:r>
      <w:proofErr w:type="spellStart"/>
      <w:r w:rsidRPr="00C051CA">
        <w:rPr>
          <w:rFonts w:ascii="Calibri" w:hAnsi="Calibri" w:cs="Calibri"/>
        </w:rPr>
        <w:t>summarised</w:t>
      </w:r>
      <w:proofErr w:type="spellEnd"/>
      <w:r w:rsidRPr="00C051CA">
        <w:rPr>
          <w:rFonts w:ascii="Calibri" w:hAnsi="Calibri" w:cs="Calibri"/>
        </w:rPr>
        <w:t xml:space="preserve"> in Supplementary Table S3.</w:t>
      </w:r>
      <w:r w:rsidR="00780387" w:rsidRPr="00C051CA">
        <w:rPr>
          <w:rFonts w:ascii="Calibri" w:hAnsi="Calibri" w:cs="Calibri"/>
        </w:rPr>
        <w:t xml:space="preserve"> The QoL proxy is the only Health-module output retained in the national-to-European-reference deviation dashboard. The national life-expectancy reference values are presented separately as contextual external data and are excluded from that transformation.</w:t>
      </w:r>
    </w:p>
    <w:p w14:paraId="76DCEA09" w14:textId="77777777" w:rsidR="00BB0628" w:rsidRPr="00C051CA" w:rsidRDefault="00BB0628" w:rsidP="00BB0628">
      <w:pPr>
        <w:pStyle w:val="Heading2"/>
        <w:rPr>
          <w:rFonts w:ascii="Calibri" w:hAnsi="Calibri" w:cs="Calibri"/>
          <w:color w:val="auto"/>
        </w:rPr>
      </w:pPr>
      <w:r w:rsidRPr="00C051CA">
        <w:rPr>
          <w:rFonts w:ascii="Calibri" w:hAnsi="Calibri" w:cs="Calibri"/>
          <w:color w:val="auto"/>
        </w:rPr>
        <w:t>Biodiversity-risk screening proxies</w:t>
      </w:r>
    </w:p>
    <w:p w14:paraId="62CA108B" w14:textId="15CBE299" w:rsidR="00235AB4" w:rsidRPr="00C71197" w:rsidRDefault="00BB0628" w:rsidP="00235AB4">
      <w:pPr>
        <w:jc w:val="both"/>
        <w:rPr>
          <w:rFonts w:ascii="Calibri" w:hAnsi="Calibri" w:cs="Calibri"/>
        </w:rPr>
      </w:pPr>
      <w:r w:rsidRPr="00C051CA">
        <w:rPr>
          <w:rFonts w:ascii="Calibri" w:hAnsi="Calibri" w:cs="Calibri"/>
        </w:rPr>
        <w:t xml:space="preserve">The </w:t>
      </w:r>
      <w:proofErr w:type="gramStart"/>
      <w:r w:rsidRPr="00C051CA">
        <w:rPr>
          <w:rFonts w:ascii="Calibri" w:hAnsi="Calibri" w:cs="Calibri"/>
        </w:rPr>
        <w:t>Biodiversity</w:t>
      </w:r>
      <w:proofErr w:type="gramEnd"/>
      <w:r w:rsidRPr="00C051CA">
        <w:rPr>
          <w:rFonts w:ascii="Calibri" w:hAnsi="Calibri" w:cs="Calibri"/>
        </w:rPr>
        <w:t xml:space="preserve"> module produces model-</w:t>
      </w:r>
      <w:proofErr w:type="spellStart"/>
      <w:r w:rsidRPr="00C051CA">
        <w:rPr>
          <w:rFonts w:ascii="Calibri" w:hAnsi="Calibri" w:cs="Calibri"/>
        </w:rPr>
        <w:t>normalised</w:t>
      </w:r>
      <w:proofErr w:type="spellEnd"/>
      <w:r w:rsidRPr="00C051CA">
        <w:rPr>
          <w:rFonts w:ascii="Calibri" w:hAnsi="Calibri" w:cs="Calibri"/>
        </w:rPr>
        <w:t xml:space="preserve">, pressure-derived species- and ecosystem-risk screening proxies, reported as simulated RLI and </w:t>
      </w:r>
      <w:proofErr w:type="spellStart"/>
      <w:r w:rsidRPr="00C051CA">
        <w:rPr>
          <w:rFonts w:ascii="Calibri" w:hAnsi="Calibri" w:cs="Calibri"/>
        </w:rPr>
        <w:t>RLIe</w:t>
      </w:r>
      <w:proofErr w:type="spellEnd"/>
      <w:r w:rsidRPr="00C051CA">
        <w:rPr>
          <w:rFonts w:ascii="Calibri" w:hAnsi="Calibri" w:cs="Calibri"/>
        </w:rPr>
        <w:t xml:space="preserve">. These outputs are generated from mapped national pressure pathways and are not official national IUCN index time series, repeated empirical reassessments, or spatially explicit ecological forecasts. Lower values indicate higher simulated pressure-derived risk. RLI and </w:t>
      </w:r>
      <w:proofErr w:type="spellStart"/>
      <w:r w:rsidRPr="00C051CA">
        <w:rPr>
          <w:rFonts w:ascii="Calibri" w:hAnsi="Calibri" w:cs="Calibri"/>
        </w:rPr>
        <w:t>RLIe</w:t>
      </w:r>
      <w:proofErr w:type="spellEnd"/>
      <w:r w:rsidRPr="00C051CA">
        <w:rPr>
          <w:rFonts w:ascii="Calibri" w:hAnsi="Calibri" w:cs="Calibri"/>
        </w:rPr>
        <w:t xml:space="preserve"> are retained separately because they represent complementary species- and ecosystem-level constructs [31].</w:t>
      </w:r>
      <w:r w:rsidR="00235AB4" w:rsidRPr="00235AB4">
        <w:rPr>
          <w:rFonts w:ascii="Calibri" w:hAnsi="Calibri" w:cs="Calibri"/>
        </w:rPr>
        <w:t xml:space="preserve"> No separate observed country-level RLI or RLIe time series was supplied as an external model input. The reported 2019 values were calculated internally by the corresponding JUNIPER implementation from the harmonised pressure pathways and implemented pressure-to-risk mappings.</w:t>
      </w:r>
    </w:p>
    <w:p w14:paraId="1447F11E" w14:textId="77777777" w:rsidR="00BB0628" w:rsidRPr="00C051CA" w:rsidRDefault="00BB0628" w:rsidP="00BB0628">
      <w:pPr>
        <w:pStyle w:val="Heading2"/>
        <w:rPr>
          <w:rFonts w:ascii="Calibri" w:hAnsi="Calibri" w:cs="Calibri"/>
          <w:color w:val="auto"/>
        </w:rPr>
      </w:pPr>
      <w:r w:rsidRPr="00C051CA">
        <w:rPr>
          <w:rFonts w:ascii="Calibri" w:hAnsi="Calibri" w:cs="Calibri"/>
          <w:color w:val="auto"/>
        </w:rPr>
        <w:t>Water and greenhouse-gas benchmarking conventions</w:t>
      </w:r>
    </w:p>
    <w:p w14:paraId="26F9D4E1" w14:textId="77777777" w:rsidR="00BB0628" w:rsidRPr="00C051CA" w:rsidRDefault="00BB0628" w:rsidP="00BB0628">
      <w:pPr>
        <w:jc w:val="both"/>
        <w:rPr>
          <w:rFonts w:ascii="Calibri" w:hAnsi="Calibri" w:cs="Calibri"/>
        </w:rPr>
      </w:pPr>
      <w:r w:rsidRPr="00C051CA">
        <w:rPr>
          <w:rFonts w:ascii="Calibri" w:hAnsi="Calibri" w:cs="Calibri"/>
        </w:rPr>
        <w:t>The water comparison reports WEI together with domestic, agricultural, and industrial withdrawal shares selected from the common comparative output template. The three shares are calculated independently relative to total water withdrawal and are not assumed to provide an exhaustive decomposition in every implementation. No residual category is inferred or assigned to a sector.</w:t>
      </w:r>
    </w:p>
    <w:p w14:paraId="5968926E" w14:textId="77777777" w:rsidR="00BB0628" w:rsidRPr="00C051CA" w:rsidRDefault="00BB0628" w:rsidP="00BB0628">
      <w:pPr>
        <w:jc w:val="both"/>
        <w:rPr>
          <w:rFonts w:ascii="Calibri" w:hAnsi="Calibri" w:cs="Calibri"/>
        </w:rPr>
      </w:pPr>
      <w:r w:rsidRPr="00C051CA">
        <w:rPr>
          <w:rFonts w:ascii="Calibri" w:hAnsi="Calibri" w:cs="Calibri"/>
        </w:rPr>
        <w:t>The GHG comparison expresses the Food-, Energy-, and Transport-module outputs as shares of the exported total simulated GHG output. The three contributions sum to within 0.4 percentage points of the total across implementations; the small discrepancies are attributable to rounding of the exported values. The shares describe JUNIPER’s internal module-level composition and are not equivalent to official national greenhouse-gas inventory categories.</w:t>
      </w:r>
    </w:p>
    <w:p w14:paraId="1BC665DF" w14:textId="77777777" w:rsidR="00BB0628" w:rsidRPr="00C051CA" w:rsidRDefault="00BB0628" w:rsidP="00BB0628">
      <w:pPr>
        <w:pStyle w:val="Heading2"/>
        <w:rPr>
          <w:rFonts w:ascii="Calibri" w:hAnsi="Calibri" w:cs="Calibri"/>
          <w:color w:val="auto"/>
        </w:rPr>
      </w:pPr>
      <w:r w:rsidRPr="00C051CA">
        <w:rPr>
          <w:rFonts w:ascii="Calibri" w:hAnsi="Calibri" w:cs="Calibri"/>
          <w:color w:val="auto"/>
        </w:rPr>
        <w:t>Benchmark scaling, reference comparison, and quality assurance</w:t>
      </w:r>
    </w:p>
    <w:p w14:paraId="253EE2AC" w14:textId="77777777" w:rsidR="00BB0628" w:rsidRPr="00C051CA" w:rsidRDefault="00BB0628" w:rsidP="00BB0628">
      <w:pPr>
        <w:jc w:val="both"/>
        <w:rPr>
          <w:rFonts w:ascii="Calibri" w:hAnsi="Calibri" w:cs="Calibri"/>
        </w:rPr>
      </w:pPr>
      <w:r w:rsidRPr="00C051CA">
        <w:rPr>
          <w:rFonts w:ascii="Calibri" w:hAnsi="Calibri" w:cs="Calibri"/>
        </w:rPr>
        <w:t xml:space="preserve">For the overview heatmap, each indicator is min–max scaled separately across the six national implementations and the wider European reference. The </w:t>
      </w:r>
      <w:proofErr w:type="spellStart"/>
      <w:r w:rsidRPr="00C051CA">
        <w:rPr>
          <w:rFonts w:ascii="Calibri" w:hAnsi="Calibri" w:cs="Calibri"/>
        </w:rPr>
        <w:t>colour</w:t>
      </w:r>
      <w:proofErr w:type="spellEnd"/>
      <w:r w:rsidRPr="00C051CA">
        <w:rPr>
          <w:rFonts w:ascii="Calibri" w:hAnsi="Calibri" w:cs="Calibri"/>
        </w:rPr>
        <w:t xml:space="preserve"> direction is reversed for simulated RLI and </w:t>
      </w:r>
      <w:proofErr w:type="spellStart"/>
      <w:r w:rsidRPr="00C051CA">
        <w:rPr>
          <w:rFonts w:ascii="Calibri" w:hAnsi="Calibri" w:cs="Calibri"/>
        </w:rPr>
        <w:t>RLIe</w:t>
      </w:r>
      <w:proofErr w:type="spellEnd"/>
      <w:r w:rsidRPr="00C051CA">
        <w:rPr>
          <w:rFonts w:ascii="Calibri" w:hAnsi="Calibri" w:cs="Calibri"/>
        </w:rPr>
        <w:t xml:space="preserve"> because lower original values indicate higher risk. Scaled values are not compared across indicators, summed, or averaged. The main article therefore reports no composite hotspot score or overall country ranking.</w:t>
      </w:r>
    </w:p>
    <w:p w14:paraId="788A9EF9" w14:textId="43326FC6" w:rsidR="00BB0628" w:rsidRPr="00C051CA" w:rsidRDefault="00C051CA" w:rsidP="00C051CA">
      <w:pPr>
        <w:jc w:val="both"/>
        <w:rPr>
          <w:rFonts w:ascii="Calibri" w:hAnsi="Calibri" w:cs="Calibri"/>
        </w:rPr>
      </w:pPr>
      <w:r w:rsidRPr="00C051CA">
        <w:rPr>
          <w:rFonts w:ascii="Calibri" w:hAnsi="Calibri" w:cs="Calibri"/>
        </w:rPr>
        <w:t>National deviations from the European reference are expressed as percentage differences relative to the corresponding reference value. The sign is interpreted according to indicator type: positive WEI deviations indicate higher water pressure; positive QoL deviations indicate a numerically higher calibrated living-conditions proxy but do not necessarily represent better observed welfare; positive RLI/</w:t>
      </w:r>
      <w:proofErr w:type="spellStart"/>
      <w:r w:rsidRPr="00C051CA">
        <w:rPr>
          <w:rFonts w:ascii="Calibri" w:hAnsi="Calibri" w:cs="Calibri"/>
        </w:rPr>
        <w:t>RLIe</w:t>
      </w:r>
      <w:proofErr w:type="spellEnd"/>
      <w:r w:rsidRPr="00C051CA">
        <w:rPr>
          <w:rFonts w:ascii="Calibri" w:hAnsi="Calibri" w:cs="Calibri"/>
        </w:rPr>
        <w:t xml:space="preserve"> deviations indicate higher index values and therefore lower simulated risk; and positive module-level GHG deviations indicate a larger compositional share rather than better or worse performance. National life-expectancy reference values are excluded from this transformation because no directly equivalent value was defined for the wider European reference geography. Supplementary Table S4 </w:t>
      </w:r>
      <w:proofErr w:type="spellStart"/>
      <w:r w:rsidRPr="00C051CA">
        <w:rPr>
          <w:rFonts w:ascii="Calibri" w:hAnsi="Calibri" w:cs="Calibri"/>
        </w:rPr>
        <w:t>summarises</w:t>
      </w:r>
      <w:proofErr w:type="spellEnd"/>
      <w:r w:rsidRPr="00C051CA">
        <w:rPr>
          <w:rFonts w:ascii="Calibri" w:hAnsi="Calibri" w:cs="Calibri"/>
        </w:rPr>
        <w:t xml:space="preserve"> the evidence role and interpretive limits of each output class.</w:t>
      </w:r>
    </w:p>
    <w:p w14:paraId="2C2EEB9E" w14:textId="4E622698" w:rsidR="00BB0628" w:rsidRPr="00C051CA" w:rsidRDefault="00BB0628" w:rsidP="00C051CA">
      <w:pPr>
        <w:jc w:val="both"/>
        <w:rPr>
          <w:rFonts w:ascii="Calibri" w:hAnsi="Calibri" w:cs="Calibri"/>
        </w:rPr>
      </w:pPr>
      <w:r w:rsidRPr="00C051CA">
        <w:rPr>
          <w:rFonts w:ascii="Calibri" w:hAnsi="Calibri" w:cs="Calibri"/>
        </w:rPr>
        <w:lastRenderedPageBreak/>
        <w:t>Quality assurance included jurisdiction-label checks, unit and range checks, missing-value screening, recalculation of derived shares from raw outputs, arithmetic comparison of module-level GHG contributions with the exported total, verification of indicator directionality, and confirmation that the heatmap and reference-deviation calculations used the locked 2019 values.</w:t>
      </w:r>
      <w:r w:rsidR="00C051CA">
        <w:rPr>
          <w:rFonts w:ascii="Calibri" w:hAnsi="Calibri" w:cs="Calibri"/>
        </w:rPr>
        <w:t xml:space="preserve"> </w:t>
      </w:r>
      <w:r w:rsidR="00C051CA" w:rsidRPr="00C051CA">
        <w:rPr>
          <w:rFonts w:ascii="Calibri" w:hAnsi="Calibri" w:cs="Calibri"/>
        </w:rPr>
        <w:t>The checks also confirmed that national life-expectancy reference values were treated as external contextual data and excluded from the European-reference deviation calculation, while the QoL proxy was retained as the only human-system output in that dashboard.</w:t>
      </w:r>
      <w:r w:rsidRPr="00C051CA">
        <w:rPr>
          <w:rFonts w:ascii="Calibri" w:hAnsi="Calibri" w:cs="Calibri"/>
        </w:rPr>
        <w:t xml:space="preserve"> These checks establish internal consistency and traceability but do not constitute fully independent external validation or probabilistic uncertainty propagation. Supplementary Table S5 records the checks and their interpretation.</w:t>
      </w:r>
    </w:p>
    <w:p w14:paraId="78B33EC3" w14:textId="1AC8A73C" w:rsidR="00BB0628" w:rsidRPr="00C051CA" w:rsidRDefault="00BB0628" w:rsidP="00780387">
      <w:pPr>
        <w:pStyle w:val="Caption"/>
        <w:keepNext/>
        <w:rPr>
          <w:rFonts w:ascii="Calibri" w:hAnsi="Calibri" w:cs="Calibri"/>
          <w:color w:val="auto"/>
        </w:rPr>
      </w:pPr>
      <w:r w:rsidRPr="00C051CA">
        <w:rPr>
          <w:rFonts w:ascii="Calibri" w:hAnsi="Calibri" w:cs="Calibri"/>
          <w:color w:val="auto"/>
        </w:rPr>
        <w:t xml:space="preserve">Supplementary Table S1. </w:t>
      </w:r>
      <w:r w:rsidR="00780387" w:rsidRPr="00C051CA">
        <w:rPr>
          <w:rFonts w:ascii="Calibri" w:hAnsi="Calibri" w:cs="Calibri"/>
          <w:color w:val="auto"/>
        </w:rPr>
        <w:t>National life-expectancy reference values and calibrated QoL proxy used in the 2019 human-system comparison.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14"/>
        <w:gridCol w:w="1531"/>
        <w:gridCol w:w="1531"/>
        <w:gridCol w:w="3118"/>
      </w:tblGrid>
      <w:tr w:rsidR="00C051CA" w:rsidRPr="00C051CA" w14:paraId="6F4089D2" w14:textId="77777777" w:rsidTr="00E30D16">
        <w:trPr>
          <w:cantSplit/>
          <w:tblHeader/>
          <w:jc w:val="center"/>
        </w:trPr>
        <w:tc>
          <w:tcPr>
            <w:tcW w:w="1814" w:type="dxa"/>
            <w:shd w:val="clear" w:color="auto" w:fill="1F4E79"/>
            <w:tcMar>
              <w:top w:w="70" w:type="dxa"/>
              <w:left w:w="80" w:type="dxa"/>
              <w:bottom w:w="70" w:type="dxa"/>
              <w:right w:w="80" w:type="dxa"/>
            </w:tcMar>
            <w:vAlign w:val="center"/>
          </w:tcPr>
          <w:p w14:paraId="0F7BAD36" w14:textId="77777777" w:rsidR="00780387" w:rsidRPr="00C051CA" w:rsidRDefault="00780387"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Implementation</w:t>
            </w:r>
          </w:p>
        </w:tc>
        <w:tc>
          <w:tcPr>
            <w:tcW w:w="1531" w:type="dxa"/>
            <w:shd w:val="clear" w:color="auto" w:fill="1F4E79"/>
            <w:tcMar>
              <w:top w:w="70" w:type="dxa"/>
              <w:left w:w="80" w:type="dxa"/>
              <w:bottom w:w="70" w:type="dxa"/>
              <w:right w:w="80" w:type="dxa"/>
            </w:tcMar>
            <w:vAlign w:val="center"/>
          </w:tcPr>
          <w:p w14:paraId="16B0B986" w14:textId="064D183A" w:rsidR="00780387" w:rsidRPr="00C051CA" w:rsidRDefault="00780387" w:rsidP="00780387">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2019 life-expectancy reference value (years)</w:t>
            </w:r>
          </w:p>
        </w:tc>
        <w:tc>
          <w:tcPr>
            <w:tcW w:w="1531" w:type="dxa"/>
            <w:shd w:val="clear" w:color="auto" w:fill="1F4E79"/>
            <w:tcMar>
              <w:top w:w="70" w:type="dxa"/>
              <w:left w:w="80" w:type="dxa"/>
              <w:bottom w:w="70" w:type="dxa"/>
              <w:right w:w="80" w:type="dxa"/>
            </w:tcMar>
            <w:vAlign w:val="center"/>
          </w:tcPr>
          <w:p w14:paraId="14CA1968" w14:textId="268C6DD0" w:rsidR="00780387" w:rsidRPr="00C051CA" w:rsidRDefault="00780387" w:rsidP="00780387">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Calibrated QoL proxy (index units)</w:t>
            </w:r>
          </w:p>
        </w:tc>
        <w:tc>
          <w:tcPr>
            <w:tcW w:w="3118" w:type="dxa"/>
            <w:shd w:val="clear" w:color="auto" w:fill="1F4E79"/>
            <w:tcMar>
              <w:top w:w="70" w:type="dxa"/>
              <w:left w:w="80" w:type="dxa"/>
              <w:bottom w:w="70" w:type="dxa"/>
              <w:right w:w="80" w:type="dxa"/>
            </w:tcMar>
            <w:vAlign w:val="center"/>
          </w:tcPr>
          <w:p w14:paraId="56DCCA0F" w14:textId="4C3EE84D" w:rsidR="00780387" w:rsidRPr="00C051CA" w:rsidRDefault="00780387" w:rsidP="00780387">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Analytical role</w:t>
            </w:r>
          </w:p>
        </w:tc>
      </w:tr>
      <w:tr w:rsidR="00C051CA" w:rsidRPr="00C051CA" w14:paraId="3879B04F" w14:textId="77777777" w:rsidTr="00E30D16">
        <w:trPr>
          <w:cantSplit/>
          <w:jc w:val="center"/>
        </w:trPr>
        <w:tc>
          <w:tcPr>
            <w:tcW w:w="1814" w:type="dxa"/>
            <w:tcMar>
              <w:top w:w="70" w:type="dxa"/>
              <w:left w:w="80" w:type="dxa"/>
              <w:bottom w:w="70" w:type="dxa"/>
              <w:right w:w="80" w:type="dxa"/>
            </w:tcMar>
            <w:vAlign w:val="center"/>
          </w:tcPr>
          <w:p w14:paraId="19F43E78"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Greece</w:t>
            </w:r>
          </w:p>
        </w:tc>
        <w:tc>
          <w:tcPr>
            <w:tcW w:w="1531" w:type="dxa"/>
            <w:tcMar>
              <w:top w:w="70" w:type="dxa"/>
              <w:left w:w="80" w:type="dxa"/>
              <w:bottom w:w="70" w:type="dxa"/>
              <w:right w:w="80" w:type="dxa"/>
            </w:tcMar>
            <w:vAlign w:val="center"/>
          </w:tcPr>
          <w:p w14:paraId="4A0D3AC4"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81.70</w:t>
            </w:r>
          </w:p>
        </w:tc>
        <w:tc>
          <w:tcPr>
            <w:tcW w:w="1531" w:type="dxa"/>
            <w:tcMar>
              <w:top w:w="70" w:type="dxa"/>
              <w:left w:w="80" w:type="dxa"/>
              <w:bottom w:w="70" w:type="dxa"/>
              <w:right w:w="80" w:type="dxa"/>
            </w:tcMar>
            <w:vAlign w:val="center"/>
          </w:tcPr>
          <w:p w14:paraId="78943B61" w14:textId="7124BA9D" w:rsidR="00780387" w:rsidRPr="00C051CA" w:rsidRDefault="00780387" w:rsidP="00780387">
            <w:pPr>
              <w:spacing w:after="0" w:line="240" w:lineRule="auto"/>
              <w:rPr>
                <w:rFonts w:ascii="Calibri" w:hAnsi="Calibri" w:cs="Calibri"/>
              </w:rPr>
            </w:pPr>
            <w:r w:rsidRPr="00C051CA">
              <w:rPr>
                <w:rFonts w:ascii="Calibri" w:hAnsi="Calibri" w:cs="Calibri"/>
                <w:sz w:val="17"/>
              </w:rPr>
              <w:t>114.24</w:t>
            </w:r>
          </w:p>
        </w:tc>
        <w:tc>
          <w:tcPr>
            <w:tcW w:w="3118" w:type="dxa"/>
            <w:tcMar>
              <w:top w:w="70" w:type="dxa"/>
              <w:left w:w="80" w:type="dxa"/>
              <w:bottom w:w="70" w:type="dxa"/>
              <w:right w:w="80" w:type="dxa"/>
            </w:tcMar>
            <w:vAlign w:val="center"/>
          </w:tcPr>
          <w:p w14:paraId="2A632470" w14:textId="1290C61E" w:rsidR="00780387" w:rsidRPr="00C051CA" w:rsidRDefault="00780387" w:rsidP="00780387">
            <w:pPr>
              <w:spacing w:after="0" w:line="240" w:lineRule="auto"/>
              <w:rPr>
                <w:rFonts w:ascii="Calibri" w:hAnsi="Calibri" w:cs="Calibri"/>
              </w:rPr>
            </w:pPr>
            <w:r w:rsidRPr="00C051CA">
              <w:rPr>
                <w:rFonts w:ascii="Calibri" w:hAnsi="Calibri" w:cs="Calibri"/>
                <w:sz w:val="17"/>
              </w:rPr>
              <w:t>National contextual longevity value and calibrated living-conditions proxy</w:t>
            </w:r>
          </w:p>
        </w:tc>
      </w:tr>
      <w:tr w:rsidR="00C051CA" w:rsidRPr="00C051CA" w14:paraId="146C3E9D" w14:textId="77777777" w:rsidTr="00E30D16">
        <w:trPr>
          <w:cantSplit/>
          <w:jc w:val="center"/>
        </w:trPr>
        <w:tc>
          <w:tcPr>
            <w:tcW w:w="1814" w:type="dxa"/>
            <w:shd w:val="clear" w:color="auto" w:fill="EEF4F8"/>
            <w:tcMar>
              <w:top w:w="70" w:type="dxa"/>
              <w:left w:w="80" w:type="dxa"/>
              <w:bottom w:w="70" w:type="dxa"/>
              <w:right w:w="80" w:type="dxa"/>
            </w:tcMar>
            <w:vAlign w:val="center"/>
          </w:tcPr>
          <w:p w14:paraId="2F6D9573"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United Kingdom</w:t>
            </w:r>
          </w:p>
        </w:tc>
        <w:tc>
          <w:tcPr>
            <w:tcW w:w="1531" w:type="dxa"/>
            <w:shd w:val="clear" w:color="auto" w:fill="EEF4F8"/>
            <w:tcMar>
              <w:top w:w="70" w:type="dxa"/>
              <w:left w:w="80" w:type="dxa"/>
              <w:bottom w:w="70" w:type="dxa"/>
              <w:right w:w="80" w:type="dxa"/>
            </w:tcMar>
            <w:vAlign w:val="center"/>
          </w:tcPr>
          <w:p w14:paraId="1A0B32F3"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81.30</w:t>
            </w:r>
          </w:p>
        </w:tc>
        <w:tc>
          <w:tcPr>
            <w:tcW w:w="1531" w:type="dxa"/>
            <w:shd w:val="clear" w:color="auto" w:fill="EEF4F8"/>
            <w:tcMar>
              <w:top w:w="70" w:type="dxa"/>
              <w:left w:w="80" w:type="dxa"/>
              <w:bottom w:w="70" w:type="dxa"/>
              <w:right w:w="80" w:type="dxa"/>
            </w:tcMar>
            <w:vAlign w:val="center"/>
          </w:tcPr>
          <w:p w14:paraId="3AAE4368" w14:textId="4F020D20" w:rsidR="00780387" w:rsidRPr="00C051CA" w:rsidRDefault="00780387" w:rsidP="00780387">
            <w:pPr>
              <w:spacing w:after="0" w:line="240" w:lineRule="auto"/>
              <w:rPr>
                <w:rFonts w:ascii="Calibri" w:hAnsi="Calibri" w:cs="Calibri"/>
              </w:rPr>
            </w:pPr>
            <w:r w:rsidRPr="00C051CA">
              <w:rPr>
                <w:rFonts w:ascii="Calibri" w:hAnsi="Calibri" w:cs="Calibri"/>
                <w:sz w:val="17"/>
              </w:rPr>
              <w:t>195.73</w:t>
            </w:r>
          </w:p>
        </w:tc>
        <w:tc>
          <w:tcPr>
            <w:tcW w:w="3118" w:type="dxa"/>
            <w:shd w:val="clear" w:color="auto" w:fill="EEF4F8"/>
            <w:tcMar>
              <w:top w:w="70" w:type="dxa"/>
              <w:left w:w="80" w:type="dxa"/>
              <w:bottom w:w="70" w:type="dxa"/>
              <w:right w:w="80" w:type="dxa"/>
            </w:tcMar>
            <w:vAlign w:val="center"/>
          </w:tcPr>
          <w:p w14:paraId="65AF62C0" w14:textId="6C7AA8FD" w:rsidR="00780387" w:rsidRPr="00C051CA" w:rsidRDefault="00780387" w:rsidP="00780387">
            <w:pPr>
              <w:spacing w:after="0" w:line="240" w:lineRule="auto"/>
              <w:rPr>
                <w:rFonts w:ascii="Calibri" w:hAnsi="Calibri" w:cs="Calibri"/>
              </w:rPr>
            </w:pPr>
            <w:r w:rsidRPr="00C051CA">
              <w:rPr>
                <w:rFonts w:ascii="Calibri" w:hAnsi="Calibri" w:cs="Calibri"/>
                <w:sz w:val="17"/>
              </w:rPr>
              <w:t>National contextual longevity value and calibrated living-conditions proxy</w:t>
            </w:r>
          </w:p>
        </w:tc>
      </w:tr>
      <w:tr w:rsidR="00C051CA" w:rsidRPr="00C051CA" w14:paraId="0F10A258" w14:textId="77777777" w:rsidTr="00E30D16">
        <w:trPr>
          <w:cantSplit/>
          <w:jc w:val="center"/>
        </w:trPr>
        <w:tc>
          <w:tcPr>
            <w:tcW w:w="1814" w:type="dxa"/>
            <w:tcMar>
              <w:top w:w="70" w:type="dxa"/>
              <w:left w:w="80" w:type="dxa"/>
              <w:bottom w:w="70" w:type="dxa"/>
              <w:right w:w="80" w:type="dxa"/>
            </w:tcMar>
            <w:vAlign w:val="center"/>
          </w:tcPr>
          <w:p w14:paraId="17AABEDE"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Finland</w:t>
            </w:r>
          </w:p>
        </w:tc>
        <w:tc>
          <w:tcPr>
            <w:tcW w:w="1531" w:type="dxa"/>
            <w:tcMar>
              <w:top w:w="70" w:type="dxa"/>
              <w:left w:w="80" w:type="dxa"/>
              <w:bottom w:w="70" w:type="dxa"/>
              <w:right w:w="80" w:type="dxa"/>
            </w:tcMar>
            <w:vAlign w:val="center"/>
          </w:tcPr>
          <w:p w14:paraId="0C68F61C"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82.10</w:t>
            </w:r>
          </w:p>
        </w:tc>
        <w:tc>
          <w:tcPr>
            <w:tcW w:w="1531" w:type="dxa"/>
            <w:tcMar>
              <w:top w:w="70" w:type="dxa"/>
              <w:left w:w="80" w:type="dxa"/>
              <w:bottom w:w="70" w:type="dxa"/>
              <w:right w:w="80" w:type="dxa"/>
            </w:tcMar>
            <w:vAlign w:val="center"/>
          </w:tcPr>
          <w:p w14:paraId="31B65123" w14:textId="6E372CFC" w:rsidR="00780387" w:rsidRPr="00C051CA" w:rsidRDefault="00780387" w:rsidP="00623EB8">
            <w:pPr>
              <w:spacing w:after="0" w:line="240" w:lineRule="auto"/>
              <w:rPr>
                <w:rFonts w:ascii="Calibri" w:hAnsi="Calibri" w:cs="Calibri"/>
              </w:rPr>
            </w:pPr>
            <w:r w:rsidRPr="00C051CA">
              <w:rPr>
                <w:rFonts w:ascii="Calibri" w:hAnsi="Calibri" w:cs="Calibri"/>
                <w:sz w:val="17"/>
              </w:rPr>
              <w:t>201.20</w:t>
            </w:r>
          </w:p>
        </w:tc>
        <w:tc>
          <w:tcPr>
            <w:tcW w:w="3118" w:type="dxa"/>
            <w:tcMar>
              <w:top w:w="70" w:type="dxa"/>
              <w:left w:w="80" w:type="dxa"/>
              <w:bottom w:w="70" w:type="dxa"/>
              <w:right w:w="80" w:type="dxa"/>
            </w:tcMar>
            <w:vAlign w:val="center"/>
          </w:tcPr>
          <w:p w14:paraId="2E3DAC88" w14:textId="0589662E" w:rsidR="00780387" w:rsidRPr="00C051CA" w:rsidRDefault="00780387" w:rsidP="00780387">
            <w:pPr>
              <w:spacing w:after="0" w:line="240" w:lineRule="auto"/>
              <w:rPr>
                <w:rFonts w:ascii="Calibri" w:hAnsi="Calibri" w:cs="Calibri"/>
              </w:rPr>
            </w:pPr>
            <w:r w:rsidRPr="00C051CA">
              <w:rPr>
                <w:rFonts w:ascii="Calibri" w:hAnsi="Calibri" w:cs="Calibri"/>
                <w:sz w:val="17"/>
              </w:rPr>
              <w:t>National contextual longevity value and calibrated living-conditions proxy</w:t>
            </w:r>
          </w:p>
        </w:tc>
      </w:tr>
      <w:tr w:rsidR="00C051CA" w:rsidRPr="00C051CA" w14:paraId="7D75B24D" w14:textId="77777777" w:rsidTr="00E30D16">
        <w:trPr>
          <w:cantSplit/>
          <w:jc w:val="center"/>
        </w:trPr>
        <w:tc>
          <w:tcPr>
            <w:tcW w:w="1814" w:type="dxa"/>
            <w:shd w:val="clear" w:color="auto" w:fill="EEF4F8"/>
            <w:tcMar>
              <w:top w:w="70" w:type="dxa"/>
              <w:left w:w="80" w:type="dxa"/>
              <w:bottom w:w="70" w:type="dxa"/>
              <w:right w:w="80" w:type="dxa"/>
            </w:tcMar>
            <w:vAlign w:val="center"/>
          </w:tcPr>
          <w:p w14:paraId="0C30C1A5"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Czechia</w:t>
            </w:r>
          </w:p>
        </w:tc>
        <w:tc>
          <w:tcPr>
            <w:tcW w:w="1531" w:type="dxa"/>
            <w:shd w:val="clear" w:color="auto" w:fill="EEF4F8"/>
            <w:tcMar>
              <w:top w:w="70" w:type="dxa"/>
              <w:left w:w="80" w:type="dxa"/>
              <w:bottom w:w="70" w:type="dxa"/>
              <w:right w:w="80" w:type="dxa"/>
            </w:tcMar>
            <w:vAlign w:val="center"/>
          </w:tcPr>
          <w:p w14:paraId="458188D8"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79.30</w:t>
            </w:r>
          </w:p>
        </w:tc>
        <w:tc>
          <w:tcPr>
            <w:tcW w:w="1531" w:type="dxa"/>
            <w:shd w:val="clear" w:color="auto" w:fill="EEF4F8"/>
            <w:tcMar>
              <w:top w:w="70" w:type="dxa"/>
              <w:left w:w="80" w:type="dxa"/>
              <w:bottom w:w="70" w:type="dxa"/>
              <w:right w:w="80" w:type="dxa"/>
            </w:tcMar>
            <w:vAlign w:val="center"/>
          </w:tcPr>
          <w:p w14:paraId="156B9F43" w14:textId="75054868" w:rsidR="00780387" w:rsidRPr="00C051CA" w:rsidRDefault="00780387" w:rsidP="00623EB8">
            <w:pPr>
              <w:spacing w:after="0" w:line="240" w:lineRule="auto"/>
              <w:rPr>
                <w:rFonts w:ascii="Calibri" w:hAnsi="Calibri" w:cs="Calibri"/>
              </w:rPr>
            </w:pPr>
            <w:r w:rsidRPr="00C051CA">
              <w:rPr>
                <w:rFonts w:ascii="Calibri" w:hAnsi="Calibri" w:cs="Calibri"/>
                <w:sz w:val="17"/>
              </w:rPr>
              <w:t>189.01</w:t>
            </w:r>
          </w:p>
        </w:tc>
        <w:tc>
          <w:tcPr>
            <w:tcW w:w="3118" w:type="dxa"/>
            <w:shd w:val="clear" w:color="auto" w:fill="EEF4F8"/>
            <w:tcMar>
              <w:top w:w="70" w:type="dxa"/>
              <w:left w:w="80" w:type="dxa"/>
              <w:bottom w:w="70" w:type="dxa"/>
              <w:right w:w="80" w:type="dxa"/>
            </w:tcMar>
            <w:vAlign w:val="center"/>
          </w:tcPr>
          <w:p w14:paraId="3AC6F36F" w14:textId="41B65470" w:rsidR="00780387" w:rsidRPr="00C051CA" w:rsidRDefault="00780387" w:rsidP="00780387">
            <w:pPr>
              <w:spacing w:after="0" w:line="240" w:lineRule="auto"/>
              <w:rPr>
                <w:rFonts w:ascii="Calibri" w:hAnsi="Calibri" w:cs="Calibri"/>
              </w:rPr>
            </w:pPr>
            <w:r w:rsidRPr="00C051CA">
              <w:rPr>
                <w:rFonts w:ascii="Calibri" w:hAnsi="Calibri" w:cs="Calibri"/>
                <w:sz w:val="17"/>
              </w:rPr>
              <w:t>National contextual longevity value and calibrated living-conditions proxy</w:t>
            </w:r>
          </w:p>
        </w:tc>
      </w:tr>
      <w:tr w:rsidR="00C051CA" w:rsidRPr="00C051CA" w14:paraId="511B2BF6" w14:textId="77777777" w:rsidTr="00E30D16">
        <w:trPr>
          <w:cantSplit/>
          <w:jc w:val="center"/>
        </w:trPr>
        <w:tc>
          <w:tcPr>
            <w:tcW w:w="1814" w:type="dxa"/>
            <w:tcMar>
              <w:top w:w="70" w:type="dxa"/>
              <w:left w:w="80" w:type="dxa"/>
              <w:bottom w:w="70" w:type="dxa"/>
              <w:right w:w="80" w:type="dxa"/>
            </w:tcMar>
            <w:vAlign w:val="center"/>
          </w:tcPr>
          <w:p w14:paraId="27463108"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Spain</w:t>
            </w:r>
          </w:p>
        </w:tc>
        <w:tc>
          <w:tcPr>
            <w:tcW w:w="1531" w:type="dxa"/>
            <w:tcMar>
              <w:top w:w="70" w:type="dxa"/>
              <w:left w:w="80" w:type="dxa"/>
              <w:bottom w:w="70" w:type="dxa"/>
              <w:right w:w="80" w:type="dxa"/>
            </w:tcMar>
            <w:vAlign w:val="center"/>
          </w:tcPr>
          <w:p w14:paraId="4AD3B987"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84.00</w:t>
            </w:r>
          </w:p>
        </w:tc>
        <w:tc>
          <w:tcPr>
            <w:tcW w:w="1531" w:type="dxa"/>
            <w:tcMar>
              <w:top w:w="70" w:type="dxa"/>
              <w:left w:w="80" w:type="dxa"/>
              <w:bottom w:w="70" w:type="dxa"/>
              <w:right w:w="80" w:type="dxa"/>
            </w:tcMar>
            <w:vAlign w:val="center"/>
          </w:tcPr>
          <w:p w14:paraId="37813DAB" w14:textId="3A646163" w:rsidR="00780387" w:rsidRPr="00C051CA" w:rsidRDefault="00D77CAE" w:rsidP="00623EB8">
            <w:pPr>
              <w:spacing w:after="0" w:line="240" w:lineRule="auto"/>
              <w:rPr>
                <w:rFonts w:ascii="Calibri" w:hAnsi="Calibri" w:cs="Calibri"/>
              </w:rPr>
            </w:pPr>
            <w:r w:rsidRPr="00C051CA">
              <w:rPr>
                <w:rFonts w:ascii="Calibri" w:hAnsi="Calibri" w:cs="Calibri"/>
                <w:sz w:val="17"/>
              </w:rPr>
              <w:t>174.24</w:t>
            </w:r>
          </w:p>
        </w:tc>
        <w:tc>
          <w:tcPr>
            <w:tcW w:w="3118" w:type="dxa"/>
            <w:tcMar>
              <w:top w:w="70" w:type="dxa"/>
              <w:left w:w="80" w:type="dxa"/>
              <w:bottom w:w="70" w:type="dxa"/>
              <w:right w:w="80" w:type="dxa"/>
            </w:tcMar>
            <w:vAlign w:val="center"/>
          </w:tcPr>
          <w:p w14:paraId="30ABFD24" w14:textId="765FCB13" w:rsidR="00780387" w:rsidRPr="00C051CA" w:rsidRDefault="00D77CAE" w:rsidP="00D77CAE">
            <w:pPr>
              <w:spacing w:after="0" w:line="240" w:lineRule="auto"/>
              <w:rPr>
                <w:rFonts w:ascii="Calibri" w:hAnsi="Calibri" w:cs="Calibri"/>
              </w:rPr>
            </w:pPr>
            <w:r w:rsidRPr="00C051CA">
              <w:rPr>
                <w:rFonts w:ascii="Calibri" w:hAnsi="Calibri" w:cs="Calibri"/>
                <w:sz w:val="17"/>
              </w:rPr>
              <w:t>National contextual longevity value and calibrated living-conditions proxy</w:t>
            </w:r>
          </w:p>
        </w:tc>
      </w:tr>
      <w:tr w:rsidR="00C051CA" w:rsidRPr="00C051CA" w14:paraId="1F60668A" w14:textId="77777777" w:rsidTr="00E30D16">
        <w:trPr>
          <w:cantSplit/>
          <w:jc w:val="center"/>
        </w:trPr>
        <w:tc>
          <w:tcPr>
            <w:tcW w:w="1814" w:type="dxa"/>
            <w:shd w:val="clear" w:color="auto" w:fill="EEF4F8"/>
            <w:tcMar>
              <w:top w:w="70" w:type="dxa"/>
              <w:left w:w="80" w:type="dxa"/>
              <w:bottom w:w="70" w:type="dxa"/>
              <w:right w:w="80" w:type="dxa"/>
            </w:tcMar>
            <w:vAlign w:val="center"/>
          </w:tcPr>
          <w:p w14:paraId="1A726D10"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Romania</w:t>
            </w:r>
          </w:p>
        </w:tc>
        <w:tc>
          <w:tcPr>
            <w:tcW w:w="1531" w:type="dxa"/>
            <w:shd w:val="clear" w:color="auto" w:fill="EEF4F8"/>
            <w:tcMar>
              <w:top w:w="70" w:type="dxa"/>
              <w:left w:w="80" w:type="dxa"/>
              <w:bottom w:w="70" w:type="dxa"/>
              <w:right w:w="80" w:type="dxa"/>
            </w:tcMar>
            <w:vAlign w:val="center"/>
          </w:tcPr>
          <w:p w14:paraId="32CEB97C"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75.60</w:t>
            </w:r>
          </w:p>
        </w:tc>
        <w:tc>
          <w:tcPr>
            <w:tcW w:w="1531" w:type="dxa"/>
            <w:shd w:val="clear" w:color="auto" w:fill="EEF4F8"/>
            <w:tcMar>
              <w:top w:w="70" w:type="dxa"/>
              <w:left w:w="80" w:type="dxa"/>
              <w:bottom w:w="70" w:type="dxa"/>
              <w:right w:w="80" w:type="dxa"/>
            </w:tcMar>
            <w:vAlign w:val="center"/>
          </w:tcPr>
          <w:p w14:paraId="3FAE8624" w14:textId="1A64A809" w:rsidR="00780387" w:rsidRPr="00C051CA" w:rsidRDefault="00D77CAE" w:rsidP="00623EB8">
            <w:pPr>
              <w:spacing w:after="0" w:line="240" w:lineRule="auto"/>
              <w:rPr>
                <w:rFonts w:ascii="Calibri" w:hAnsi="Calibri" w:cs="Calibri"/>
              </w:rPr>
            </w:pPr>
            <w:r w:rsidRPr="00C051CA">
              <w:rPr>
                <w:rFonts w:ascii="Calibri" w:hAnsi="Calibri" w:cs="Calibri"/>
                <w:sz w:val="17"/>
              </w:rPr>
              <w:t>131.62</w:t>
            </w:r>
          </w:p>
        </w:tc>
        <w:tc>
          <w:tcPr>
            <w:tcW w:w="3118" w:type="dxa"/>
            <w:shd w:val="clear" w:color="auto" w:fill="EEF4F8"/>
            <w:tcMar>
              <w:top w:w="70" w:type="dxa"/>
              <w:left w:w="80" w:type="dxa"/>
              <w:bottom w:w="70" w:type="dxa"/>
              <w:right w:w="80" w:type="dxa"/>
            </w:tcMar>
            <w:vAlign w:val="center"/>
          </w:tcPr>
          <w:p w14:paraId="771C9A82" w14:textId="641AA74D" w:rsidR="00780387" w:rsidRPr="00C051CA" w:rsidRDefault="00D77CAE" w:rsidP="00D77CAE">
            <w:pPr>
              <w:spacing w:after="0" w:line="240" w:lineRule="auto"/>
              <w:rPr>
                <w:rFonts w:ascii="Calibri" w:hAnsi="Calibri" w:cs="Calibri"/>
              </w:rPr>
            </w:pPr>
            <w:r w:rsidRPr="00C051CA">
              <w:rPr>
                <w:rFonts w:ascii="Calibri" w:hAnsi="Calibri" w:cs="Calibri"/>
                <w:sz w:val="17"/>
              </w:rPr>
              <w:t>National contextual longevity value and calibrated living-conditions proxy</w:t>
            </w:r>
          </w:p>
        </w:tc>
      </w:tr>
      <w:tr w:rsidR="00C051CA" w:rsidRPr="00C051CA" w14:paraId="243E4CB0" w14:textId="77777777" w:rsidTr="00E30D16">
        <w:trPr>
          <w:cantSplit/>
          <w:jc w:val="center"/>
        </w:trPr>
        <w:tc>
          <w:tcPr>
            <w:tcW w:w="1814" w:type="dxa"/>
            <w:tcMar>
              <w:top w:w="70" w:type="dxa"/>
              <w:left w:w="80" w:type="dxa"/>
              <w:bottom w:w="70" w:type="dxa"/>
              <w:right w:w="80" w:type="dxa"/>
            </w:tcMar>
            <w:vAlign w:val="center"/>
          </w:tcPr>
          <w:p w14:paraId="504A729B"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European reference</w:t>
            </w:r>
          </w:p>
        </w:tc>
        <w:tc>
          <w:tcPr>
            <w:tcW w:w="1531" w:type="dxa"/>
            <w:tcMar>
              <w:top w:w="70" w:type="dxa"/>
              <w:left w:w="80" w:type="dxa"/>
              <w:bottom w:w="70" w:type="dxa"/>
              <w:right w:w="80" w:type="dxa"/>
            </w:tcMar>
            <w:vAlign w:val="center"/>
          </w:tcPr>
          <w:p w14:paraId="531B802B" w14:textId="77777777" w:rsidR="00780387" w:rsidRPr="00C051CA" w:rsidRDefault="00780387" w:rsidP="00623EB8">
            <w:pPr>
              <w:spacing w:after="0" w:line="240" w:lineRule="auto"/>
              <w:rPr>
                <w:rFonts w:ascii="Calibri" w:hAnsi="Calibri" w:cs="Calibri"/>
              </w:rPr>
            </w:pPr>
            <w:r w:rsidRPr="00C051CA">
              <w:rPr>
                <w:rFonts w:ascii="Calibri" w:hAnsi="Calibri" w:cs="Calibri"/>
                <w:sz w:val="17"/>
              </w:rPr>
              <w:t>Not defined</w:t>
            </w:r>
          </w:p>
        </w:tc>
        <w:tc>
          <w:tcPr>
            <w:tcW w:w="1531" w:type="dxa"/>
            <w:tcMar>
              <w:top w:w="70" w:type="dxa"/>
              <w:left w:w="80" w:type="dxa"/>
              <w:bottom w:w="70" w:type="dxa"/>
              <w:right w:w="80" w:type="dxa"/>
            </w:tcMar>
            <w:vAlign w:val="center"/>
          </w:tcPr>
          <w:p w14:paraId="6110E5FC" w14:textId="477F0E20" w:rsidR="00780387" w:rsidRPr="00C051CA" w:rsidRDefault="00D77CAE" w:rsidP="00623EB8">
            <w:pPr>
              <w:spacing w:after="0" w:line="240" w:lineRule="auto"/>
              <w:rPr>
                <w:rFonts w:ascii="Calibri" w:hAnsi="Calibri" w:cs="Calibri"/>
              </w:rPr>
            </w:pPr>
            <w:r w:rsidRPr="00C051CA">
              <w:rPr>
                <w:rFonts w:ascii="Calibri" w:hAnsi="Calibri" w:cs="Calibri"/>
                <w:sz w:val="17"/>
              </w:rPr>
              <w:t>184.97</w:t>
            </w:r>
          </w:p>
        </w:tc>
        <w:tc>
          <w:tcPr>
            <w:tcW w:w="3118" w:type="dxa"/>
            <w:tcMar>
              <w:top w:w="70" w:type="dxa"/>
              <w:left w:w="80" w:type="dxa"/>
              <w:bottom w:w="70" w:type="dxa"/>
              <w:right w:w="80" w:type="dxa"/>
            </w:tcMar>
            <w:vAlign w:val="center"/>
          </w:tcPr>
          <w:p w14:paraId="0AA2D7D2" w14:textId="2B320CAA" w:rsidR="00780387" w:rsidRPr="00C051CA" w:rsidRDefault="00D77CAE" w:rsidP="00D77CAE">
            <w:pPr>
              <w:spacing w:after="0" w:line="240" w:lineRule="auto"/>
              <w:rPr>
                <w:rFonts w:ascii="Calibri" w:hAnsi="Calibri" w:cs="Calibri"/>
              </w:rPr>
            </w:pPr>
            <w:r w:rsidRPr="00C051CA">
              <w:rPr>
                <w:rFonts w:ascii="Calibri" w:hAnsi="Calibri" w:cs="Calibri"/>
                <w:sz w:val="17"/>
              </w:rPr>
              <w:t>European-reference QoL proxy; no directly equivalent life-expectancy reference value was defined</w:t>
            </w:r>
          </w:p>
        </w:tc>
      </w:tr>
    </w:tbl>
    <w:p w14:paraId="0510B4AA" w14:textId="23261B0B" w:rsidR="00BB0628" w:rsidRPr="00235AB4" w:rsidRDefault="00235AB4" w:rsidP="00235AB4">
      <w:pPr>
        <w:spacing w:after="40"/>
        <w:rPr>
          <w:rFonts w:ascii="Calibri" w:hAnsi="Calibri" w:cs="Calibri"/>
          <w:sz w:val="18"/>
          <w:szCs w:val="18"/>
        </w:rPr>
      </w:pPr>
      <w:r w:rsidRPr="00235AB4">
        <w:rPr>
          <w:rFonts w:ascii="Calibri" w:hAnsi="Calibri" w:cs="Calibri"/>
          <w:b/>
          <w:bCs/>
          <w:sz w:val="18"/>
          <w:szCs w:val="18"/>
        </w:rPr>
        <w:t>Note.</w:t>
      </w:r>
      <w:r w:rsidRPr="00235AB4">
        <w:rPr>
          <w:rFonts w:ascii="Calibri" w:hAnsi="Calibri" w:cs="Calibri"/>
          <w:sz w:val="18"/>
          <w:szCs w:val="18"/>
        </w:rPr>
        <w:t xml:space="preserve"> The life-expectancy values are external contextual reference data embedded in the six national implementations; they are not simulated JUNIPER outputs or independent validation statistics. No directly equivalent life-expectancy reference value was defined for the wider European reference geography. The QoL values are calibrated comparative living-conditions proxies and should not be interpreted as directly observed or methodologically homogeneous national welfare statistics.</w:t>
      </w:r>
    </w:p>
    <w:p w14:paraId="0C8EF77F" w14:textId="77777777" w:rsidR="00235AB4" w:rsidRPr="00C051CA" w:rsidRDefault="00235AB4" w:rsidP="00BB0628">
      <w:pPr>
        <w:spacing w:after="40"/>
        <w:rPr>
          <w:rFonts w:ascii="Calibri" w:hAnsi="Calibri" w:cs="Calibri"/>
        </w:rPr>
      </w:pPr>
    </w:p>
    <w:p w14:paraId="3AC67D73" w14:textId="235BB230" w:rsidR="00BB0628" w:rsidRPr="00C051CA" w:rsidRDefault="00BB0628" w:rsidP="00024892">
      <w:pPr>
        <w:pStyle w:val="Caption"/>
        <w:keepNext/>
        <w:rPr>
          <w:rFonts w:ascii="Calibri" w:hAnsi="Calibri" w:cs="Calibri"/>
          <w:color w:val="auto"/>
        </w:rPr>
      </w:pPr>
      <w:r w:rsidRPr="00C051CA">
        <w:rPr>
          <w:rFonts w:ascii="Calibri" w:hAnsi="Calibri" w:cs="Calibri"/>
          <w:color w:val="auto"/>
        </w:rPr>
        <w:t xml:space="preserve">Supplementary Table S2. </w:t>
      </w:r>
      <w:r w:rsidR="00024892" w:rsidRPr="00C051CA">
        <w:rPr>
          <w:rFonts w:ascii="Calibri" w:hAnsi="Calibri" w:cs="Calibri"/>
          <w:color w:val="auto"/>
        </w:rPr>
        <w:t>Human-system quantities and interpretive boundaries.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475"/>
        <w:gridCol w:w="2890"/>
        <w:gridCol w:w="1701"/>
        <w:gridCol w:w="3402"/>
      </w:tblGrid>
      <w:tr w:rsidR="00C051CA" w:rsidRPr="00C051CA" w14:paraId="265A6717" w14:textId="77777777" w:rsidTr="00024892">
        <w:trPr>
          <w:cantSplit/>
          <w:tblHeader/>
          <w:jc w:val="center"/>
        </w:trPr>
        <w:tc>
          <w:tcPr>
            <w:tcW w:w="1475" w:type="dxa"/>
            <w:shd w:val="clear" w:color="auto" w:fill="1F4E79"/>
            <w:tcMar>
              <w:top w:w="70" w:type="dxa"/>
              <w:left w:w="80" w:type="dxa"/>
              <w:bottom w:w="70" w:type="dxa"/>
              <w:right w:w="80" w:type="dxa"/>
            </w:tcMar>
            <w:vAlign w:val="center"/>
          </w:tcPr>
          <w:p w14:paraId="6BC766F0" w14:textId="47323BB6" w:rsidR="00BB0628" w:rsidRPr="00C051CA" w:rsidRDefault="00024892" w:rsidP="00024892">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Quantity/output</w:t>
            </w:r>
          </w:p>
        </w:tc>
        <w:tc>
          <w:tcPr>
            <w:tcW w:w="2890" w:type="dxa"/>
            <w:shd w:val="clear" w:color="auto" w:fill="1F4E79"/>
            <w:tcMar>
              <w:top w:w="70" w:type="dxa"/>
              <w:left w:w="80" w:type="dxa"/>
              <w:bottom w:w="70" w:type="dxa"/>
              <w:right w:w="80" w:type="dxa"/>
            </w:tcMar>
            <w:vAlign w:val="center"/>
          </w:tcPr>
          <w:p w14:paraId="5BC4EDF0" w14:textId="7ECB5A1A"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 xml:space="preserve">Role in </w:t>
            </w:r>
            <w:r w:rsidR="00024892" w:rsidRPr="00C051CA">
              <w:rPr>
                <w:rFonts w:ascii="Calibri" w:hAnsi="Calibri" w:cs="Calibri"/>
                <w:b/>
                <w:color w:val="FFFFFF" w:themeColor="background1"/>
                <w:sz w:val="17"/>
              </w:rPr>
              <w:t>the analysis</w:t>
            </w:r>
          </w:p>
        </w:tc>
        <w:tc>
          <w:tcPr>
            <w:tcW w:w="1701" w:type="dxa"/>
            <w:shd w:val="clear" w:color="auto" w:fill="1F4E79"/>
            <w:tcMar>
              <w:top w:w="70" w:type="dxa"/>
              <w:left w:w="80" w:type="dxa"/>
              <w:bottom w:w="70" w:type="dxa"/>
              <w:right w:w="80" w:type="dxa"/>
            </w:tcMar>
            <w:vAlign w:val="center"/>
          </w:tcPr>
          <w:p w14:paraId="2CE8E77B"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Reported scale</w:t>
            </w:r>
          </w:p>
        </w:tc>
        <w:tc>
          <w:tcPr>
            <w:tcW w:w="3402" w:type="dxa"/>
            <w:shd w:val="clear" w:color="auto" w:fill="1F4E79"/>
            <w:tcMar>
              <w:top w:w="70" w:type="dxa"/>
              <w:left w:w="80" w:type="dxa"/>
              <w:bottom w:w="70" w:type="dxa"/>
              <w:right w:w="80" w:type="dxa"/>
            </w:tcMar>
            <w:vAlign w:val="center"/>
          </w:tcPr>
          <w:p w14:paraId="7E05249C"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Interpretation and limitation</w:t>
            </w:r>
          </w:p>
        </w:tc>
      </w:tr>
      <w:tr w:rsidR="00C051CA" w:rsidRPr="00C051CA" w14:paraId="1A4F68F7" w14:textId="77777777" w:rsidTr="00024892">
        <w:trPr>
          <w:cantSplit/>
          <w:jc w:val="center"/>
        </w:trPr>
        <w:tc>
          <w:tcPr>
            <w:tcW w:w="1475" w:type="dxa"/>
            <w:tcMar>
              <w:top w:w="70" w:type="dxa"/>
              <w:left w:w="80" w:type="dxa"/>
              <w:bottom w:w="70" w:type="dxa"/>
              <w:right w:w="80" w:type="dxa"/>
            </w:tcMar>
            <w:vAlign w:val="center"/>
          </w:tcPr>
          <w:p w14:paraId="75319EEA" w14:textId="65968BA4" w:rsidR="00BB0628" w:rsidRPr="00C051CA" w:rsidRDefault="00024892" w:rsidP="00024892">
            <w:pPr>
              <w:spacing w:after="0" w:line="240" w:lineRule="auto"/>
              <w:rPr>
                <w:rFonts w:ascii="Calibri" w:hAnsi="Calibri" w:cs="Calibri"/>
                <w:sz w:val="17"/>
              </w:rPr>
            </w:pPr>
            <w:r w:rsidRPr="00C051CA">
              <w:rPr>
                <w:rFonts w:ascii="Calibri" w:hAnsi="Calibri" w:cs="Calibri"/>
                <w:sz w:val="17"/>
              </w:rPr>
              <w:t>National life-expectancy reference value</w:t>
            </w:r>
          </w:p>
        </w:tc>
        <w:tc>
          <w:tcPr>
            <w:tcW w:w="2890" w:type="dxa"/>
            <w:tcMar>
              <w:top w:w="70" w:type="dxa"/>
              <w:left w:w="80" w:type="dxa"/>
              <w:bottom w:w="70" w:type="dxa"/>
              <w:right w:w="80" w:type="dxa"/>
            </w:tcMar>
            <w:vAlign w:val="center"/>
          </w:tcPr>
          <w:p w14:paraId="0BAA74BE" w14:textId="3AFAA750" w:rsidR="00BB0628" w:rsidRPr="00C051CA" w:rsidRDefault="00024892" w:rsidP="00623EB8">
            <w:pPr>
              <w:spacing w:after="0" w:line="240" w:lineRule="auto"/>
              <w:rPr>
                <w:rFonts w:ascii="Calibri" w:hAnsi="Calibri" w:cs="Calibri"/>
                <w:sz w:val="17"/>
              </w:rPr>
            </w:pPr>
            <w:r w:rsidRPr="00C051CA">
              <w:rPr>
                <w:rFonts w:ascii="Calibri" w:hAnsi="Calibri" w:cs="Calibri"/>
                <w:sz w:val="17"/>
              </w:rPr>
              <w:t>External reference-series value embedded in each of the six national implementations</w:t>
            </w:r>
          </w:p>
        </w:tc>
        <w:tc>
          <w:tcPr>
            <w:tcW w:w="1701" w:type="dxa"/>
            <w:tcMar>
              <w:top w:w="70" w:type="dxa"/>
              <w:left w:w="80" w:type="dxa"/>
              <w:bottom w:w="70" w:type="dxa"/>
              <w:right w:w="80" w:type="dxa"/>
            </w:tcMar>
            <w:vAlign w:val="center"/>
          </w:tcPr>
          <w:p w14:paraId="254D488F" w14:textId="77777777" w:rsidR="00BB0628" w:rsidRPr="00C051CA" w:rsidRDefault="00BB0628" w:rsidP="00623EB8">
            <w:pPr>
              <w:spacing w:after="0" w:line="240" w:lineRule="auto"/>
              <w:rPr>
                <w:rFonts w:ascii="Calibri" w:hAnsi="Calibri" w:cs="Calibri"/>
                <w:sz w:val="17"/>
              </w:rPr>
            </w:pPr>
            <w:r w:rsidRPr="00C051CA">
              <w:rPr>
                <w:rFonts w:ascii="Calibri" w:hAnsi="Calibri" w:cs="Calibri"/>
                <w:sz w:val="17"/>
              </w:rPr>
              <w:t>Years</w:t>
            </w:r>
          </w:p>
        </w:tc>
        <w:tc>
          <w:tcPr>
            <w:tcW w:w="3402" w:type="dxa"/>
            <w:tcMar>
              <w:top w:w="70" w:type="dxa"/>
              <w:left w:w="80" w:type="dxa"/>
              <w:bottom w:w="70" w:type="dxa"/>
              <w:right w:w="80" w:type="dxa"/>
            </w:tcMar>
            <w:vAlign w:val="center"/>
          </w:tcPr>
          <w:p w14:paraId="20E55DE2" w14:textId="11EA1340" w:rsidR="00BB0628" w:rsidRPr="00C051CA" w:rsidRDefault="00024892" w:rsidP="00623EB8">
            <w:pPr>
              <w:spacing w:after="0" w:line="240" w:lineRule="auto"/>
              <w:rPr>
                <w:rFonts w:ascii="Calibri" w:hAnsi="Calibri" w:cs="Calibri"/>
                <w:sz w:val="17"/>
              </w:rPr>
            </w:pPr>
            <w:r w:rsidRPr="00C051CA">
              <w:rPr>
                <w:rFonts w:ascii="Calibri" w:hAnsi="Calibri" w:cs="Calibri"/>
                <w:sz w:val="17"/>
              </w:rPr>
              <w:t>Contextual longevity information only; not a simulated JUNIPER output, causal health effect or independent validation target. No directly equivalent value was defined for the wider European reference, and these values are excluded from the national-to-reference deviation dashboard.</w:t>
            </w:r>
          </w:p>
        </w:tc>
      </w:tr>
      <w:tr w:rsidR="00C051CA" w:rsidRPr="00C051CA" w14:paraId="5EE817F2" w14:textId="77777777" w:rsidTr="00024892">
        <w:trPr>
          <w:cantSplit/>
          <w:jc w:val="center"/>
        </w:trPr>
        <w:tc>
          <w:tcPr>
            <w:tcW w:w="1475" w:type="dxa"/>
            <w:shd w:val="clear" w:color="auto" w:fill="EEF4F8"/>
            <w:tcMar>
              <w:top w:w="70" w:type="dxa"/>
              <w:left w:w="80" w:type="dxa"/>
              <w:bottom w:w="70" w:type="dxa"/>
              <w:right w:w="80" w:type="dxa"/>
            </w:tcMar>
            <w:vAlign w:val="center"/>
          </w:tcPr>
          <w:p w14:paraId="737A989B" w14:textId="192AA587" w:rsidR="00BB0628" w:rsidRPr="00C051CA" w:rsidRDefault="00024892" w:rsidP="00623EB8">
            <w:pPr>
              <w:spacing w:after="0" w:line="240" w:lineRule="auto"/>
              <w:rPr>
                <w:rFonts w:ascii="Calibri" w:hAnsi="Calibri" w:cs="Calibri"/>
                <w:sz w:val="17"/>
              </w:rPr>
            </w:pPr>
            <w:r w:rsidRPr="00C051CA">
              <w:rPr>
                <w:rFonts w:ascii="Calibri" w:hAnsi="Calibri" w:cs="Calibri"/>
                <w:sz w:val="17"/>
              </w:rPr>
              <w:t>Calibrated QoL proxy</w:t>
            </w:r>
          </w:p>
        </w:tc>
        <w:tc>
          <w:tcPr>
            <w:tcW w:w="2890" w:type="dxa"/>
            <w:shd w:val="clear" w:color="auto" w:fill="EEF4F8"/>
            <w:tcMar>
              <w:top w:w="70" w:type="dxa"/>
              <w:left w:w="80" w:type="dxa"/>
              <w:bottom w:w="70" w:type="dxa"/>
              <w:right w:w="80" w:type="dxa"/>
            </w:tcMar>
            <w:vAlign w:val="center"/>
          </w:tcPr>
          <w:p w14:paraId="413D5A16" w14:textId="4C37A179" w:rsidR="00BB0628" w:rsidRPr="00C051CA" w:rsidRDefault="00024892" w:rsidP="00623EB8">
            <w:pPr>
              <w:spacing w:after="0" w:line="240" w:lineRule="auto"/>
              <w:rPr>
                <w:rFonts w:ascii="Calibri" w:hAnsi="Calibri" w:cs="Calibri"/>
                <w:sz w:val="17"/>
              </w:rPr>
            </w:pPr>
            <w:r w:rsidRPr="00C051CA">
              <w:rPr>
                <w:rFonts w:ascii="Calibri" w:hAnsi="Calibri" w:cs="Calibri"/>
                <w:sz w:val="17"/>
              </w:rPr>
              <w:t>Semi-endogenous composite of eight living-conditions components</w:t>
            </w:r>
          </w:p>
        </w:tc>
        <w:tc>
          <w:tcPr>
            <w:tcW w:w="1701" w:type="dxa"/>
            <w:shd w:val="clear" w:color="auto" w:fill="EEF4F8"/>
            <w:tcMar>
              <w:top w:w="70" w:type="dxa"/>
              <w:left w:w="80" w:type="dxa"/>
              <w:bottom w:w="70" w:type="dxa"/>
              <w:right w:w="80" w:type="dxa"/>
            </w:tcMar>
            <w:vAlign w:val="center"/>
          </w:tcPr>
          <w:p w14:paraId="69B5C77F" w14:textId="50F8759C" w:rsidR="00BB0628" w:rsidRPr="00C051CA" w:rsidRDefault="00024892" w:rsidP="00623EB8">
            <w:pPr>
              <w:spacing w:after="0" w:line="240" w:lineRule="auto"/>
              <w:rPr>
                <w:rFonts w:ascii="Calibri" w:hAnsi="Calibri" w:cs="Calibri"/>
                <w:sz w:val="17"/>
              </w:rPr>
            </w:pPr>
            <w:r w:rsidRPr="00C051CA">
              <w:rPr>
                <w:rFonts w:ascii="Calibri" w:hAnsi="Calibri" w:cs="Calibri"/>
                <w:sz w:val="17"/>
              </w:rPr>
              <w:t>Index units</w:t>
            </w:r>
          </w:p>
        </w:tc>
        <w:tc>
          <w:tcPr>
            <w:tcW w:w="3402" w:type="dxa"/>
            <w:shd w:val="clear" w:color="auto" w:fill="EEF4F8"/>
            <w:tcMar>
              <w:top w:w="70" w:type="dxa"/>
              <w:left w:w="80" w:type="dxa"/>
              <w:bottom w:w="70" w:type="dxa"/>
              <w:right w:w="80" w:type="dxa"/>
            </w:tcMar>
            <w:vAlign w:val="center"/>
          </w:tcPr>
          <w:p w14:paraId="7DB3343E" w14:textId="3572280E" w:rsidR="00BB0628" w:rsidRPr="00C051CA" w:rsidRDefault="00024892" w:rsidP="00623EB8">
            <w:pPr>
              <w:spacing w:after="0" w:line="240" w:lineRule="auto"/>
              <w:rPr>
                <w:rFonts w:ascii="Calibri" w:hAnsi="Calibri" w:cs="Calibri"/>
                <w:sz w:val="17"/>
              </w:rPr>
            </w:pPr>
            <w:r w:rsidRPr="00C051CA">
              <w:rPr>
                <w:rFonts w:ascii="Calibri" w:hAnsi="Calibri" w:cs="Calibri"/>
                <w:sz w:val="17"/>
              </w:rPr>
              <w:t xml:space="preserve">Comparative living-conditions proxy within the common JUNIPER framework; not </w:t>
            </w:r>
            <w:proofErr w:type="spellStart"/>
            <w:r w:rsidRPr="00C051CA">
              <w:rPr>
                <w:rFonts w:ascii="Calibri" w:hAnsi="Calibri" w:cs="Calibri"/>
                <w:sz w:val="17"/>
              </w:rPr>
              <w:t>HRQoL</w:t>
            </w:r>
            <w:proofErr w:type="spellEnd"/>
            <w:r w:rsidRPr="00C051CA">
              <w:rPr>
                <w:rFonts w:ascii="Calibri" w:hAnsi="Calibri" w:cs="Calibri"/>
                <w:sz w:val="17"/>
              </w:rPr>
              <w:t>, an observed welfare statistic or an independently validated absolute measure of national well-being.</w:t>
            </w:r>
          </w:p>
        </w:tc>
      </w:tr>
    </w:tbl>
    <w:p w14:paraId="483DDB34" w14:textId="77777777" w:rsidR="00BB0628" w:rsidRPr="00C051CA" w:rsidRDefault="00BB0628" w:rsidP="00BB0628">
      <w:pPr>
        <w:spacing w:after="40"/>
        <w:rPr>
          <w:rFonts w:ascii="Calibri" w:hAnsi="Calibri" w:cs="Calibri"/>
        </w:rPr>
      </w:pPr>
    </w:p>
    <w:p w14:paraId="080F2C9D" w14:textId="77777777" w:rsidR="00BB0628" w:rsidRPr="00C051CA" w:rsidRDefault="00BB0628" w:rsidP="00BB0628">
      <w:pPr>
        <w:rPr>
          <w:rFonts w:ascii="Calibri" w:hAnsi="Calibri" w:cs="Calibri"/>
        </w:rPr>
      </w:pPr>
      <w:r w:rsidRPr="00C051CA">
        <w:rPr>
          <w:rFonts w:ascii="Calibri" w:hAnsi="Calibri" w:cs="Calibri"/>
        </w:rPr>
        <w:br w:type="page"/>
      </w:r>
    </w:p>
    <w:p w14:paraId="492F4AE4" w14:textId="77777777" w:rsidR="00BB0628" w:rsidRPr="00C051CA" w:rsidRDefault="00BB0628" w:rsidP="00BB0628">
      <w:pPr>
        <w:pStyle w:val="Caption"/>
        <w:keepNext/>
        <w:rPr>
          <w:rFonts w:ascii="Calibri" w:hAnsi="Calibri" w:cs="Calibri"/>
          <w:color w:val="auto"/>
        </w:rPr>
      </w:pPr>
      <w:r w:rsidRPr="00C051CA">
        <w:rPr>
          <w:rFonts w:ascii="Calibri" w:hAnsi="Calibri" w:cs="Calibri"/>
          <w:color w:val="auto"/>
        </w:rPr>
        <w:lastRenderedPageBreak/>
        <w:t>Supplementary Table S3. QoL components and their roles in the JUNIPER aggregation rule.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2268"/>
        <w:gridCol w:w="1134"/>
        <w:gridCol w:w="2268"/>
        <w:gridCol w:w="3798"/>
      </w:tblGrid>
      <w:tr w:rsidR="00C051CA" w:rsidRPr="00C051CA" w14:paraId="06CAB6D6" w14:textId="77777777" w:rsidTr="00623EB8">
        <w:trPr>
          <w:cantSplit/>
          <w:tblHeader/>
          <w:jc w:val="center"/>
        </w:trPr>
        <w:tc>
          <w:tcPr>
            <w:tcW w:w="2268" w:type="dxa"/>
            <w:shd w:val="clear" w:color="auto" w:fill="1F4E79"/>
            <w:tcMar>
              <w:top w:w="70" w:type="dxa"/>
              <w:left w:w="80" w:type="dxa"/>
              <w:bottom w:w="70" w:type="dxa"/>
              <w:right w:w="80" w:type="dxa"/>
            </w:tcMar>
            <w:vAlign w:val="center"/>
          </w:tcPr>
          <w:p w14:paraId="3658EE16"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Component</w:t>
            </w:r>
          </w:p>
        </w:tc>
        <w:tc>
          <w:tcPr>
            <w:tcW w:w="1134" w:type="dxa"/>
            <w:shd w:val="clear" w:color="auto" w:fill="1F4E79"/>
            <w:tcMar>
              <w:top w:w="70" w:type="dxa"/>
              <w:left w:w="80" w:type="dxa"/>
              <w:bottom w:w="70" w:type="dxa"/>
              <w:right w:w="80" w:type="dxa"/>
            </w:tcMar>
            <w:vAlign w:val="center"/>
          </w:tcPr>
          <w:p w14:paraId="0CB292FE"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Symbol</w:t>
            </w:r>
          </w:p>
        </w:tc>
        <w:tc>
          <w:tcPr>
            <w:tcW w:w="2268" w:type="dxa"/>
            <w:shd w:val="clear" w:color="auto" w:fill="1F4E79"/>
            <w:tcMar>
              <w:top w:w="70" w:type="dxa"/>
              <w:left w:w="80" w:type="dxa"/>
              <w:bottom w:w="70" w:type="dxa"/>
              <w:right w:w="80" w:type="dxa"/>
            </w:tcMar>
            <w:vAlign w:val="center"/>
          </w:tcPr>
          <w:p w14:paraId="39BDDB50"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Implemented contribution</w:t>
            </w:r>
          </w:p>
        </w:tc>
        <w:tc>
          <w:tcPr>
            <w:tcW w:w="3798" w:type="dxa"/>
            <w:shd w:val="clear" w:color="auto" w:fill="1F4E79"/>
            <w:tcMar>
              <w:top w:w="70" w:type="dxa"/>
              <w:left w:w="80" w:type="dxa"/>
              <w:bottom w:w="70" w:type="dxa"/>
              <w:right w:w="80" w:type="dxa"/>
            </w:tcMar>
            <w:vAlign w:val="center"/>
          </w:tcPr>
          <w:p w14:paraId="43935904"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7"/>
              </w:rPr>
              <w:t>Interpretation</w:t>
            </w:r>
          </w:p>
        </w:tc>
      </w:tr>
      <w:tr w:rsidR="00C051CA" w:rsidRPr="00C051CA" w14:paraId="5B15913C" w14:textId="77777777" w:rsidTr="00623EB8">
        <w:trPr>
          <w:cantSplit/>
          <w:jc w:val="center"/>
        </w:trPr>
        <w:tc>
          <w:tcPr>
            <w:tcW w:w="2268" w:type="dxa"/>
            <w:tcMar>
              <w:top w:w="70" w:type="dxa"/>
              <w:left w:w="80" w:type="dxa"/>
              <w:bottom w:w="70" w:type="dxa"/>
              <w:right w:w="80" w:type="dxa"/>
            </w:tcMar>
            <w:vAlign w:val="center"/>
          </w:tcPr>
          <w:p w14:paraId="29D4F50D"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Purchasing Power</w:t>
            </w:r>
          </w:p>
        </w:tc>
        <w:tc>
          <w:tcPr>
            <w:tcW w:w="1134" w:type="dxa"/>
            <w:tcMar>
              <w:top w:w="70" w:type="dxa"/>
              <w:left w:w="80" w:type="dxa"/>
              <w:bottom w:w="70" w:type="dxa"/>
              <w:right w:w="80" w:type="dxa"/>
            </w:tcMar>
            <w:vAlign w:val="center"/>
          </w:tcPr>
          <w:p w14:paraId="69C9CE3C"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PP</w:t>
            </w:r>
          </w:p>
        </w:tc>
        <w:tc>
          <w:tcPr>
            <w:tcW w:w="2268" w:type="dxa"/>
            <w:tcMar>
              <w:top w:w="70" w:type="dxa"/>
              <w:left w:w="80" w:type="dxa"/>
              <w:bottom w:w="70" w:type="dxa"/>
              <w:right w:w="80" w:type="dxa"/>
            </w:tcMar>
            <w:vAlign w:val="center"/>
          </w:tcPr>
          <w:p w14:paraId="7DF9BDD1"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 PP/2.5</w:t>
            </w:r>
          </w:p>
        </w:tc>
        <w:tc>
          <w:tcPr>
            <w:tcW w:w="3798" w:type="dxa"/>
            <w:tcMar>
              <w:top w:w="70" w:type="dxa"/>
              <w:left w:w="80" w:type="dxa"/>
              <w:bottom w:w="70" w:type="dxa"/>
              <w:right w:w="80" w:type="dxa"/>
            </w:tcMar>
            <w:vAlign w:val="center"/>
          </w:tcPr>
          <w:p w14:paraId="70F3FBF3"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Higher values increase the QoL proxy.</w:t>
            </w:r>
          </w:p>
        </w:tc>
      </w:tr>
      <w:tr w:rsidR="00C051CA" w:rsidRPr="00C051CA" w14:paraId="045B778A" w14:textId="77777777" w:rsidTr="00623EB8">
        <w:trPr>
          <w:cantSplit/>
          <w:jc w:val="center"/>
        </w:trPr>
        <w:tc>
          <w:tcPr>
            <w:tcW w:w="2268" w:type="dxa"/>
            <w:shd w:val="clear" w:color="auto" w:fill="EEF4F8"/>
            <w:tcMar>
              <w:top w:w="70" w:type="dxa"/>
              <w:left w:w="80" w:type="dxa"/>
              <w:bottom w:w="70" w:type="dxa"/>
              <w:right w:w="80" w:type="dxa"/>
            </w:tcMar>
            <w:vAlign w:val="center"/>
          </w:tcPr>
          <w:p w14:paraId="6571A3A7"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Property Price-to-Income</w:t>
            </w:r>
          </w:p>
        </w:tc>
        <w:tc>
          <w:tcPr>
            <w:tcW w:w="1134" w:type="dxa"/>
            <w:shd w:val="clear" w:color="auto" w:fill="EEF4F8"/>
            <w:tcMar>
              <w:top w:w="70" w:type="dxa"/>
              <w:left w:w="80" w:type="dxa"/>
              <w:bottom w:w="70" w:type="dxa"/>
              <w:right w:w="80" w:type="dxa"/>
            </w:tcMar>
            <w:vAlign w:val="center"/>
          </w:tcPr>
          <w:p w14:paraId="53A03D58"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PPI</w:t>
            </w:r>
          </w:p>
        </w:tc>
        <w:tc>
          <w:tcPr>
            <w:tcW w:w="2268" w:type="dxa"/>
            <w:shd w:val="clear" w:color="auto" w:fill="EEF4F8"/>
            <w:tcMar>
              <w:top w:w="70" w:type="dxa"/>
              <w:left w:w="80" w:type="dxa"/>
              <w:bottom w:w="70" w:type="dxa"/>
              <w:right w:w="80" w:type="dxa"/>
            </w:tcMar>
            <w:vAlign w:val="center"/>
          </w:tcPr>
          <w:p w14:paraId="455E4697"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 PPI</w:t>
            </w:r>
          </w:p>
        </w:tc>
        <w:tc>
          <w:tcPr>
            <w:tcW w:w="3798" w:type="dxa"/>
            <w:shd w:val="clear" w:color="auto" w:fill="EEF4F8"/>
            <w:tcMar>
              <w:top w:w="70" w:type="dxa"/>
              <w:left w:w="80" w:type="dxa"/>
              <w:bottom w:w="70" w:type="dxa"/>
              <w:right w:w="80" w:type="dxa"/>
            </w:tcMar>
            <w:vAlign w:val="center"/>
          </w:tcPr>
          <w:p w14:paraId="4CC6DEBB"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Higher housing-cost burden decreases the QoL proxy.</w:t>
            </w:r>
          </w:p>
        </w:tc>
      </w:tr>
      <w:tr w:rsidR="00C051CA" w:rsidRPr="00C051CA" w14:paraId="13028D17" w14:textId="77777777" w:rsidTr="00623EB8">
        <w:trPr>
          <w:cantSplit/>
          <w:jc w:val="center"/>
        </w:trPr>
        <w:tc>
          <w:tcPr>
            <w:tcW w:w="2268" w:type="dxa"/>
            <w:tcMar>
              <w:top w:w="70" w:type="dxa"/>
              <w:left w:w="80" w:type="dxa"/>
              <w:bottom w:w="70" w:type="dxa"/>
              <w:right w:w="80" w:type="dxa"/>
            </w:tcMar>
            <w:vAlign w:val="center"/>
          </w:tcPr>
          <w:p w14:paraId="4405A72C"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Cost of Living</w:t>
            </w:r>
          </w:p>
        </w:tc>
        <w:tc>
          <w:tcPr>
            <w:tcW w:w="1134" w:type="dxa"/>
            <w:tcMar>
              <w:top w:w="70" w:type="dxa"/>
              <w:left w:w="80" w:type="dxa"/>
              <w:bottom w:w="70" w:type="dxa"/>
              <w:right w:w="80" w:type="dxa"/>
            </w:tcMar>
            <w:vAlign w:val="center"/>
          </w:tcPr>
          <w:p w14:paraId="27EB2C1C"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COL</w:t>
            </w:r>
          </w:p>
        </w:tc>
        <w:tc>
          <w:tcPr>
            <w:tcW w:w="2268" w:type="dxa"/>
            <w:tcMar>
              <w:top w:w="70" w:type="dxa"/>
              <w:left w:w="80" w:type="dxa"/>
              <w:bottom w:w="70" w:type="dxa"/>
              <w:right w:w="80" w:type="dxa"/>
            </w:tcMar>
            <w:vAlign w:val="center"/>
          </w:tcPr>
          <w:p w14:paraId="040801F2"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 COL/10</w:t>
            </w:r>
          </w:p>
        </w:tc>
        <w:tc>
          <w:tcPr>
            <w:tcW w:w="3798" w:type="dxa"/>
            <w:tcMar>
              <w:top w:w="70" w:type="dxa"/>
              <w:left w:w="80" w:type="dxa"/>
              <w:bottom w:w="70" w:type="dxa"/>
              <w:right w:w="80" w:type="dxa"/>
            </w:tcMar>
            <w:vAlign w:val="center"/>
          </w:tcPr>
          <w:p w14:paraId="423F573D"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Higher cost of living decreases the QoL proxy.</w:t>
            </w:r>
          </w:p>
        </w:tc>
      </w:tr>
      <w:tr w:rsidR="00C051CA" w:rsidRPr="00C051CA" w14:paraId="659C0BE1" w14:textId="77777777" w:rsidTr="00623EB8">
        <w:trPr>
          <w:cantSplit/>
          <w:jc w:val="center"/>
        </w:trPr>
        <w:tc>
          <w:tcPr>
            <w:tcW w:w="2268" w:type="dxa"/>
            <w:shd w:val="clear" w:color="auto" w:fill="EEF4F8"/>
            <w:tcMar>
              <w:top w:w="70" w:type="dxa"/>
              <w:left w:w="80" w:type="dxa"/>
              <w:bottom w:w="70" w:type="dxa"/>
              <w:right w:w="80" w:type="dxa"/>
            </w:tcMar>
            <w:vAlign w:val="center"/>
          </w:tcPr>
          <w:p w14:paraId="63EB5B3C"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Safety</w:t>
            </w:r>
          </w:p>
        </w:tc>
        <w:tc>
          <w:tcPr>
            <w:tcW w:w="1134" w:type="dxa"/>
            <w:shd w:val="clear" w:color="auto" w:fill="EEF4F8"/>
            <w:tcMar>
              <w:top w:w="70" w:type="dxa"/>
              <w:left w:w="80" w:type="dxa"/>
              <w:bottom w:w="70" w:type="dxa"/>
              <w:right w:w="80" w:type="dxa"/>
            </w:tcMar>
            <w:vAlign w:val="center"/>
          </w:tcPr>
          <w:p w14:paraId="5717E942"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SI</w:t>
            </w:r>
          </w:p>
        </w:tc>
        <w:tc>
          <w:tcPr>
            <w:tcW w:w="2268" w:type="dxa"/>
            <w:shd w:val="clear" w:color="auto" w:fill="EEF4F8"/>
            <w:tcMar>
              <w:top w:w="70" w:type="dxa"/>
              <w:left w:w="80" w:type="dxa"/>
              <w:bottom w:w="70" w:type="dxa"/>
              <w:right w:w="80" w:type="dxa"/>
            </w:tcMar>
            <w:vAlign w:val="center"/>
          </w:tcPr>
          <w:p w14:paraId="4B5C685C"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 SI/2</w:t>
            </w:r>
          </w:p>
        </w:tc>
        <w:tc>
          <w:tcPr>
            <w:tcW w:w="3798" w:type="dxa"/>
            <w:shd w:val="clear" w:color="auto" w:fill="EEF4F8"/>
            <w:tcMar>
              <w:top w:w="70" w:type="dxa"/>
              <w:left w:w="80" w:type="dxa"/>
              <w:bottom w:w="70" w:type="dxa"/>
              <w:right w:w="80" w:type="dxa"/>
            </w:tcMar>
            <w:vAlign w:val="center"/>
          </w:tcPr>
          <w:p w14:paraId="331C7407"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Higher safety increases the QoL proxy.</w:t>
            </w:r>
          </w:p>
        </w:tc>
      </w:tr>
      <w:tr w:rsidR="00C051CA" w:rsidRPr="00C051CA" w14:paraId="1F0AC3DD" w14:textId="77777777" w:rsidTr="00623EB8">
        <w:trPr>
          <w:cantSplit/>
          <w:jc w:val="center"/>
        </w:trPr>
        <w:tc>
          <w:tcPr>
            <w:tcW w:w="2268" w:type="dxa"/>
            <w:tcMar>
              <w:top w:w="70" w:type="dxa"/>
              <w:left w:w="80" w:type="dxa"/>
              <w:bottom w:w="70" w:type="dxa"/>
              <w:right w:w="80" w:type="dxa"/>
            </w:tcMar>
            <w:vAlign w:val="center"/>
          </w:tcPr>
          <w:p w14:paraId="2E80A0B0"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Health Care</w:t>
            </w:r>
          </w:p>
        </w:tc>
        <w:tc>
          <w:tcPr>
            <w:tcW w:w="1134" w:type="dxa"/>
            <w:tcMar>
              <w:top w:w="70" w:type="dxa"/>
              <w:left w:w="80" w:type="dxa"/>
              <w:bottom w:w="70" w:type="dxa"/>
              <w:right w:w="80" w:type="dxa"/>
            </w:tcMar>
            <w:vAlign w:val="center"/>
          </w:tcPr>
          <w:p w14:paraId="17A153A3"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HCI</w:t>
            </w:r>
          </w:p>
        </w:tc>
        <w:tc>
          <w:tcPr>
            <w:tcW w:w="2268" w:type="dxa"/>
            <w:tcMar>
              <w:top w:w="70" w:type="dxa"/>
              <w:left w:w="80" w:type="dxa"/>
              <w:bottom w:w="70" w:type="dxa"/>
              <w:right w:w="80" w:type="dxa"/>
            </w:tcMar>
            <w:vAlign w:val="center"/>
          </w:tcPr>
          <w:p w14:paraId="23124392"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 HCI/2.5</w:t>
            </w:r>
          </w:p>
        </w:tc>
        <w:tc>
          <w:tcPr>
            <w:tcW w:w="3798" w:type="dxa"/>
            <w:tcMar>
              <w:top w:w="70" w:type="dxa"/>
              <w:left w:w="80" w:type="dxa"/>
              <w:bottom w:w="70" w:type="dxa"/>
              <w:right w:w="80" w:type="dxa"/>
            </w:tcMar>
            <w:vAlign w:val="center"/>
          </w:tcPr>
          <w:p w14:paraId="0EB70A17"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Higher health-care index increases the QoL proxy.</w:t>
            </w:r>
          </w:p>
        </w:tc>
      </w:tr>
      <w:tr w:rsidR="00C051CA" w:rsidRPr="00C051CA" w14:paraId="6FB18727" w14:textId="77777777" w:rsidTr="00623EB8">
        <w:trPr>
          <w:cantSplit/>
          <w:jc w:val="center"/>
        </w:trPr>
        <w:tc>
          <w:tcPr>
            <w:tcW w:w="2268" w:type="dxa"/>
            <w:shd w:val="clear" w:color="auto" w:fill="EEF4F8"/>
            <w:tcMar>
              <w:top w:w="70" w:type="dxa"/>
              <w:left w:w="80" w:type="dxa"/>
              <w:bottom w:w="70" w:type="dxa"/>
              <w:right w:w="80" w:type="dxa"/>
            </w:tcMar>
            <w:vAlign w:val="center"/>
          </w:tcPr>
          <w:p w14:paraId="7B08AEE7"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Traffic Commute Time</w:t>
            </w:r>
          </w:p>
        </w:tc>
        <w:tc>
          <w:tcPr>
            <w:tcW w:w="1134" w:type="dxa"/>
            <w:shd w:val="clear" w:color="auto" w:fill="EEF4F8"/>
            <w:tcMar>
              <w:top w:w="70" w:type="dxa"/>
              <w:left w:w="80" w:type="dxa"/>
              <w:bottom w:w="70" w:type="dxa"/>
              <w:right w:w="80" w:type="dxa"/>
            </w:tcMar>
            <w:vAlign w:val="center"/>
          </w:tcPr>
          <w:p w14:paraId="172AC7E9"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TCTI</w:t>
            </w:r>
          </w:p>
        </w:tc>
        <w:tc>
          <w:tcPr>
            <w:tcW w:w="2268" w:type="dxa"/>
            <w:shd w:val="clear" w:color="auto" w:fill="EEF4F8"/>
            <w:tcMar>
              <w:top w:w="70" w:type="dxa"/>
              <w:left w:w="80" w:type="dxa"/>
              <w:bottom w:w="70" w:type="dxa"/>
              <w:right w:w="80" w:type="dxa"/>
            </w:tcMar>
            <w:vAlign w:val="center"/>
          </w:tcPr>
          <w:p w14:paraId="5F43F003"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 TCTI/2</w:t>
            </w:r>
          </w:p>
        </w:tc>
        <w:tc>
          <w:tcPr>
            <w:tcW w:w="3798" w:type="dxa"/>
            <w:shd w:val="clear" w:color="auto" w:fill="EEF4F8"/>
            <w:tcMar>
              <w:top w:w="70" w:type="dxa"/>
              <w:left w:w="80" w:type="dxa"/>
              <w:bottom w:w="70" w:type="dxa"/>
              <w:right w:w="80" w:type="dxa"/>
            </w:tcMar>
            <w:vAlign w:val="center"/>
          </w:tcPr>
          <w:p w14:paraId="4C5B9009"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Longer commuting burden decreases the QoL proxy.</w:t>
            </w:r>
          </w:p>
        </w:tc>
      </w:tr>
      <w:tr w:rsidR="00C051CA" w:rsidRPr="00C051CA" w14:paraId="1F9502E0" w14:textId="77777777" w:rsidTr="00623EB8">
        <w:trPr>
          <w:cantSplit/>
          <w:jc w:val="center"/>
        </w:trPr>
        <w:tc>
          <w:tcPr>
            <w:tcW w:w="2268" w:type="dxa"/>
            <w:tcMar>
              <w:top w:w="70" w:type="dxa"/>
              <w:left w:w="80" w:type="dxa"/>
              <w:bottom w:w="70" w:type="dxa"/>
              <w:right w:w="80" w:type="dxa"/>
            </w:tcMar>
            <w:vAlign w:val="center"/>
          </w:tcPr>
          <w:p w14:paraId="089AD3DD"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Pollution</w:t>
            </w:r>
          </w:p>
        </w:tc>
        <w:tc>
          <w:tcPr>
            <w:tcW w:w="1134" w:type="dxa"/>
            <w:tcMar>
              <w:top w:w="70" w:type="dxa"/>
              <w:left w:w="80" w:type="dxa"/>
              <w:bottom w:w="70" w:type="dxa"/>
              <w:right w:w="80" w:type="dxa"/>
            </w:tcMar>
            <w:vAlign w:val="center"/>
          </w:tcPr>
          <w:p w14:paraId="36BE7FF4"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PI</w:t>
            </w:r>
          </w:p>
        </w:tc>
        <w:tc>
          <w:tcPr>
            <w:tcW w:w="2268" w:type="dxa"/>
            <w:tcMar>
              <w:top w:w="70" w:type="dxa"/>
              <w:left w:w="80" w:type="dxa"/>
              <w:bottom w:w="70" w:type="dxa"/>
              <w:right w:w="80" w:type="dxa"/>
            </w:tcMar>
            <w:vAlign w:val="center"/>
          </w:tcPr>
          <w:p w14:paraId="453F9619"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− 2PI/3</w:t>
            </w:r>
          </w:p>
        </w:tc>
        <w:tc>
          <w:tcPr>
            <w:tcW w:w="3798" w:type="dxa"/>
            <w:tcMar>
              <w:top w:w="70" w:type="dxa"/>
              <w:left w:w="80" w:type="dxa"/>
              <w:bottom w:w="70" w:type="dxa"/>
              <w:right w:w="80" w:type="dxa"/>
            </w:tcMar>
            <w:vAlign w:val="center"/>
          </w:tcPr>
          <w:p w14:paraId="336E0A7C"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Higher pollution decreases the QoL proxy.</w:t>
            </w:r>
          </w:p>
        </w:tc>
      </w:tr>
      <w:tr w:rsidR="00BB0628" w:rsidRPr="00C051CA" w14:paraId="4D5A6BA7" w14:textId="77777777" w:rsidTr="00623EB8">
        <w:trPr>
          <w:cantSplit/>
          <w:jc w:val="center"/>
        </w:trPr>
        <w:tc>
          <w:tcPr>
            <w:tcW w:w="2268" w:type="dxa"/>
            <w:shd w:val="clear" w:color="auto" w:fill="EEF4F8"/>
            <w:tcMar>
              <w:top w:w="70" w:type="dxa"/>
              <w:left w:w="80" w:type="dxa"/>
              <w:bottom w:w="70" w:type="dxa"/>
              <w:right w:w="80" w:type="dxa"/>
            </w:tcMar>
            <w:vAlign w:val="center"/>
          </w:tcPr>
          <w:p w14:paraId="329C1E52"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Climate</w:t>
            </w:r>
          </w:p>
        </w:tc>
        <w:tc>
          <w:tcPr>
            <w:tcW w:w="1134" w:type="dxa"/>
            <w:shd w:val="clear" w:color="auto" w:fill="EEF4F8"/>
            <w:tcMar>
              <w:top w:w="70" w:type="dxa"/>
              <w:left w:w="80" w:type="dxa"/>
              <w:bottom w:w="70" w:type="dxa"/>
              <w:right w:w="80" w:type="dxa"/>
            </w:tcMar>
            <w:vAlign w:val="center"/>
          </w:tcPr>
          <w:p w14:paraId="2A440C8D"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CI</w:t>
            </w:r>
          </w:p>
        </w:tc>
        <w:tc>
          <w:tcPr>
            <w:tcW w:w="2268" w:type="dxa"/>
            <w:shd w:val="clear" w:color="auto" w:fill="EEF4F8"/>
            <w:tcMar>
              <w:top w:w="70" w:type="dxa"/>
              <w:left w:w="80" w:type="dxa"/>
              <w:bottom w:w="70" w:type="dxa"/>
              <w:right w:w="80" w:type="dxa"/>
            </w:tcMar>
            <w:vAlign w:val="center"/>
          </w:tcPr>
          <w:p w14:paraId="0FA2521F"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 CI/3</w:t>
            </w:r>
          </w:p>
        </w:tc>
        <w:tc>
          <w:tcPr>
            <w:tcW w:w="3798" w:type="dxa"/>
            <w:shd w:val="clear" w:color="auto" w:fill="EEF4F8"/>
            <w:tcMar>
              <w:top w:w="70" w:type="dxa"/>
              <w:left w:w="80" w:type="dxa"/>
              <w:bottom w:w="70" w:type="dxa"/>
              <w:right w:w="80" w:type="dxa"/>
            </w:tcMar>
            <w:vAlign w:val="center"/>
          </w:tcPr>
          <w:p w14:paraId="61351B05" w14:textId="77777777" w:rsidR="00BB0628" w:rsidRPr="00C051CA" w:rsidRDefault="00BB0628" w:rsidP="00623EB8">
            <w:pPr>
              <w:spacing w:after="0" w:line="240" w:lineRule="auto"/>
              <w:rPr>
                <w:rFonts w:ascii="Calibri" w:hAnsi="Calibri" w:cs="Calibri"/>
              </w:rPr>
            </w:pPr>
            <w:r w:rsidRPr="00C051CA">
              <w:rPr>
                <w:rFonts w:ascii="Calibri" w:hAnsi="Calibri" w:cs="Calibri"/>
                <w:sz w:val="17"/>
              </w:rPr>
              <w:t xml:space="preserve">More </w:t>
            </w:r>
            <w:proofErr w:type="spellStart"/>
            <w:r w:rsidRPr="00C051CA">
              <w:rPr>
                <w:rFonts w:ascii="Calibri" w:hAnsi="Calibri" w:cs="Calibri"/>
                <w:sz w:val="17"/>
              </w:rPr>
              <w:t>favourable</w:t>
            </w:r>
            <w:proofErr w:type="spellEnd"/>
            <w:r w:rsidRPr="00C051CA">
              <w:rPr>
                <w:rFonts w:ascii="Calibri" w:hAnsi="Calibri" w:cs="Calibri"/>
                <w:sz w:val="17"/>
              </w:rPr>
              <w:t xml:space="preserve"> climate conditions increase the QoL proxy.</w:t>
            </w:r>
          </w:p>
        </w:tc>
      </w:tr>
    </w:tbl>
    <w:p w14:paraId="20E0C188" w14:textId="77777777" w:rsidR="00BB0628" w:rsidRPr="00C051CA" w:rsidRDefault="00BB0628" w:rsidP="00BB0628">
      <w:pPr>
        <w:spacing w:after="40"/>
        <w:rPr>
          <w:rFonts w:ascii="Calibri" w:hAnsi="Calibri" w:cs="Calibri"/>
        </w:rPr>
      </w:pPr>
    </w:p>
    <w:p w14:paraId="696D4C68" w14:textId="77777777" w:rsidR="00BB0628" w:rsidRPr="00C051CA" w:rsidRDefault="00BB0628" w:rsidP="00BB0628">
      <w:pPr>
        <w:spacing w:after="120" w:line="240" w:lineRule="auto"/>
        <w:ind w:left="283" w:right="283"/>
        <w:rPr>
          <w:rFonts w:ascii="Calibri" w:hAnsi="Calibri" w:cs="Calibri"/>
          <w:i/>
          <w:sz w:val="18"/>
        </w:rPr>
      </w:pPr>
      <w:r w:rsidRPr="00C051CA">
        <w:rPr>
          <w:rFonts w:ascii="Calibri" w:hAnsi="Calibri" w:cs="Calibri"/>
          <w:b/>
          <w:i/>
          <w:sz w:val="18"/>
        </w:rPr>
        <w:t xml:space="preserve">Note. </w:t>
      </w:r>
      <w:r w:rsidRPr="00C051CA">
        <w:rPr>
          <w:rFonts w:ascii="Calibri" w:hAnsi="Calibri" w:cs="Calibri"/>
          <w:i/>
          <w:sz w:val="18"/>
        </w:rPr>
        <w:t>Specific data treatment varies by jurisdiction and component availability. Component trajectories may be imported as external series or reconstructed from JUNIPER drivers using calibrated scaling relations. The 2013–2019 reference series is used for calibration and benchmarking only; absolute cross-country welfare interpretation is avoided.</w:t>
      </w:r>
    </w:p>
    <w:p w14:paraId="4E0C4577" w14:textId="77777777" w:rsidR="00BB0628" w:rsidRPr="00C051CA" w:rsidRDefault="00BB0628" w:rsidP="00BB0628">
      <w:pPr>
        <w:spacing w:after="120" w:line="240" w:lineRule="auto"/>
        <w:ind w:left="283" w:right="283"/>
        <w:rPr>
          <w:rFonts w:ascii="Calibri" w:hAnsi="Calibri" w:cs="Calibri"/>
        </w:rPr>
      </w:pPr>
    </w:p>
    <w:p w14:paraId="21190EFF" w14:textId="77777777" w:rsidR="00BB0628" w:rsidRPr="00C051CA" w:rsidRDefault="00BB0628" w:rsidP="00BB0628">
      <w:pPr>
        <w:pStyle w:val="Caption"/>
        <w:keepNext/>
        <w:rPr>
          <w:rFonts w:ascii="Calibri" w:hAnsi="Calibri" w:cs="Calibri"/>
          <w:color w:val="auto"/>
        </w:rPr>
      </w:pPr>
      <w:r w:rsidRPr="00C051CA">
        <w:rPr>
          <w:rFonts w:ascii="Calibri" w:hAnsi="Calibri" w:cs="Calibri"/>
          <w:color w:val="auto"/>
        </w:rPr>
        <w:t>Supplementary Table S4. Evidence role and intended interpretation of the JUNIPER-Europe benchmark outputs.</w:t>
      </w:r>
    </w:p>
    <w:tbl>
      <w:tblPr>
        <w:tblW w:w="10035" w:type="dxa"/>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71"/>
        <w:gridCol w:w="1928"/>
        <w:gridCol w:w="1247"/>
        <w:gridCol w:w="2438"/>
        <w:gridCol w:w="2551"/>
      </w:tblGrid>
      <w:tr w:rsidR="00C051CA" w:rsidRPr="00C051CA" w14:paraId="0F3D8B9E" w14:textId="77777777" w:rsidTr="00E30D16">
        <w:trPr>
          <w:cantSplit/>
          <w:tblHeader/>
          <w:jc w:val="center"/>
        </w:trPr>
        <w:tc>
          <w:tcPr>
            <w:tcW w:w="1871" w:type="dxa"/>
            <w:shd w:val="clear" w:color="auto" w:fill="1F4E79"/>
            <w:tcMar>
              <w:top w:w="70" w:type="dxa"/>
              <w:left w:w="80" w:type="dxa"/>
              <w:bottom w:w="70" w:type="dxa"/>
              <w:right w:w="80" w:type="dxa"/>
            </w:tcMar>
            <w:vAlign w:val="center"/>
          </w:tcPr>
          <w:p w14:paraId="5960FE9D"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5"/>
              </w:rPr>
              <w:t>Output class</w:t>
            </w:r>
          </w:p>
        </w:tc>
        <w:tc>
          <w:tcPr>
            <w:tcW w:w="1928" w:type="dxa"/>
            <w:shd w:val="clear" w:color="auto" w:fill="1F4E79"/>
            <w:tcMar>
              <w:top w:w="70" w:type="dxa"/>
              <w:left w:w="80" w:type="dxa"/>
              <w:bottom w:w="70" w:type="dxa"/>
              <w:right w:w="80" w:type="dxa"/>
            </w:tcMar>
            <w:vAlign w:val="center"/>
          </w:tcPr>
          <w:p w14:paraId="7914ACCA"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5"/>
              </w:rPr>
              <w:t>Evidence role</w:t>
            </w:r>
          </w:p>
        </w:tc>
        <w:tc>
          <w:tcPr>
            <w:tcW w:w="1247" w:type="dxa"/>
            <w:shd w:val="clear" w:color="auto" w:fill="1F4E79"/>
            <w:tcMar>
              <w:top w:w="70" w:type="dxa"/>
              <w:left w:w="80" w:type="dxa"/>
              <w:bottom w:w="70" w:type="dxa"/>
              <w:right w:w="80" w:type="dxa"/>
            </w:tcMar>
            <w:vAlign w:val="center"/>
          </w:tcPr>
          <w:p w14:paraId="2935C6D5"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5"/>
              </w:rPr>
              <w:t>Independence</w:t>
            </w:r>
          </w:p>
        </w:tc>
        <w:tc>
          <w:tcPr>
            <w:tcW w:w="2438" w:type="dxa"/>
            <w:shd w:val="clear" w:color="auto" w:fill="1F4E79"/>
            <w:tcMar>
              <w:top w:w="70" w:type="dxa"/>
              <w:left w:w="80" w:type="dxa"/>
              <w:bottom w:w="70" w:type="dxa"/>
              <w:right w:w="80" w:type="dxa"/>
            </w:tcMar>
            <w:vAlign w:val="center"/>
          </w:tcPr>
          <w:p w14:paraId="0F19A031"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5"/>
              </w:rPr>
              <w:t>Intended interpretation</w:t>
            </w:r>
          </w:p>
        </w:tc>
        <w:tc>
          <w:tcPr>
            <w:tcW w:w="2551" w:type="dxa"/>
            <w:shd w:val="clear" w:color="auto" w:fill="1F4E79"/>
            <w:tcMar>
              <w:top w:w="70" w:type="dxa"/>
              <w:left w:w="80" w:type="dxa"/>
              <w:bottom w:w="70" w:type="dxa"/>
              <w:right w:w="80" w:type="dxa"/>
            </w:tcMar>
            <w:vAlign w:val="center"/>
          </w:tcPr>
          <w:p w14:paraId="65231DDD" w14:textId="77777777" w:rsidR="00BB0628" w:rsidRPr="00C051CA" w:rsidRDefault="00BB0628" w:rsidP="00623EB8">
            <w:pPr>
              <w:spacing w:after="0" w:line="240" w:lineRule="auto"/>
              <w:rPr>
                <w:rFonts w:ascii="Calibri" w:hAnsi="Calibri" w:cs="Calibri"/>
                <w:color w:val="FFFFFF" w:themeColor="background1"/>
              </w:rPr>
            </w:pPr>
            <w:r w:rsidRPr="00C051CA">
              <w:rPr>
                <w:rFonts w:ascii="Calibri" w:hAnsi="Calibri" w:cs="Calibri"/>
                <w:b/>
                <w:color w:val="FFFFFF" w:themeColor="background1"/>
                <w:sz w:val="15"/>
              </w:rPr>
              <w:t>Not claimed</w:t>
            </w:r>
          </w:p>
        </w:tc>
      </w:tr>
      <w:tr w:rsidR="00C051CA" w:rsidRPr="00C051CA" w14:paraId="06B7BA00" w14:textId="77777777" w:rsidTr="00E30D16">
        <w:trPr>
          <w:cantSplit/>
          <w:jc w:val="center"/>
        </w:trPr>
        <w:tc>
          <w:tcPr>
            <w:tcW w:w="1871" w:type="dxa"/>
            <w:tcMar>
              <w:top w:w="70" w:type="dxa"/>
              <w:left w:w="80" w:type="dxa"/>
              <w:bottom w:w="70" w:type="dxa"/>
              <w:right w:w="80" w:type="dxa"/>
            </w:tcMar>
            <w:vAlign w:val="center"/>
          </w:tcPr>
          <w:p w14:paraId="4721E831"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WEI</w:t>
            </w:r>
          </w:p>
        </w:tc>
        <w:tc>
          <w:tcPr>
            <w:tcW w:w="1928" w:type="dxa"/>
            <w:tcMar>
              <w:top w:w="70" w:type="dxa"/>
              <w:left w:w="80" w:type="dxa"/>
              <w:bottom w:w="70" w:type="dxa"/>
              <w:right w:w="80" w:type="dxa"/>
            </w:tcMar>
            <w:vAlign w:val="center"/>
          </w:tcPr>
          <w:p w14:paraId="7AD577B0"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 xml:space="preserve">Historical accounting / </w:t>
            </w:r>
            <w:proofErr w:type="spellStart"/>
            <w:r w:rsidRPr="00C051CA">
              <w:rPr>
                <w:rFonts w:ascii="Calibri" w:hAnsi="Calibri" w:cs="Calibri"/>
                <w:sz w:val="15"/>
              </w:rPr>
              <w:t>behaviour</w:t>
            </w:r>
            <w:proofErr w:type="spellEnd"/>
            <w:r w:rsidRPr="00C051CA">
              <w:rPr>
                <w:rFonts w:ascii="Calibri" w:hAnsi="Calibri" w:cs="Calibri"/>
                <w:sz w:val="15"/>
              </w:rPr>
              <w:t>-reproduction indicator</w:t>
            </w:r>
          </w:p>
        </w:tc>
        <w:tc>
          <w:tcPr>
            <w:tcW w:w="1247" w:type="dxa"/>
            <w:tcMar>
              <w:top w:w="70" w:type="dxa"/>
              <w:left w:w="80" w:type="dxa"/>
              <w:bottom w:w="70" w:type="dxa"/>
              <w:right w:w="80" w:type="dxa"/>
            </w:tcMar>
            <w:vAlign w:val="center"/>
          </w:tcPr>
          <w:p w14:paraId="6A5D9D9C"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Limited</w:t>
            </w:r>
          </w:p>
        </w:tc>
        <w:tc>
          <w:tcPr>
            <w:tcW w:w="2438" w:type="dxa"/>
            <w:tcMar>
              <w:top w:w="70" w:type="dxa"/>
              <w:left w:w="80" w:type="dxa"/>
              <w:bottom w:w="70" w:type="dxa"/>
              <w:right w:w="80" w:type="dxa"/>
            </w:tcMar>
            <w:vAlign w:val="center"/>
          </w:tcPr>
          <w:p w14:paraId="2474617C"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Relative water-pressure comparison under common annual accounting</w:t>
            </w:r>
          </w:p>
        </w:tc>
        <w:tc>
          <w:tcPr>
            <w:tcW w:w="2551" w:type="dxa"/>
            <w:tcMar>
              <w:top w:w="70" w:type="dxa"/>
              <w:left w:w="80" w:type="dxa"/>
              <w:bottom w:w="70" w:type="dxa"/>
              <w:right w:w="80" w:type="dxa"/>
            </w:tcMar>
            <w:vAlign w:val="center"/>
          </w:tcPr>
          <w:p w14:paraId="1FCC9689"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Independent prediction of water scarcity or seasonal WEI+ assessment</w:t>
            </w:r>
          </w:p>
        </w:tc>
      </w:tr>
      <w:tr w:rsidR="00C051CA" w:rsidRPr="00C051CA" w14:paraId="5AD1D0F1" w14:textId="77777777" w:rsidTr="00E30D16">
        <w:trPr>
          <w:cantSplit/>
          <w:jc w:val="center"/>
        </w:trPr>
        <w:tc>
          <w:tcPr>
            <w:tcW w:w="1871" w:type="dxa"/>
            <w:shd w:val="clear" w:color="auto" w:fill="EEF4F8"/>
            <w:tcMar>
              <w:top w:w="70" w:type="dxa"/>
              <w:left w:w="80" w:type="dxa"/>
              <w:bottom w:w="70" w:type="dxa"/>
              <w:right w:w="80" w:type="dxa"/>
            </w:tcMar>
            <w:vAlign w:val="center"/>
          </w:tcPr>
          <w:p w14:paraId="51673644"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Selected withdrawal shares</w:t>
            </w:r>
          </w:p>
        </w:tc>
        <w:tc>
          <w:tcPr>
            <w:tcW w:w="1928" w:type="dxa"/>
            <w:shd w:val="clear" w:color="auto" w:fill="EEF4F8"/>
            <w:tcMar>
              <w:top w:w="70" w:type="dxa"/>
              <w:left w:w="80" w:type="dxa"/>
              <w:bottom w:w="70" w:type="dxa"/>
              <w:right w:w="80" w:type="dxa"/>
            </w:tcMar>
            <w:vAlign w:val="center"/>
          </w:tcPr>
          <w:p w14:paraId="7F99A53E"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Output composition / accounting check</w:t>
            </w:r>
          </w:p>
        </w:tc>
        <w:tc>
          <w:tcPr>
            <w:tcW w:w="1247" w:type="dxa"/>
            <w:shd w:val="clear" w:color="auto" w:fill="EEF4F8"/>
            <w:tcMar>
              <w:top w:w="70" w:type="dxa"/>
              <w:left w:w="80" w:type="dxa"/>
              <w:bottom w:w="70" w:type="dxa"/>
              <w:right w:w="80" w:type="dxa"/>
            </w:tcMar>
            <w:vAlign w:val="center"/>
          </w:tcPr>
          <w:p w14:paraId="446533DC"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Limited to none</w:t>
            </w:r>
          </w:p>
        </w:tc>
        <w:tc>
          <w:tcPr>
            <w:tcW w:w="2438" w:type="dxa"/>
            <w:shd w:val="clear" w:color="auto" w:fill="EEF4F8"/>
            <w:tcMar>
              <w:top w:w="70" w:type="dxa"/>
              <w:left w:w="80" w:type="dxa"/>
              <w:bottom w:w="70" w:type="dxa"/>
              <w:right w:w="80" w:type="dxa"/>
            </w:tcMar>
            <w:vAlign w:val="center"/>
          </w:tcPr>
          <w:p w14:paraId="79834DD1"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Relative prominence of selected domestic, agricultural, and industrial components</w:t>
            </w:r>
          </w:p>
        </w:tc>
        <w:tc>
          <w:tcPr>
            <w:tcW w:w="2551" w:type="dxa"/>
            <w:shd w:val="clear" w:color="auto" w:fill="EEF4F8"/>
            <w:tcMar>
              <w:top w:w="70" w:type="dxa"/>
              <w:left w:w="80" w:type="dxa"/>
              <w:bottom w:w="70" w:type="dxa"/>
              <w:right w:w="80" w:type="dxa"/>
            </w:tcMar>
            <w:vAlign w:val="center"/>
          </w:tcPr>
          <w:p w14:paraId="3D4D5565"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Complete decomposition of total withdrawals in every implementation</w:t>
            </w:r>
          </w:p>
        </w:tc>
      </w:tr>
      <w:tr w:rsidR="00C051CA" w:rsidRPr="00C051CA" w14:paraId="405A1094" w14:textId="77777777" w:rsidTr="00E30D16">
        <w:trPr>
          <w:cantSplit/>
          <w:jc w:val="center"/>
        </w:trPr>
        <w:tc>
          <w:tcPr>
            <w:tcW w:w="1871" w:type="dxa"/>
            <w:tcMar>
              <w:top w:w="70" w:type="dxa"/>
              <w:left w:w="80" w:type="dxa"/>
              <w:bottom w:w="70" w:type="dxa"/>
              <w:right w:w="80" w:type="dxa"/>
            </w:tcMar>
            <w:vAlign w:val="center"/>
          </w:tcPr>
          <w:p w14:paraId="3E4991CE"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Food-, Energy-, and Transport-module GHG contributions</w:t>
            </w:r>
          </w:p>
        </w:tc>
        <w:tc>
          <w:tcPr>
            <w:tcW w:w="1928" w:type="dxa"/>
            <w:tcMar>
              <w:top w:w="70" w:type="dxa"/>
              <w:left w:w="80" w:type="dxa"/>
              <w:bottom w:w="70" w:type="dxa"/>
              <w:right w:w="80" w:type="dxa"/>
            </w:tcMar>
            <w:vAlign w:val="center"/>
          </w:tcPr>
          <w:p w14:paraId="276B6707"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Internal cross-module accounting consistency</w:t>
            </w:r>
          </w:p>
        </w:tc>
        <w:tc>
          <w:tcPr>
            <w:tcW w:w="1247" w:type="dxa"/>
            <w:tcMar>
              <w:top w:w="70" w:type="dxa"/>
              <w:left w:w="80" w:type="dxa"/>
              <w:bottom w:w="70" w:type="dxa"/>
              <w:right w:w="80" w:type="dxa"/>
            </w:tcMar>
            <w:vAlign w:val="center"/>
          </w:tcPr>
          <w:p w14:paraId="5E5C2D31"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No external validation</w:t>
            </w:r>
          </w:p>
        </w:tc>
        <w:tc>
          <w:tcPr>
            <w:tcW w:w="2438" w:type="dxa"/>
            <w:tcMar>
              <w:top w:w="70" w:type="dxa"/>
              <w:left w:w="80" w:type="dxa"/>
              <w:bottom w:w="70" w:type="dxa"/>
              <w:right w:w="80" w:type="dxa"/>
            </w:tcMar>
            <w:vAlign w:val="center"/>
          </w:tcPr>
          <w:p w14:paraId="113E8CBE"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Composition of the exported JUNIPER total simulated GHG output</w:t>
            </w:r>
          </w:p>
        </w:tc>
        <w:tc>
          <w:tcPr>
            <w:tcW w:w="2551" w:type="dxa"/>
            <w:tcMar>
              <w:top w:w="70" w:type="dxa"/>
              <w:left w:w="80" w:type="dxa"/>
              <w:bottom w:w="70" w:type="dxa"/>
              <w:right w:w="80" w:type="dxa"/>
            </w:tcMar>
            <w:vAlign w:val="center"/>
          </w:tcPr>
          <w:p w14:paraId="27AA03A1"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Official national inventory-sector shares or mitigation effectiveness</w:t>
            </w:r>
          </w:p>
        </w:tc>
      </w:tr>
      <w:tr w:rsidR="00C051CA" w:rsidRPr="00C051CA" w14:paraId="448777E7" w14:textId="77777777" w:rsidTr="00E30D16">
        <w:trPr>
          <w:cantSplit/>
          <w:jc w:val="center"/>
        </w:trPr>
        <w:tc>
          <w:tcPr>
            <w:tcW w:w="1871" w:type="dxa"/>
            <w:shd w:val="clear" w:color="auto" w:fill="EEF4F8"/>
            <w:tcMar>
              <w:top w:w="70" w:type="dxa"/>
              <w:left w:w="80" w:type="dxa"/>
              <w:bottom w:w="70" w:type="dxa"/>
              <w:right w:w="80" w:type="dxa"/>
            </w:tcMar>
            <w:vAlign w:val="center"/>
          </w:tcPr>
          <w:p w14:paraId="5A3AD67B"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 xml:space="preserve">Simulated RLI and </w:t>
            </w:r>
            <w:proofErr w:type="spellStart"/>
            <w:r w:rsidRPr="00C051CA">
              <w:rPr>
                <w:rFonts w:ascii="Calibri" w:hAnsi="Calibri" w:cs="Calibri"/>
                <w:sz w:val="15"/>
              </w:rPr>
              <w:t>RLIe</w:t>
            </w:r>
            <w:proofErr w:type="spellEnd"/>
            <w:r w:rsidRPr="00C051CA">
              <w:rPr>
                <w:rFonts w:ascii="Calibri" w:hAnsi="Calibri" w:cs="Calibri"/>
                <w:sz w:val="15"/>
              </w:rPr>
              <w:t xml:space="preserve"> screening proxies</w:t>
            </w:r>
          </w:p>
        </w:tc>
        <w:tc>
          <w:tcPr>
            <w:tcW w:w="1928" w:type="dxa"/>
            <w:shd w:val="clear" w:color="auto" w:fill="EEF4F8"/>
            <w:tcMar>
              <w:top w:w="70" w:type="dxa"/>
              <w:left w:w="80" w:type="dxa"/>
              <w:bottom w:w="70" w:type="dxa"/>
              <w:right w:w="80" w:type="dxa"/>
            </w:tcMar>
            <w:vAlign w:val="center"/>
          </w:tcPr>
          <w:p w14:paraId="1E4308EC"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Pressure-derived risk-screening outputs</w:t>
            </w:r>
          </w:p>
        </w:tc>
        <w:tc>
          <w:tcPr>
            <w:tcW w:w="1247" w:type="dxa"/>
            <w:shd w:val="clear" w:color="auto" w:fill="EEF4F8"/>
            <w:tcMar>
              <w:top w:w="70" w:type="dxa"/>
              <w:left w:w="80" w:type="dxa"/>
              <w:bottom w:w="70" w:type="dxa"/>
              <w:right w:w="80" w:type="dxa"/>
            </w:tcMar>
            <w:vAlign w:val="center"/>
          </w:tcPr>
          <w:p w14:paraId="0CBA1037"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No external validation</w:t>
            </w:r>
          </w:p>
        </w:tc>
        <w:tc>
          <w:tcPr>
            <w:tcW w:w="2438" w:type="dxa"/>
            <w:shd w:val="clear" w:color="auto" w:fill="EEF4F8"/>
            <w:tcMar>
              <w:top w:w="70" w:type="dxa"/>
              <w:left w:w="80" w:type="dxa"/>
              <w:bottom w:w="70" w:type="dxa"/>
              <w:right w:w="80" w:type="dxa"/>
            </w:tcMar>
            <w:vAlign w:val="center"/>
          </w:tcPr>
          <w:p w14:paraId="590CD696"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Comparative species- and ecosystem-risk screening under common mappings</w:t>
            </w:r>
          </w:p>
        </w:tc>
        <w:tc>
          <w:tcPr>
            <w:tcW w:w="2551" w:type="dxa"/>
            <w:shd w:val="clear" w:color="auto" w:fill="EEF4F8"/>
            <w:tcMar>
              <w:top w:w="70" w:type="dxa"/>
              <w:left w:w="80" w:type="dxa"/>
              <w:bottom w:w="70" w:type="dxa"/>
              <w:right w:w="80" w:type="dxa"/>
            </w:tcMar>
            <w:vAlign w:val="center"/>
          </w:tcPr>
          <w:p w14:paraId="5C9112B4" w14:textId="77777777" w:rsidR="00BB0628" w:rsidRPr="00C051CA" w:rsidRDefault="00BB0628" w:rsidP="00623EB8">
            <w:pPr>
              <w:spacing w:after="0" w:line="240" w:lineRule="auto"/>
              <w:rPr>
                <w:rFonts w:ascii="Calibri" w:hAnsi="Calibri" w:cs="Calibri"/>
              </w:rPr>
            </w:pPr>
            <w:r w:rsidRPr="00C051CA">
              <w:rPr>
                <w:rFonts w:ascii="Calibri" w:hAnsi="Calibri" w:cs="Calibri"/>
                <w:sz w:val="15"/>
              </w:rPr>
              <w:t>Official national IUCN indices, empirical reassessments, or causal biodiversity attribution</w:t>
            </w:r>
          </w:p>
        </w:tc>
      </w:tr>
      <w:tr w:rsidR="00C051CA" w:rsidRPr="00C051CA" w14:paraId="754D49FE" w14:textId="77777777" w:rsidTr="00E30D16">
        <w:trPr>
          <w:cantSplit/>
          <w:jc w:val="center"/>
        </w:trPr>
        <w:tc>
          <w:tcPr>
            <w:tcW w:w="1871" w:type="dxa"/>
            <w:tcMar>
              <w:top w:w="70" w:type="dxa"/>
              <w:left w:w="80" w:type="dxa"/>
              <w:bottom w:w="70" w:type="dxa"/>
              <w:right w:w="80" w:type="dxa"/>
            </w:tcMar>
            <w:vAlign w:val="center"/>
          </w:tcPr>
          <w:p w14:paraId="1C0FC411" w14:textId="276295F9" w:rsidR="00BB0628" w:rsidRPr="00C051CA" w:rsidRDefault="00C051CA" w:rsidP="00623EB8">
            <w:pPr>
              <w:spacing w:after="0" w:line="240" w:lineRule="auto"/>
              <w:rPr>
                <w:rFonts w:ascii="Calibri" w:hAnsi="Calibri" w:cs="Calibri"/>
                <w:sz w:val="15"/>
              </w:rPr>
            </w:pPr>
            <w:r w:rsidRPr="00C051CA">
              <w:rPr>
                <w:rFonts w:ascii="Calibri" w:hAnsi="Calibri" w:cs="Calibri"/>
                <w:sz w:val="15"/>
              </w:rPr>
              <w:t>National life-expectancy reference values</w:t>
            </w:r>
          </w:p>
        </w:tc>
        <w:tc>
          <w:tcPr>
            <w:tcW w:w="1928" w:type="dxa"/>
            <w:tcMar>
              <w:top w:w="70" w:type="dxa"/>
              <w:left w:w="80" w:type="dxa"/>
              <w:bottom w:w="70" w:type="dxa"/>
              <w:right w:w="80" w:type="dxa"/>
            </w:tcMar>
            <w:vAlign w:val="center"/>
          </w:tcPr>
          <w:p w14:paraId="23E19047" w14:textId="08A5289B" w:rsidR="00BB0628" w:rsidRPr="00C051CA" w:rsidRDefault="00C051CA" w:rsidP="00623EB8">
            <w:pPr>
              <w:spacing w:after="0" w:line="240" w:lineRule="auto"/>
              <w:rPr>
                <w:rFonts w:ascii="Calibri" w:hAnsi="Calibri" w:cs="Calibri"/>
                <w:sz w:val="15"/>
              </w:rPr>
            </w:pPr>
            <w:r w:rsidRPr="00C051CA">
              <w:rPr>
                <w:rFonts w:ascii="Calibri" w:hAnsi="Calibri" w:cs="Calibri"/>
                <w:sz w:val="15"/>
              </w:rPr>
              <w:t>External contextual reference series</w:t>
            </w:r>
          </w:p>
        </w:tc>
        <w:tc>
          <w:tcPr>
            <w:tcW w:w="1247" w:type="dxa"/>
            <w:tcMar>
              <w:top w:w="70" w:type="dxa"/>
              <w:left w:w="80" w:type="dxa"/>
              <w:bottom w:w="70" w:type="dxa"/>
              <w:right w:w="80" w:type="dxa"/>
            </w:tcMar>
            <w:vAlign w:val="center"/>
          </w:tcPr>
          <w:p w14:paraId="1F68ADF1" w14:textId="1A2B50CE" w:rsidR="00BB0628" w:rsidRPr="00C051CA" w:rsidRDefault="00C051CA" w:rsidP="00623EB8">
            <w:pPr>
              <w:spacing w:after="0" w:line="240" w:lineRule="auto"/>
              <w:rPr>
                <w:rFonts w:ascii="Calibri" w:hAnsi="Calibri" w:cs="Calibri"/>
                <w:sz w:val="15"/>
              </w:rPr>
            </w:pPr>
            <w:r w:rsidRPr="00C051CA">
              <w:rPr>
                <w:rFonts w:ascii="Calibri" w:hAnsi="Calibri" w:cs="Calibri"/>
                <w:sz w:val="15"/>
              </w:rPr>
              <w:t>Not model outputs</w:t>
            </w:r>
          </w:p>
        </w:tc>
        <w:tc>
          <w:tcPr>
            <w:tcW w:w="2438" w:type="dxa"/>
            <w:tcMar>
              <w:top w:w="70" w:type="dxa"/>
              <w:left w:w="80" w:type="dxa"/>
              <w:bottom w:w="70" w:type="dxa"/>
              <w:right w:w="80" w:type="dxa"/>
            </w:tcMar>
            <w:vAlign w:val="center"/>
          </w:tcPr>
          <w:p w14:paraId="0DE5A83B" w14:textId="0812969C" w:rsidR="00BB0628" w:rsidRPr="00C051CA" w:rsidRDefault="00C051CA" w:rsidP="00623EB8">
            <w:pPr>
              <w:spacing w:after="0" w:line="240" w:lineRule="auto"/>
              <w:rPr>
                <w:rFonts w:ascii="Calibri" w:hAnsi="Calibri" w:cs="Calibri"/>
                <w:sz w:val="15"/>
              </w:rPr>
            </w:pPr>
            <w:r w:rsidRPr="00C051CA">
              <w:rPr>
                <w:rFonts w:ascii="Calibri" w:hAnsi="Calibri" w:cs="Calibri"/>
                <w:sz w:val="15"/>
              </w:rPr>
              <w:t>Descriptive longevity context for the six national implementations</w:t>
            </w:r>
          </w:p>
        </w:tc>
        <w:tc>
          <w:tcPr>
            <w:tcW w:w="2551" w:type="dxa"/>
            <w:tcMar>
              <w:top w:w="70" w:type="dxa"/>
              <w:left w:w="80" w:type="dxa"/>
              <w:bottom w:w="70" w:type="dxa"/>
              <w:right w:w="80" w:type="dxa"/>
            </w:tcMar>
            <w:vAlign w:val="center"/>
          </w:tcPr>
          <w:p w14:paraId="3E73A352" w14:textId="6771EE97" w:rsidR="00BB0628" w:rsidRPr="00C051CA" w:rsidRDefault="00C051CA" w:rsidP="00623EB8">
            <w:pPr>
              <w:spacing w:after="0" w:line="240" w:lineRule="auto"/>
              <w:rPr>
                <w:rFonts w:ascii="Calibri" w:hAnsi="Calibri" w:cs="Calibri"/>
                <w:sz w:val="15"/>
              </w:rPr>
            </w:pPr>
            <w:r w:rsidRPr="00C051CA">
              <w:rPr>
                <w:rFonts w:ascii="Calibri" w:hAnsi="Calibri" w:cs="Calibri"/>
                <w:sz w:val="15"/>
              </w:rPr>
              <w:t>Simulated health effects, causal effects, independent model validation or European-reference comparison</w:t>
            </w:r>
          </w:p>
        </w:tc>
      </w:tr>
      <w:tr w:rsidR="00E30D16" w:rsidRPr="00C051CA" w14:paraId="6013A462" w14:textId="77777777" w:rsidTr="00E04D96">
        <w:trPr>
          <w:cantSplit/>
          <w:jc w:val="center"/>
        </w:trPr>
        <w:tc>
          <w:tcPr>
            <w:tcW w:w="1871" w:type="dxa"/>
            <w:shd w:val="clear" w:color="auto" w:fill="EEF4F8"/>
            <w:tcMar>
              <w:top w:w="70" w:type="dxa"/>
              <w:left w:w="80" w:type="dxa"/>
              <w:bottom w:w="70" w:type="dxa"/>
              <w:right w:w="80" w:type="dxa"/>
            </w:tcMar>
            <w:vAlign w:val="center"/>
          </w:tcPr>
          <w:p w14:paraId="33846C29" w14:textId="77777777" w:rsidR="00E30D16" w:rsidRPr="00C051CA" w:rsidRDefault="00E30D16" w:rsidP="00E04D96">
            <w:pPr>
              <w:spacing w:after="0" w:line="240" w:lineRule="auto"/>
              <w:rPr>
                <w:rFonts w:ascii="Calibri" w:hAnsi="Calibri" w:cs="Calibri"/>
              </w:rPr>
            </w:pPr>
            <w:r w:rsidRPr="00C051CA">
              <w:rPr>
                <w:rFonts w:ascii="Calibri" w:hAnsi="Calibri" w:cs="Calibri"/>
                <w:sz w:val="15"/>
              </w:rPr>
              <w:t>Calibrated QoL proxy</w:t>
            </w:r>
          </w:p>
        </w:tc>
        <w:tc>
          <w:tcPr>
            <w:tcW w:w="1928" w:type="dxa"/>
            <w:shd w:val="clear" w:color="auto" w:fill="EEF4F8"/>
            <w:tcMar>
              <w:top w:w="70" w:type="dxa"/>
              <w:left w:w="80" w:type="dxa"/>
              <w:bottom w:w="70" w:type="dxa"/>
              <w:right w:w="80" w:type="dxa"/>
            </w:tcMar>
            <w:vAlign w:val="center"/>
          </w:tcPr>
          <w:p w14:paraId="7A362BBF" w14:textId="77777777" w:rsidR="00E30D16" w:rsidRPr="00C051CA" w:rsidRDefault="00E30D16" w:rsidP="00E04D96">
            <w:pPr>
              <w:spacing w:after="0" w:line="240" w:lineRule="auto"/>
              <w:rPr>
                <w:rFonts w:ascii="Calibri" w:hAnsi="Calibri" w:cs="Calibri"/>
              </w:rPr>
            </w:pPr>
            <w:r w:rsidRPr="00C051CA">
              <w:rPr>
                <w:rFonts w:ascii="Calibri" w:hAnsi="Calibri" w:cs="Calibri"/>
                <w:sz w:val="15"/>
              </w:rPr>
              <w:t>In-sample calibration / reconstruction benchmark</w:t>
            </w:r>
          </w:p>
        </w:tc>
        <w:tc>
          <w:tcPr>
            <w:tcW w:w="1247" w:type="dxa"/>
            <w:shd w:val="clear" w:color="auto" w:fill="EEF4F8"/>
            <w:tcMar>
              <w:top w:w="70" w:type="dxa"/>
              <w:left w:w="80" w:type="dxa"/>
              <w:bottom w:w="70" w:type="dxa"/>
              <w:right w:w="80" w:type="dxa"/>
            </w:tcMar>
            <w:vAlign w:val="center"/>
          </w:tcPr>
          <w:p w14:paraId="0B3929D6" w14:textId="77777777" w:rsidR="00E30D16" w:rsidRPr="00C051CA" w:rsidRDefault="00E30D16" w:rsidP="00E04D96">
            <w:pPr>
              <w:spacing w:after="0" w:line="240" w:lineRule="auto"/>
              <w:rPr>
                <w:rFonts w:ascii="Calibri" w:hAnsi="Calibri" w:cs="Calibri"/>
              </w:rPr>
            </w:pPr>
            <w:r w:rsidRPr="00C051CA">
              <w:rPr>
                <w:rFonts w:ascii="Calibri" w:hAnsi="Calibri" w:cs="Calibri"/>
                <w:sz w:val="15"/>
              </w:rPr>
              <w:t>No independent validation</w:t>
            </w:r>
          </w:p>
        </w:tc>
        <w:tc>
          <w:tcPr>
            <w:tcW w:w="2438" w:type="dxa"/>
            <w:shd w:val="clear" w:color="auto" w:fill="EEF4F8"/>
            <w:tcMar>
              <w:top w:w="70" w:type="dxa"/>
              <w:left w:w="80" w:type="dxa"/>
              <w:bottom w:w="70" w:type="dxa"/>
              <w:right w:w="80" w:type="dxa"/>
            </w:tcMar>
            <w:vAlign w:val="center"/>
          </w:tcPr>
          <w:p w14:paraId="2B06BC5A" w14:textId="77777777" w:rsidR="00E30D16" w:rsidRPr="00523761" w:rsidRDefault="00E30D16" w:rsidP="00E04D96">
            <w:pPr>
              <w:spacing w:after="0" w:line="240" w:lineRule="auto"/>
              <w:rPr>
                <w:rFonts w:ascii="Calibri" w:hAnsi="Calibri" w:cs="Calibri"/>
                <w:sz w:val="15"/>
              </w:rPr>
            </w:pPr>
            <w:r w:rsidRPr="00C051CA">
              <w:rPr>
                <w:rFonts w:ascii="Calibri" w:hAnsi="Calibri" w:cs="Calibri"/>
                <w:sz w:val="15"/>
              </w:rPr>
              <w:t>Relative living-conditions comparison within the common framework</w:t>
            </w:r>
            <w:r w:rsidRPr="00523761">
              <w:rPr>
                <w:rFonts w:ascii="Calibri" w:hAnsi="Calibri" w:cs="Calibri"/>
                <w:sz w:val="15"/>
              </w:rPr>
              <w:t>, including descriptive comparison with the European reference</w:t>
            </w:r>
          </w:p>
        </w:tc>
        <w:tc>
          <w:tcPr>
            <w:tcW w:w="2551" w:type="dxa"/>
            <w:shd w:val="clear" w:color="auto" w:fill="EEF4F8"/>
            <w:tcMar>
              <w:top w:w="70" w:type="dxa"/>
              <w:left w:w="80" w:type="dxa"/>
              <w:bottom w:w="70" w:type="dxa"/>
              <w:right w:w="80" w:type="dxa"/>
            </w:tcMar>
            <w:vAlign w:val="center"/>
          </w:tcPr>
          <w:p w14:paraId="3C7498B8" w14:textId="77777777" w:rsidR="00E30D16" w:rsidRPr="00523761" w:rsidRDefault="00E30D16" w:rsidP="00E04D96">
            <w:pPr>
              <w:spacing w:after="0" w:line="240" w:lineRule="auto"/>
              <w:rPr>
                <w:rFonts w:ascii="Calibri" w:hAnsi="Calibri" w:cs="Calibri"/>
                <w:sz w:val="15"/>
              </w:rPr>
            </w:pPr>
            <w:r w:rsidRPr="00523761">
              <w:rPr>
                <w:rFonts w:ascii="Calibri" w:hAnsi="Calibri" w:cs="Calibri"/>
                <w:sz w:val="15"/>
              </w:rPr>
              <w:t xml:space="preserve">Observed welfare statistic, </w:t>
            </w:r>
            <w:proofErr w:type="spellStart"/>
            <w:r w:rsidRPr="00523761">
              <w:rPr>
                <w:rFonts w:ascii="Calibri" w:hAnsi="Calibri" w:cs="Calibri"/>
                <w:sz w:val="15"/>
              </w:rPr>
              <w:t>HRQoL</w:t>
            </w:r>
            <w:proofErr w:type="spellEnd"/>
            <w:r w:rsidRPr="00523761">
              <w:rPr>
                <w:rFonts w:ascii="Calibri" w:hAnsi="Calibri" w:cs="Calibri"/>
                <w:sz w:val="15"/>
              </w:rPr>
              <w:t>, causal health effect or independent validation</w:t>
            </w:r>
          </w:p>
        </w:tc>
      </w:tr>
      <w:tr w:rsidR="00E30D16" w:rsidRPr="00C051CA" w14:paraId="54C7CD11" w14:textId="77777777" w:rsidTr="00E04D96">
        <w:trPr>
          <w:cantSplit/>
          <w:jc w:val="center"/>
        </w:trPr>
        <w:tc>
          <w:tcPr>
            <w:tcW w:w="1871" w:type="dxa"/>
            <w:tcMar>
              <w:top w:w="70" w:type="dxa"/>
              <w:left w:w="80" w:type="dxa"/>
              <w:bottom w:w="70" w:type="dxa"/>
              <w:right w:w="80" w:type="dxa"/>
            </w:tcMar>
            <w:vAlign w:val="center"/>
          </w:tcPr>
          <w:p w14:paraId="0440D471" w14:textId="77777777" w:rsidR="00E30D16" w:rsidRPr="00C051CA" w:rsidRDefault="00E30D16" w:rsidP="00E04D96">
            <w:pPr>
              <w:spacing w:after="0" w:line="240" w:lineRule="auto"/>
              <w:rPr>
                <w:rFonts w:ascii="Calibri" w:hAnsi="Calibri" w:cs="Calibri"/>
              </w:rPr>
            </w:pPr>
            <w:r w:rsidRPr="00C051CA">
              <w:rPr>
                <w:rFonts w:ascii="Calibri" w:hAnsi="Calibri" w:cs="Calibri"/>
                <w:sz w:val="15"/>
              </w:rPr>
              <w:t>National deviation from European reference</w:t>
            </w:r>
          </w:p>
        </w:tc>
        <w:tc>
          <w:tcPr>
            <w:tcW w:w="1928" w:type="dxa"/>
            <w:tcMar>
              <w:top w:w="70" w:type="dxa"/>
              <w:left w:w="80" w:type="dxa"/>
              <w:bottom w:w="70" w:type="dxa"/>
              <w:right w:w="80" w:type="dxa"/>
            </w:tcMar>
            <w:vAlign w:val="center"/>
          </w:tcPr>
          <w:p w14:paraId="4622AA33" w14:textId="77777777" w:rsidR="00E30D16" w:rsidRPr="00C051CA" w:rsidRDefault="00E30D16" w:rsidP="00E04D96">
            <w:pPr>
              <w:spacing w:after="0" w:line="240" w:lineRule="auto"/>
              <w:rPr>
                <w:rFonts w:ascii="Calibri" w:hAnsi="Calibri" w:cs="Calibri"/>
              </w:rPr>
            </w:pPr>
            <w:r w:rsidRPr="00C051CA">
              <w:rPr>
                <w:rFonts w:ascii="Calibri" w:hAnsi="Calibri" w:cs="Calibri"/>
                <w:sz w:val="15"/>
              </w:rPr>
              <w:t>Descriptive benchmarking transformation</w:t>
            </w:r>
          </w:p>
        </w:tc>
        <w:tc>
          <w:tcPr>
            <w:tcW w:w="1247" w:type="dxa"/>
            <w:tcMar>
              <w:top w:w="70" w:type="dxa"/>
              <w:left w:w="80" w:type="dxa"/>
              <w:bottom w:w="70" w:type="dxa"/>
              <w:right w:w="80" w:type="dxa"/>
            </w:tcMar>
            <w:vAlign w:val="center"/>
          </w:tcPr>
          <w:p w14:paraId="3AE83461" w14:textId="77777777" w:rsidR="00E30D16" w:rsidRPr="00C051CA" w:rsidRDefault="00E30D16" w:rsidP="00E04D96">
            <w:pPr>
              <w:spacing w:after="0" w:line="240" w:lineRule="auto"/>
              <w:rPr>
                <w:rFonts w:ascii="Calibri" w:hAnsi="Calibri" w:cs="Calibri"/>
              </w:rPr>
            </w:pPr>
            <w:r w:rsidRPr="00C051CA">
              <w:rPr>
                <w:rFonts w:ascii="Calibri" w:hAnsi="Calibri" w:cs="Calibri"/>
                <w:sz w:val="15"/>
              </w:rPr>
              <w:t>Not independent</w:t>
            </w:r>
          </w:p>
        </w:tc>
        <w:tc>
          <w:tcPr>
            <w:tcW w:w="2438" w:type="dxa"/>
            <w:tcMar>
              <w:top w:w="70" w:type="dxa"/>
              <w:left w:w="80" w:type="dxa"/>
              <w:bottom w:w="70" w:type="dxa"/>
              <w:right w:w="80" w:type="dxa"/>
            </w:tcMar>
            <w:vAlign w:val="center"/>
          </w:tcPr>
          <w:p w14:paraId="792E3C82" w14:textId="77777777" w:rsidR="00E30D16" w:rsidRPr="00C051CA" w:rsidRDefault="00E30D16" w:rsidP="00E04D96">
            <w:pPr>
              <w:spacing w:after="0" w:line="240" w:lineRule="auto"/>
              <w:rPr>
                <w:rFonts w:ascii="Calibri" w:hAnsi="Calibri" w:cs="Calibri"/>
              </w:rPr>
            </w:pPr>
            <w:r w:rsidRPr="00C051CA">
              <w:rPr>
                <w:rFonts w:ascii="Calibri" w:hAnsi="Calibri" w:cs="Calibri"/>
                <w:sz w:val="15"/>
              </w:rPr>
              <w:t>Magnitude and direction of national departure from the wider reference</w:t>
            </w:r>
          </w:p>
        </w:tc>
        <w:tc>
          <w:tcPr>
            <w:tcW w:w="2551" w:type="dxa"/>
            <w:tcMar>
              <w:top w:w="70" w:type="dxa"/>
              <w:left w:w="80" w:type="dxa"/>
              <w:bottom w:w="70" w:type="dxa"/>
              <w:right w:w="80" w:type="dxa"/>
            </w:tcMar>
            <w:vAlign w:val="center"/>
          </w:tcPr>
          <w:p w14:paraId="7DD44E2B" w14:textId="77777777" w:rsidR="00E30D16" w:rsidRPr="00C051CA" w:rsidRDefault="00E30D16" w:rsidP="00E04D96">
            <w:pPr>
              <w:spacing w:after="0" w:line="240" w:lineRule="auto"/>
              <w:rPr>
                <w:rFonts w:ascii="Calibri" w:hAnsi="Calibri" w:cs="Calibri"/>
              </w:rPr>
            </w:pPr>
            <w:r w:rsidRPr="00C051CA">
              <w:rPr>
                <w:rFonts w:ascii="Calibri" w:hAnsi="Calibri" w:cs="Calibri"/>
                <w:sz w:val="15"/>
              </w:rPr>
              <w:t>Statistically independent country-versus-reference test or causal contrast</w:t>
            </w:r>
          </w:p>
        </w:tc>
      </w:tr>
    </w:tbl>
    <w:p w14:paraId="18DFAE5D" w14:textId="2C91CA7B" w:rsidR="00E30D16" w:rsidRDefault="00E30D16" w:rsidP="00E30D16">
      <w:pPr>
        <w:spacing w:after="200" w:line="276" w:lineRule="auto"/>
      </w:pPr>
    </w:p>
    <w:p w14:paraId="1446A3CC" w14:textId="77777777" w:rsidR="00BB0628" w:rsidRPr="00C051CA" w:rsidRDefault="00BB0628" w:rsidP="00BB0628">
      <w:pPr>
        <w:spacing w:after="40"/>
        <w:rPr>
          <w:rFonts w:ascii="Calibri" w:hAnsi="Calibri" w:cs="Calibri"/>
        </w:rPr>
      </w:pPr>
    </w:p>
    <w:p w14:paraId="750674B7" w14:textId="77777777" w:rsidR="00BB0628" w:rsidRPr="00C051CA" w:rsidRDefault="00BB0628" w:rsidP="00BB0628">
      <w:pPr>
        <w:rPr>
          <w:rFonts w:ascii="Calibri" w:hAnsi="Calibri" w:cs="Calibri"/>
        </w:rPr>
      </w:pPr>
      <w:r w:rsidRPr="00C051CA">
        <w:rPr>
          <w:rFonts w:ascii="Calibri" w:hAnsi="Calibri" w:cs="Calibri"/>
        </w:rPr>
        <w:br w:type="page"/>
      </w:r>
    </w:p>
    <w:p w14:paraId="13B885BF" w14:textId="77777777" w:rsidR="00BB0628" w:rsidRPr="00C051CA" w:rsidRDefault="00BB0628" w:rsidP="00BB0628">
      <w:pPr>
        <w:pStyle w:val="Caption"/>
        <w:keepNext/>
        <w:rPr>
          <w:rFonts w:ascii="Calibri" w:hAnsi="Calibri" w:cs="Calibri"/>
          <w:color w:val="auto"/>
        </w:rPr>
      </w:pPr>
      <w:r w:rsidRPr="00C051CA">
        <w:rPr>
          <w:rFonts w:ascii="Calibri" w:hAnsi="Calibri" w:cs="Calibri"/>
          <w:color w:val="auto"/>
        </w:rPr>
        <w:lastRenderedPageBreak/>
        <w:t>Supplementary Table S5. Cross-implementation quality-control checks applied to the 2019 benchmark.</w:t>
      </w:r>
    </w:p>
    <w:tbl>
      <w:tblPr>
        <w:tblW w:w="10035" w:type="dxa"/>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14"/>
        <w:gridCol w:w="2835"/>
        <w:gridCol w:w="2381"/>
        <w:gridCol w:w="3005"/>
      </w:tblGrid>
      <w:tr w:rsidR="00C051CA" w:rsidRPr="00C051CA" w14:paraId="2BBB1A0C" w14:textId="77777777" w:rsidTr="00235AB4">
        <w:trPr>
          <w:cantSplit/>
          <w:tblHeader/>
          <w:jc w:val="center"/>
        </w:trPr>
        <w:tc>
          <w:tcPr>
            <w:tcW w:w="1814" w:type="dxa"/>
            <w:shd w:val="clear" w:color="auto" w:fill="1F4E79"/>
            <w:tcMar>
              <w:top w:w="70" w:type="dxa"/>
              <w:left w:w="80" w:type="dxa"/>
              <w:bottom w:w="70" w:type="dxa"/>
              <w:right w:w="80" w:type="dxa"/>
            </w:tcMar>
            <w:vAlign w:val="center"/>
          </w:tcPr>
          <w:p w14:paraId="28EFAE34" w14:textId="77777777" w:rsidR="00BB0628" w:rsidRPr="008F74C6" w:rsidRDefault="00BB0628" w:rsidP="00623EB8">
            <w:pPr>
              <w:spacing w:after="0" w:line="240" w:lineRule="auto"/>
              <w:rPr>
                <w:rFonts w:ascii="Calibri" w:hAnsi="Calibri" w:cs="Calibri"/>
                <w:color w:val="FFFFFF" w:themeColor="background1"/>
              </w:rPr>
            </w:pPr>
            <w:r w:rsidRPr="008F74C6">
              <w:rPr>
                <w:rFonts w:ascii="Calibri" w:hAnsi="Calibri" w:cs="Calibri"/>
                <w:b/>
                <w:color w:val="FFFFFF" w:themeColor="background1"/>
                <w:sz w:val="16"/>
              </w:rPr>
              <w:t>Check</w:t>
            </w:r>
          </w:p>
        </w:tc>
        <w:tc>
          <w:tcPr>
            <w:tcW w:w="2835" w:type="dxa"/>
            <w:shd w:val="clear" w:color="auto" w:fill="1F4E79"/>
            <w:tcMar>
              <w:top w:w="70" w:type="dxa"/>
              <w:left w:w="80" w:type="dxa"/>
              <w:bottom w:w="70" w:type="dxa"/>
              <w:right w:w="80" w:type="dxa"/>
            </w:tcMar>
            <w:vAlign w:val="center"/>
          </w:tcPr>
          <w:p w14:paraId="0DFAD51D" w14:textId="77777777" w:rsidR="00BB0628" w:rsidRPr="008F74C6" w:rsidRDefault="00BB0628" w:rsidP="00623EB8">
            <w:pPr>
              <w:spacing w:after="0" w:line="240" w:lineRule="auto"/>
              <w:rPr>
                <w:rFonts w:ascii="Calibri" w:hAnsi="Calibri" w:cs="Calibri"/>
                <w:color w:val="FFFFFF" w:themeColor="background1"/>
              </w:rPr>
            </w:pPr>
            <w:r w:rsidRPr="008F74C6">
              <w:rPr>
                <w:rFonts w:ascii="Calibri" w:hAnsi="Calibri" w:cs="Calibri"/>
                <w:b/>
                <w:color w:val="FFFFFF" w:themeColor="background1"/>
                <w:sz w:val="16"/>
              </w:rPr>
              <w:t>Procedure</w:t>
            </w:r>
          </w:p>
        </w:tc>
        <w:tc>
          <w:tcPr>
            <w:tcW w:w="2381" w:type="dxa"/>
            <w:shd w:val="clear" w:color="auto" w:fill="1F4E79"/>
            <w:tcMar>
              <w:top w:w="70" w:type="dxa"/>
              <w:left w:w="80" w:type="dxa"/>
              <w:bottom w:w="70" w:type="dxa"/>
              <w:right w:w="80" w:type="dxa"/>
            </w:tcMar>
            <w:vAlign w:val="center"/>
          </w:tcPr>
          <w:p w14:paraId="6ACE734D" w14:textId="77777777" w:rsidR="00BB0628" w:rsidRPr="008F74C6" w:rsidRDefault="00BB0628" w:rsidP="00623EB8">
            <w:pPr>
              <w:spacing w:after="0" w:line="240" w:lineRule="auto"/>
              <w:rPr>
                <w:rFonts w:ascii="Calibri" w:hAnsi="Calibri" w:cs="Calibri"/>
                <w:color w:val="FFFFFF" w:themeColor="background1"/>
              </w:rPr>
            </w:pPr>
            <w:r w:rsidRPr="008F74C6">
              <w:rPr>
                <w:rFonts w:ascii="Calibri" w:hAnsi="Calibri" w:cs="Calibri"/>
                <w:b/>
                <w:color w:val="FFFFFF" w:themeColor="background1"/>
                <w:sz w:val="16"/>
              </w:rPr>
              <w:t>Acceptance / reporting rule</w:t>
            </w:r>
          </w:p>
        </w:tc>
        <w:tc>
          <w:tcPr>
            <w:tcW w:w="3005" w:type="dxa"/>
            <w:shd w:val="clear" w:color="auto" w:fill="1F4E79"/>
            <w:tcMar>
              <w:top w:w="70" w:type="dxa"/>
              <w:left w:w="80" w:type="dxa"/>
              <w:bottom w:w="70" w:type="dxa"/>
              <w:right w:w="80" w:type="dxa"/>
            </w:tcMar>
            <w:vAlign w:val="center"/>
          </w:tcPr>
          <w:p w14:paraId="0D2A52E7" w14:textId="77777777" w:rsidR="00BB0628" w:rsidRPr="008F74C6" w:rsidRDefault="00BB0628" w:rsidP="00623EB8">
            <w:pPr>
              <w:spacing w:after="0" w:line="240" w:lineRule="auto"/>
              <w:rPr>
                <w:rFonts w:ascii="Calibri" w:hAnsi="Calibri" w:cs="Calibri"/>
                <w:color w:val="FFFFFF" w:themeColor="background1"/>
              </w:rPr>
            </w:pPr>
            <w:r w:rsidRPr="008F74C6">
              <w:rPr>
                <w:rFonts w:ascii="Calibri" w:hAnsi="Calibri" w:cs="Calibri"/>
                <w:b/>
                <w:color w:val="FFFFFF" w:themeColor="background1"/>
                <w:sz w:val="16"/>
              </w:rPr>
              <w:t>Outcome and interpretation</w:t>
            </w:r>
          </w:p>
        </w:tc>
      </w:tr>
      <w:tr w:rsidR="00E30D16" w:rsidRPr="00C051CA" w14:paraId="4FC6E9F6" w14:textId="77777777" w:rsidTr="00E04D96">
        <w:trPr>
          <w:cantSplit/>
          <w:jc w:val="center"/>
        </w:trPr>
        <w:tc>
          <w:tcPr>
            <w:tcW w:w="1814" w:type="dxa"/>
            <w:tcMar>
              <w:top w:w="70" w:type="dxa"/>
              <w:left w:w="80" w:type="dxa"/>
              <w:bottom w:w="70" w:type="dxa"/>
              <w:right w:w="80" w:type="dxa"/>
            </w:tcMar>
            <w:vAlign w:val="center"/>
          </w:tcPr>
          <w:p w14:paraId="7014AE88"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Jurisdiction and geography labels</w:t>
            </w:r>
          </w:p>
        </w:tc>
        <w:tc>
          <w:tcPr>
            <w:tcW w:w="2835" w:type="dxa"/>
            <w:tcMar>
              <w:top w:w="70" w:type="dxa"/>
              <w:left w:w="80" w:type="dxa"/>
              <w:bottom w:w="70" w:type="dxa"/>
              <w:right w:w="80" w:type="dxa"/>
            </w:tcMar>
            <w:vAlign w:val="center"/>
          </w:tcPr>
          <w:p w14:paraId="64789AAE"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Confirmed six national implementations and wider European reference geography</w:t>
            </w:r>
          </w:p>
        </w:tc>
        <w:tc>
          <w:tcPr>
            <w:tcW w:w="2381" w:type="dxa"/>
            <w:tcMar>
              <w:top w:w="70" w:type="dxa"/>
              <w:left w:w="80" w:type="dxa"/>
              <w:bottom w:w="70" w:type="dxa"/>
              <w:right w:w="80" w:type="dxa"/>
            </w:tcMar>
            <w:vAlign w:val="center"/>
          </w:tcPr>
          <w:p w14:paraId="01D2E80C" w14:textId="77777777" w:rsidR="00E30D16" w:rsidRPr="00C71197" w:rsidRDefault="00E30D16" w:rsidP="00E04D96">
            <w:pPr>
              <w:spacing w:after="0" w:line="240" w:lineRule="auto"/>
              <w:rPr>
                <w:rFonts w:ascii="Calibri" w:hAnsi="Calibri" w:cs="Calibri"/>
              </w:rPr>
            </w:pPr>
            <w:r w:rsidRPr="00235AB4">
              <w:rPr>
                <w:rFonts w:ascii="Calibri" w:hAnsi="Calibri" w:cs="Calibri"/>
                <w:sz w:val="16"/>
              </w:rPr>
              <w:t>Exactly one record per implementation and retained indicator; the European-reference life-expectancy field is explicitly recorded as not defined</w:t>
            </w:r>
          </w:p>
        </w:tc>
        <w:tc>
          <w:tcPr>
            <w:tcW w:w="3005" w:type="dxa"/>
            <w:tcMar>
              <w:top w:w="70" w:type="dxa"/>
              <w:left w:w="80" w:type="dxa"/>
              <w:bottom w:w="70" w:type="dxa"/>
              <w:right w:w="80" w:type="dxa"/>
            </w:tcMar>
            <w:vAlign w:val="center"/>
          </w:tcPr>
          <w:p w14:paraId="131CB7E1"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Completed; national-to-reference comparisons are descriptive because national cases are included in the reference geography.</w:t>
            </w:r>
          </w:p>
        </w:tc>
      </w:tr>
      <w:tr w:rsidR="00E30D16" w:rsidRPr="00C051CA" w14:paraId="35201527" w14:textId="77777777" w:rsidTr="00E04D96">
        <w:trPr>
          <w:cantSplit/>
          <w:jc w:val="center"/>
        </w:trPr>
        <w:tc>
          <w:tcPr>
            <w:tcW w:w="1814" w:type="dxa"/>
            <w:shd w:val="clear" w:color="auto" w:fill="EEF4F8"/>
            <w:tcMar>
              <w:top w:w="70" w:type="dxa"/>
              <w:left w:w="80" w:type="dxa"/>
              <w:bottom w:w="70" w:type="dxa"/>
              <w:right w:w="80" w:type="dxa"/>
            </w:tcMar>
            <w:vAlign w:val="center"/>
          </w:tcPr>
          <w:p w14:paraId="155C3914" w14:textId="77777777" w:rsidR="00E30D16" w:rsidRPr="008F74C6" w:rsidRDefault="00E30D16" w:rsidP="00E04D96">
            <w:pPr>
              <w:spacing w:after="0" w:line="240" w:lineRule="auto"/>
              <w:rPr>
                <w:rFonts w:ascii="Calibri" w:hAnsi="Calibri" w:cs="Calibri"/>
                <w:sz w:val="16"/>
              </w:rPr>
            </w:pPr>
            <w:r w:rsidRPr="00C051CA">
              <w:rPr>
                <w:rFonts w:ascii="Calibri" w:hAnsi="Calibri" w:cs="Calibri"/>
                <w:sz w:val="16"/>
              </w:rPr>
              <w:t>Missing-value screening</w:t>
            </w:r>
          </w:p>
        </w:tc>
        <w:tc>
          <w:tcPr>
            <w:tcW w:w="2835" w:type="dxa"/>
            <w:shd w:val="clear" w:color="auto" w:fill="EEF4F8"/>
            <w:tcMar>
              <w:top w:w="70" w:type="dxa"/>
              <w:left w:w="80" w:type="dxa"/>
              <w:bottom w:w="70" w:type="dxa"/>
              <w:right w:w="80" w:type="dxa"/>
            </w:tcMar>
            <w:vAlign w:val="center"/>
          </w:tcPr>
          <w:p w14:paraId="0E0668CB" w14:textId="77777777" w:rsidR="00E30D16" w:rsidRPr="008F74C6" w:rsidRDefault="00E30D16" w:rsidP="00E04D96">
            <w:pPr>
              <w:spacing w:after="0" w:line="240" w:lineRule="auto"/>
              <w:rPr>
                <w:rFonts w:ascii="Calibri" w:hAnsi="Calibri" w:cs="Calibri"/>
                <w:sz w:val="16"/>
              </w:rPr>
            </w:pPr>
            <w:r w:rsidRPr="008F74C6">
              <w:rPr>
                <w:rFonts w:ascii="Calibri" w:hAnsi="Calibri" w:cs="Calibri"/>
                <w:sz w:val="16"/>
              </w:rPr>
              <w:t>Checked all retained 2019 model outputs and contextual reference fields</w:t>
            </w:r>
          </w:p>
        </w:tc>
        <w:tc>
          <w:tcPr>
            <w:tcW w:w="2381" w:type="dxa"/>
            <w:shd w:val="clear" w:color="auto" w:fill="EEF4F8"/>
            <w:tcMar>
              <w:top w:w="70" w:type="dxa"/>
              <w:left w:w="80" w:type="dxa"/>
              <w:bottom w:w="70" w:type="dxa"/>
              <w:right w:w="80" w:type="dxa"/>
            </w:tcMar>
            <w:vAlign w:val="center"/>
          </w:tcPr>
          <w:p w14:paraId="26EEF3E3" w14:textId="77777777" w:rsidR="00E30D16" w:rsidRPr="008F74C6" w:rsidRDefault="00E30D16" w:rsidP="00E04D96">
            <w:pPr>
              <w:spacing w:after="0" w:line="240" w:lineRule="auto"/>
              <w:rPr>
                <w:rFonts w:ascii="Calibri" w:hAnsi="Calibri" w:cs="Calibri"/>
                <w:sz w:val="16"/>
              </w:rPr>
            </w:pPr>
            <w:r w:rsidRPr="008F74C6">
              <w:rPr>
                <w:rFonts w:ascii="Calibri" w:hAnsi="Calibri" w:cs="Calibri"/>
                <w:sz w:val="16"/>
              </w:rPr>
              <w:t xml:space="preserve">No missing values in the retained model-output matrix; </w:t>
            </w:r>
            <w:r w:rsidRPr="00235AB4">
              <w:rPr>
                <w:rFonts w:ascii="Calibri" w:hAnsi="Calibri" w:cs="Calibri"/>
                <w:sz w:val="16"/>
              </w:rPr>
              <w:t>the European-reference life-expectancy field is structurally not defined</w:t>
            </w:r>
          </w:p>
        </w:tc>
        <w:tc>
          <w:tcPr>
            <w:tcW w:w="3005" w:type="dxa"/>
            <w:shd w:val="clear" w:color="auto" w:fill="EEF4F8"/>
            <w:tcMar>
              <w:top w:w="70" w:type="dxa"/>
              <w:left w:w="80" w:type="dxa"/>
              <w:bottom w:w="70" w:type="dxa"/>
              <w:right w:w="80" w:type="dxa"/>
            </w:tcMar>
            <w:vAlign w:val="center"/>
          </w:tcPr>
          <w:p w14:paraId="380F1186" w14:textId="77777777" w:rsidR="00E30D16" w:rsidRPr="008F74C6" w:rsidRDefault="00E30D16" w:rsidP="00E04D96">
            <w:pPr>
              <w:spacing w:after="0" w:line="240" w:lineRule="auto"/>
              <w:rPr>
                <w:rFonts w:ascii="Calibri" w:hAnsi="Calibri" w:cs="Calibri"/>
                <w:sz w:val="16"/>
              </w:rPr>
            </w:pPr>
            <w:r w:rsidRPr="008F74C6">
              <w:rPr>
                <w:rFonts w:ascii="Calibri" w:hAnsi="Calibri" w:cs="Calibri"/>
                <w:sz w:val="16"/>
              </w:rPr>
              <w:t xml:space="preserve">Completed. </w:t>
            </w:r>
            <w:r w:rsidRPr="00235AB4">
              <w:rPr>
                <w:rFonts w:ascii="Calibri" w:hAnsi="Calibri" w:cs="Calibri"/>
                <w:sz w:val="16"/>
              </w:rPr>
              <w:t>The single structurally undefined European-reference life-expectancy field is documented explicitly and excluded from reference-deviation calculations.</w:t>
            </w:r>
          </w:p>
        </w:tc>
      </w:tr>
      <w:tr w:rsidR="00E30D16" w:rsidRPr="00C051CA" w14:paraId="0FBCE417" w14:textId="77777777" w:rsidTr="00E04D96">
        <w:trPr>
          <w:cantSplit/>
          <w:jc w:val="center"/>
        </w:trPr>
        <w:tc>
          <w:tcPr>
            <w:tcW w:w="1814" w:type="dxa"/>
            <w:tcMar>
              <w:top w:w="70" w:type="dxa"/>
              <w:left w:w="80" w:type="dxa"/>
              <w:bottom w:w="70" w:type="dxa"/>
              <w:right w:w="80" w:type="dxa"/>
            </w:tcMar>
            <w:vAlign w:val="center"/>
          </w:tcPr>
          <w:p w14:paraId="2AD839FC"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Units and numerical ranges</w:t>
            </w:r>
          </w:p>
        </w:tc>
        <w:tc>
          <w:tcPr>
            <w:tcW w:w="2835" w:type="dxa"/>
            <w:tcMar>
              <w:top w:w="70" w:type="dxa"/>
              <w:left w:w="80" w:type="dxa"/>
              <w:bottom w:w="70" w:type="dxa"/>
              <w:right w:w="80" w:type="dxa"/>
            </w:tcMar>
            <w:vAlign w:val="center"/>
          </w:tcPr>
          <w:p w14:paraId="44353098" w14:textId="77777777" w:rsidR="00E30D16" w:rsidRPr="00F2082E" w:rsidRDefault="00E30D16" w:rsidP="00E04D96">
            <w:pPr>
              <w:spacing w:after="0" w:line="240" w:lineRule="auto"/>
              <w:rPr>
                <w:rFonts w:ascii="Calibri" w:hAnsi="Calibri" w:cs="Calibri"/>
                <w:sz w:val="16"/>
              </w:rPr>
            </w:pPr>
            <w:r w:rsidRPr="00C051CA">
              <w:rPr>
                <w:rFonts w:ascii="Calibri" w:hAnsi="Calibri" w:cs="Calibri"/>
                <w:sz w:val="16"/>
              </w:rPr>
              <w:t>Reviewed declared units; checked non-negativity and bounded indices</w:t>
            </w:r>
            <w:r>
              <w:rPr>
                <w:rFonts w:ascii="Calibri" w:hAnsi="Calibri" w:cs="Calibri"/>
                <w:sz w:val="16"/>
              </w:rPr>
              <w:t xml:space="preserve"> </w:t>
            </w:r>
            <w:r w:rsidRPr="00F2082E">
              <w:rPr>
                <w:rFonts w:ascii="Calibri" w:hAnsi="Calibri" w:cs="Calibri"/>
                <w:sz w:val="16"/>
              </w:rPr>
              <w:t>and contextual reference values</w:t>
            </w:r>
          </w:p>
        </w:tc>
        <w:tc>
          <w:tcPr>
            <w:tcW w:w="2381" w:type="dxa"/>
            <w:tcMar>
              <w:top w:w="70" w:type="dxa"/>
              <w:left w:w="80" w:type="dxa"/>
              <w:bottom w:w="70" w:type="dxa"/>
              <w:right w:w="80" w:type="dxa"/>
            </w:tcMar>
            <w:vAlign w:val="center"/>
          </w:tcPr>
          <w:p w14:paraId="47960BF6" w14:textId="77777777" w:rsidR="00E30D16" w:rsidRPr="00F2082E" w:rsidRDefault="00E30D16" w:rsidP="00E04D96">
            <w:pPr>
              <w:spacing w:after="0" w:line="240" w:lineRule="auto"/>
              <w:rPr>
                <w:rFonts w:ascii="Calibri" w:hAnsi="Calibri" w:cs="Calibri"/>
                <w:sz w:val="16"/>
              </w:rPr>
            </w:pPr>
            <w:r w:rsidRPr="00F2082E">
              <w:rPr>
                <w:rFonts w:ascii="Calibri" w:hAnsi="Calibri" w:cs="Calibri"/>
                <w:sz w:val="16"/>
              </w:rPr>
              <w:t>WEI and shares non-negative; RLI/</w:t>
            </w:r>
            <w:proofErr w:type="spellStart"/>
            <w:r w:rsidRPr="00F2082E">
              <w:rPr>
                <w:rFonts w:ascii="Calibri" w:hAnsi="Calibri" w:cs="Calibri"/>
                <w:sz w:val="16"/>
              </w:rPr>
              <w:t>RLIe</w:t>
            </w:r>
            <w:proofErr w:type="spellEnd"/>
            <w:r w:rsidRPr="00F2082E">
              <w:rPr>
                <w:rFonts w:ascii="Calibri" w:hAnsi="Calibri" w:cs="Calibri"/>
                <w:sz w:val="16"/>
              </w:rPr>
              <w:t xml:space="preserve"> within 0–1; national life-expectancy reference values positive; QoL proxy non-negative</w:t>
            </w:r>
          </w:p>
        </w:tc>
        <w:tc>
          <w:tcPr>
            <w:tcW w:w="3005" w:type="dxa"/>
            <w:tcMar>
              <w:top w:w="70" w:type="dxa"/>
              <w:left w:w="80" w:type="dxa"/>
              <w:bottom w:w="70" w:type="dxa"/>
              <w:right w:w="80" w:type="dxa"/>
            </w:tcMar>
            <w:vAlign w:val="center"/>
          </w:tcPr>
          <w:p w14:paraId="6255C6EA" w14:textId="77777777" w:rsidR="00E30D16" w:rsidRPr="00F2082E" w:rsidRDefault="00E30D16" w:rsidP="00E04D96">
            <w:pPr>
              <w:spacing w:after="0" w:line="240" w:lineRule="auto"/>
              <w:rPr>
                <w:rFonts w:ascii="Calibri" w:hAnsi="Calibri" w:cs="Calibri"/>
                <w:sz w:val="16"/>
              </w:rPr>
            </w:pPr>
            <w:r w:rsidRPr="00F2082E">
              <w:rPr>
                <w:rFonts w:ascii="Calibri" w:hAnsi="Calibri" w:cs="Calibri"/>
                <w:sz w:val="16"/>
              </w:rPr>
              <w:t>Completed. Life-expectancy values are treated as external contextual data rather than simulated outputs.</w:t>
            </w:r>
          </w:p>
        </w:tc>
      </w:tr>
      <w:tr w:rsidR="00E30D16" w:rsidRPr="00C051CA" w14:paraId="06D945DE" w14:textId="77777777" w:rsidTr="00E04D96">
        <w:trPr>
          <w:cantSplit/>
          <w:jc w:val="center"/>
        </w:trPr>
        <w:tc>
          <w:tcPr>
            <w:tcW w:w="1814" w:type="dxa"/>
            <w:shd w:val="clear" w:color="auto" w:fill="EEF4F8"/>
            <w:tcMar>
              <w:top w:w="70" w:type="dxa"/>
              <w:left w:w="80" w:type="dxa"/>
              <w:bottom w:w="70" w:type="dxa"/>
              <w:right w:w="80" w:type="dxa"/>
            </w:tcMar>
            <w:vAlign w:val="center"/>
          </w:tcPr>
          <w:p w14:paraId="5C86FB1B"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Water shares</w:t>
            </w:r>
          </w:p>
        </w:tc>
        <w:tc>
          <w:tcPr>
            <w:tcW w:w="2835" w:type="dxa"/>
            <w:shd w:val="clear" w:color="auto" w:fill="EEF4F8"/>
            <w:tcMar>
              <w:top w:w="70" w:type="dxa"/>
              <w:left w:w="80" w:type="dxa"/>
              <w:bottom w:w="70" w:type="dxa"/>
              <w:right w:w="80" w:type="dxa"/>
            </w:tcMar>
            <w:vAlign w:val="center"/>
          </w:tcPr>
          <w:p w14:paraId="415C0FDA"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Recalculated selected domestic, agricultural, and industrial shares from raw outputs</w:t>
            </w:r>
          </w:p>
        </w:tc>
        <w:tc>
          <w:tcPr>
            <w:tcW w:w="2381" w:type="dxa"/>
            <w:shd w:val="clear" w:color="auto" w:fill="EEF4F8"/>
            <w:tcMar>
              <w:top w:w="70" w:type="dxa"/>
              <w:left w:w="80" w:type="dxa"/>
              <w:bottom w:w="70" w:type="dxa"/>
              <w:right w:w="80" w:type="dxa"/>
            </w:tcMar>
            <w:vAlign w:val="center"/>
          </w:tcPr>
          <w:p w14:paraId="03D8FE42"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Exact arithmetic match to reported selected shares</w:t>
            </w:r>
          </w:p>
        </w:tc>
        <w:tc>
          <w:tcPr>
            <w:tcW w:w="3005" w:type="dxa"/>
            <w:shd w:val="clear" w:color="auto" w:fill="EEF4F8"/>
            <w:tcMar>
              <w:top w:w="70" w:type="dxa"/>
              <w:left w:w="80" w:type="dxa"/>
              <w:bottom w:w="70" w:type="dxa"/>
              <w:right w:w="80" w:type="dxa"/>
            </w:tcMar>
            <w:vAlign w:val="center"/>
          </w:tcPr>
          <w:p w14:paraId="369ED835"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Completed; the three displayed components are not required to sum to 100%.</w:t>
            </w:r>
          </w:p>
        </w:tc>
      </w:tr>
      <w:tr w:rsidR="00E30D16" w:rsidRPr="00C051CA" w14:paraId="6ADC5DC2" w14:textId="77777777" w:rsidTr="00E04D96">
        <w:trPr>
          <w:cantSplit/>
          <w:jc w:val="center"/>
        </w:trPr>
        <w:tc>
          <w:tcPr>
            <w:tcW w:w="1814" w:type="dxa"/>
            <w:tcMar>
              <w:top w:w="70" w:type="dxa"/>
              <w:left w:w="80" w:type="dxa"/>
              <w:bottom w:w="70" w:type="dxa"/>
              <w:right w:w="80" w:type="dxa"/>
            </w:tcMar>
            <w:vAlign w:val="center"/>
          </w:tcPr>
          <w:p w14:paraId="585A1C9B"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GHG component coverage</w:t>
            </w:r>
          </w:p>
        </w:tc>
        <w:tc>
          <w:tcPr>
            <w:tcW w:w="2835" w:type="dxa"/>
            <w:tcMar>
              <w:top w:w="70" w:type="dxa"/>
              <w:left w:w="80" w:type="dxa"/>
              <w:bottom w:w="70" w:type="dxa"/>
              <w:right w:w="80" w:type="dxa"/>
            </w:tcMar>
            <w:vAlign w:val="center"/>
          </w:tcPr>
          <w:p w14:paraId="140840AD"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Compared Food + Energy + Transport outputs with exported total GHG</w:t>
            </w:r>
          </w:p>
        </w:tc>
        <w:tc>
          <w:tcPr>
            <w:tcW w:w="2381" w:type="dxa"/>
            <w:tcMar>
              <w:top w:w="70" w:type="dxa"/>
              <w:left w:w="80" w:type="dxa"/>
              <w:bottom w:w="70" w:type="dxa"/>
              <w:right w:w="80" w:type="dxa"/>
            </w:tcMar>
            <w:vAlign w:val="center"/>
          </w:tcPr>
          <w:p w14:paraId="1BA5E293"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Absolute discrepancy ≤ 1 percentage point</w:t>
            </w:r>
          </w:p>
        </w:tc>
        <w:tc>
          <w:tcPr>
            <w:tcW w:w="3005" w:type="dxa"/>
            <w:tcMar>
              <w:top w:w="70" w:type="dxa"/>
              <w:left w:w="80" w:type="dxa"/>
              <w:bottom w:w="70" w:type="dxa"/>
              <w:right w:w="80" w:type="dxa"/>
            </w:tcMar>
            <w:vAlign w:val="center"/>
          </w:tcPr>
          <w:p w14:paraId="45F1DDF2"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Completed; maximum discrepancy in reported values was 0.4 percentage points.</w:t>
            </w:r>
          </w:p>
        </w:tc>
      </w:tr>
      <w:tr w:rsidR="00E30D16" w:rsidRPr="00C051CA" w14:paraId="0F1B74E9" w14:textId="77777777" w:rsidTr="00E04D96">
        <w:trPr>
          <w:cantSplit/>
          <w:jc w:val="center"/>
        </w:trPr>
        <w:tc>
          <w:tcPr>
            <w:tcW w:w="1814" w:type="dxa"/>
            <w:shd w:val="clear" w:color="auto" w:fill="EEF4F8"/>
            <w:tcMar>
              <w:top w:w="70" w:type="dxa"/>
              <w:left w:w="80" w:type="dxa"/>
              <w:bottom w:w="70" w:type="dxa"/>
              <w:right w:w="80" w:type="dxa"/>
            </w:tcMar>
            <w:vAlign w:val="center"/>
          </w:tcPr>
          <w:p w14:paraId="2305DB4E"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Spain GHG correction</w:t>
            </w:r>
          </w:p>
        </w:tc>
        <w:tc>
          <w:tcPr>
            <w:tcW w:w="2835" w:type="dxa"/>
            <w:shd w:val="clear" w:color="auto" w:fill="EEF4F8"/>
            <w:tcMar>
              <w:top w:w="70" w:type="dxa"/>
              <w:left w:w="80" w:type="dxa"/>
              <w:bottom w:w="70" w:type="dxa"/>
              <w:right w:w="80" w:type="dxa"/>
            </w:tcMar>
            <w:vAlign w:val="center"/>
          </w:tcPr>
          <w:p w14:paraId="32BB1488"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Locked final Food, Energy, Transport, and total GHG values</w:t>
            </w:r>
          </w:p>
        </w:tc>
        <w:tc>
          <w:tcPr>
            <w:tcW w:w="2381" w:type="dxa"/>
            <w:shd w:val="clear" w:color="auto" w:fill="EEF4F8"/>
            <w:tcMar>
              <w:top w:w="70" w:type="dxa"/>
              <w:left w:w="80" w:type="dxa"/>
              <w:bottom w:w="70" w:type="dxa"/>
              <w:right w:w="80" w:type="dxa"/>
            </w:tcMar>
            <w:vAlign w:val="center"/>
          </w:tcPr>
          <w:p w14:paraId="4E0F6D0A"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 xml:space="preserve">271, 377, 103, and 751 billion kg </w:t>
            </w:r>
            <w:proofErr w:type="spellStart"/>
            <w:r w:rsidRPr="00C051CA">
              <w:rPr>
                <w:rFonts w:ascii="Calibri" w:hAnsi="Calibri" w:cs="Calibri"/>
                <w:sz w:val="16"/>
              </w:rPr>
              <w:t>CO₂e</w:t>
            </w:r>
            <w:proofErr w:type="spellEnd"/>
            <w:r w:rsidRPr="00C051CA">
              <w:rPr>
                <w:rFonts w:ascii="Calibri" w:hAnsi="Calibri" w:cs="Calibri"/>
                <w:sz w:val="16"/>
              </w:rPr>
              <w:t>, respectively</w:t>
            </w:r>
          </w:p>
        </w:tc>
        <w:tc>
          <w:tcPr>
            <w:tcW w:w="3005" w:type="dxa"/>
            <w:shd w:val="clear" w:color="auto" w:fill="EEF4F8"/>
            <w:tcMar>
              <w:top w:w="70" w:type="dxa"/>
              <w:left w:w="80" w:type="dxa"/>
              <w:bottom w:w="70" w:type="dxa"/>
              <w:right w:w="80" w:type="dxa"/>
            </w:tcMar>
            <w:vAlign w:val="center"/>
          </w:tcPr>
          <w:p w14:paraId="40D6E4FC" w14:textId="77777777" w:rsidR="00E30D16" w:rsidRPr="00C051CA" w:rsidRDefault="00E30D16" w:rsidP="00E04D96">
            <w:pPr>
              <w:spacing w:after="0" w:line="240" w:lineRule="auto"/>
              <w:rPr>
                <w:rFonts w:ascii="Calibri" w:hAnsi="Calibri" w:cs="Calibri"/>
                <w:sz w:val="16"/>
              </w:rPr>
            </w:pPr>
            <w:r w:rsidRPr="00C051CA">
              <w:rPr>
                <w:rFonts w:ascii="Calibri" w:hAnsi="Calibri" w:cs="Calibri"/>
                <w:sz w:val="16"/>
              </w:rPr>
              <w:t>Completed and retained in the study’s quality-control audit record, which is available from the corresponding author on reasonable request.</w:t>
            </w:r>
          </w:p>
        </w:tc>
      </w:tr>
      <w:tr w:rsidR="00E30D16" w:rsidRPr="00C051CA" w14:paraId="0018EA44" w14:textId="77777777" w:rsidTr="00E04D96">
        <w:trPr>
          <w:cantSplit/>
          <w:jc w:val="center"/>
        </w:trPr>
        <w:tc>
          <w:tcPr>
            <w:tcW w:w="1814" w:type="dxa"/>
            <w:tcMar>
              <w:top w:w="70" w:type="dxa"/>
              <w:left w:w="80" w:type="dxa"/>
              <w:bottom w:w="70" w:type="dxa"/>
              <w:right w:w="80" w:type="dxa"/>
            </w:tcMar>
            <w:vAlign w:val="center"/>
          </w:tcPr>
          <w:p w14:paraId="2B60CE8F"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Biodiversity directionality</w:t>
            </w:r>
          </w:p>
        </w:tc>
        <w:tc>
          <w:tcPr>
            <w:tcW w:w="2835" w:type="dxa"/>
            <w:tcMar>
              <w:top w:w="70" w:type="dxa"/>
              <w:left w:w="80" w:type="dxa"/>
              <w:bottom w:w="70" w:type="dxa"/>
              <w:right w:w="80" w:type="dxa"/>
            </w:tcMar>
            <w:vAlign w:val="center"/>
          </w:tcPr>
          <w:p w14:paraId="3BE11B77"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 xml:space="preserve">Verified inverse risk interpretation for RLI and </w:t>
            </w:r>
            <w:proofErr w:type="spellStart"/>
            <w:r w:rsidRPr="00C051CA">
              <w:rPr>
                <w:rFonts w:ascii="Calibri" w:hAnsi="Calibri" w:cs="Calibri"/>
                <w:sz w:val="16"/>
              </w:rPr>
              <w:t>RLIe</w:t>
            </w:r>
            <w:proofErr w:type="spellEnd"/>
          </w:p>
        </w:tc>
        <w:tc>
          <w:tcPr>
            <w:tcW w:w="2381" w:type="dxa"/>
            <w:tcMar>
              <w:top w:w="70" w:type="dxa"/>
              <w:left w:w="80" w:type="dxa"/>
              <w:bottom w:w="70" w:type="dxa"/>
              <w:right w:w="80" w:type="dxa"/>
            </w:tcMar>
            <w:vAlign w:val="center"/>
          </w:tcPr>
          <w:p w14:paraId="45E78410"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Lower original value mapped to higher heatmap risk position</w:t>
            </w:r>
          </w:p>
        </w:tc>
        <w:tc>
          <w:tcPr>
            <w:tcW w:w="3005" w:type="dxa"/>
            <w:tcMar>
              <w:top w:w="70" w:type="dxa"/>
              <w:left w:w="80" w:type="dxa"/>
              <w:bottom w:w="70" w:type="dxa"/>
              <w:right w:w="80" w:type="dxa"/>
            </w:tcMar>
            <w:vAlign w:val="center"/>
          </w:tcPr>
          <w:p w14:paraId="5DC23FDD"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Completed.</w:t>
            </w:r>
          </w:p>
        </w:tc>
      </w:tr>
      <w:tr w:rsidR="00E30D16" w:rsidRPr="00C051CA" w14:paraId="3BEAF45B" w14:textId="77777777" w:rsidTr="00E04D96">
        <w:trPr>
          <w:cantSplit/>
          <w:jc w:val="center"/>
        </w:trPr>
        <w:tc>
          <w:tcPr>
            <w:tcW w:w="1814" w:type="dxa"/>
            <w:shd w:val="clear" w:color="auto" w:fill="EEF4F8"/>
            <w:tcMar>
              <w:top w:w="70" w:type="dxa"/>
              <w:left w:w="80" w:type="dxa"/>
              <w:bottom w:w="70" w:type="dxa"/>
              <w:right w:w="80" w:type="dxa"/>
            </w:tcMar>
            <w:vAlign w:val="center"/>
          </w:tcPr>
          <w:p w14:paraId="365B5142" w14:textId="77777777" w:rsidR="00E30D16" w:rsidRPr="00752D5A" w:rsidRDefault="00E30D16" w:rsidP="00E04D96">
            <w:pPr>
              <w:spacing w:after="0" w:line="240" w:lineRule="auto"/>
              <w:rPr>
                <w:rFonts w:ascii="Calibri" w:hAnsi="Calibri" w:cs="Calibri"/>
                <w:sz w:val="16"/>
              </w:rPr>
            </w:pPr>
            <w:r w:rsidRPr="00752D5A">
              <w:rPr>
                <w:rFonts w:ascii="Calibri" w:hAnsi="Calibri" w:cs="Calibri"/>
                <w:sz w:val="16"/>
              </w:rPr>
              <w:t>Life-expectancy contextual series</w:t>
            </w:r>
          </w:p>
        </w:tc>
        <w:tc>
          <w:tcPr>
            <w:tcW w:w="2835" w:type="dxa"/>
            <w:shd w:val="clear" w:color="auto" w:fill="EEF4F8"/>
            <w:tcMar>
              <w:top w:w="70" w:type="dxa"/>
              <w:left w:w="80" w:type="dxa"/>
              <w:bottom w:w="70" w:type="dxa"/>
              <w:right w:w="80" w:type="dxa"/>
            </w:tcMar>
            <w:vAlign w:val="center"/>
          </w:tcPr>
          <w:p w14:paraId="6849171B" w14:textId="77777777" w:rsidR="00E30D16" w:rsidRPr="00752D5A" w:rsidRDefault="00E30D16" w:rsidP="00E04D96">
            <w:pPr>
              <w:spacing w:after="0" w:line="240" w:lineRule="auto"/>
              <w:rPr>
                <w:rFonts w:ascii="Calibri" w:hAnsi="Calibri" w:cs="Calibri"/>
                <w:sz w:val="16"/>
              </w:rPr>
            </w:pPr>
            <w:r w:rsidRPr="00752D5A">
              <w:rPr>
                <w:rFonts w:ascii="Calibri" w:hAnsi="Calibri" w:cs="Calibri"/>
                <w:sz w:val="16"/>
              </w:rPr>
              <w:t>Confirmed one 2019 national reference-series value for each of the six national implementations and no directly equivalent value for the wider European reference</w:t>
            </w:r>
          </w:p>
        </w:tc>
        <w:tc>
          <w:tcPr>
            <w:tcW w:w="2381" w:type="dxa"/>
            <w:shd w:val="clear" w:color="auto" w:fill="EEF4F8"/>
            <w:tcMar>
              <w:top w:w="70" w:type="dxa"/>
              <w:left w:w="80" w:type="dxa"/>
              <w:bottom w:w="70" w:type="dxa"/>
              <w:right w:w="80" w:type="dxa"/>
            </w:tcMar>
            <w:vAlign w:val="center"/>
          </w:tcPr>
          <w:p w14:paraId="5708679C" w14:textId="77777777" w:rsidR="00E30D16" w:rsidRPr="00752D5A" w:rsidRDefault="00E30D16" w:rsidP="00E04D96">
            <w:pPr>
              <w:spacing w:after="0" w:line="240" w:lineRule="auto"/>
              <w:rPr>
                <w:rFonts w:ascii="Calibri" w:hAnsi="Calibri" w:cs="Calibri"/>
                <w:sz w:val="16"/>
              </w:rPr>
            </w:pPr>
            <w:r w:rsidRPr="00752D5A">
              <w:rPr>
                <w:rFonts w:ascii="Calibri" w:hAnsi="Calibri" w:cs="Calibri"/>
                <w:sz w:val="16"/>
              </w:rPr>
              <w:t>Six positive national values; European-reference field explicitly recorded as not applicable</w:t>
            </w:r>
          </w:p>
        </w:tc>
        <w:tc>
          <w:tcPr>
            <w:tcW w:w="3005" w:type="dxa"/>
            <w:shd w:val="clear" w:color="auto" w:fill="EEF4F8"/>
            <w:tcMar>
              <w:top w:w="70" w:type="dxa"/>
              <w:left w:w="80" w:type="dxa"/>
              <w:bottom w:w="70" w:type="dxa"/>
              <w:right w:w="80" w:type="dxa"/>
            </w:tcMar>
            <w:vAlign w:val="center"/>
          </w:tcPr>
          <w:p w14:paraId="787BAEB9" w14:textId="77777777" w:rsidR="00E30D16" w:rsidRPr="00AA06BD" w:rsidRDefault="00E30D16" w:rsidP="00E04D96">
            <w:pPr>
              <w:spacing w:after="0" w:line="240" w:lineRule="auto"/>
              <w:rPr>
                <w:rFonts w:ascii="Calibri" w:hAnsi="Calibri" w:cs="Calibri"/>
                <w:sz w:val="16"/>
              </w:rPr>
            </w:pPr>
            <w:r w:rsidRPr="00AA06BD">
              <w:rPr>
                <w:rFonts w:ascii="Calibri" w:hAnsi="Calibri" w:cs="Calibri"/>
                <w:sz w:val="16"/>
              </w:rPr>
              <w:t>Completed. Values are presented only in Fig. 6a and Supplementary Table S1 as contextual data and are excluded from the European-reference deviation dashboard.</w:t>
            </w:r>
          </w:p>
        </w:tc>
      </w:tr>
      <w:tr w:rsidR="00E30D16" w:rsidRPr="00C051CA" w14:paraId="710BAC46" w14:textId="77777777" w:rsidTr="00E04D96">
        <w:trPr>
          <w:cantSplit/>
          <w:jc w:val="center"/>
        </w:trPr>
        <w:tc>
          <w:tcPr>
            <w:tcW w:w="1814" w:type="dxa"/>
            <w:tcMar>
              <w:top w:w="70" w:type="dxa"/>
              <w:left w:w="80" w:type="dxa"/>
              <w:bottom w:w="70" w:type="dxa"/>
              <w:right w:w="80" w:type="dxa"/>
            </w:tcMar>
            <w:vAlign w:val="center"/>
          </w:tcPr>
          <w:p w14:paraId="3FAD185B"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Heatmap scaling</w:t>
            </w:r>
          </w:p>
        </w:tc>
        <w:tc>
          <w:tcPr>
            <w:tcW w:w="2835" w:type="dxa"/>
            <w:tcMar>
              <w:top w:w="70" w:type="dxa"/>
              <w:left w:w="80" w:type="dxa"/>
              <w:bottom w:w="70" w:type="dxa"/>
              <w:right w:w="80" w:type="dxa"/>
            </w:tcMar>
            <w:vAlign w:val="center"/>
          </w:tcPr>
          <w:p w14:paraId="6E8C37F8"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Recalculated min–max scores separately for each indicator</w:t>
            </w:r>
          </w:p>
        </w:tc>
        <w:tc>
          <w:tcPr>
            <w:tcW w:w="2381" w:type="dxa"/>
            <w:tcMar>
              <w:top w:w="70" w:type="dxa"/>
              <w:left w:w="80" w:type="dxa"/>
              <w:bottom w:w="70" w:type="dxa"/>
              <w:right w:w="80" w:type="dxa"/>
            </w:tcMar>
            <w:vAlign w:val="center"/>
          </w:tcPr>
          <w:p w14:paraId="144C07ED"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Scores bounded 0–1 and not aggregated across indicators</w:t>
            </w:r>
          </w:p>
        </w:tc>
        <w:tc>
          <w:tcPr>
            <w:tcW w:w="3005" w:type="dxa"/>
            <w:tcMar>
              <w:top w:w="70" w:type="dxa"/>
              <w:left w:w="80" w:type="dxa"/>
              <w:bottom w:w="70" w:type="dxa"/>
              <w:right w:w="80" w:type="dxa"/>
            </w:tcMar>
            <w:vAlign w:val="center"/>
          </w:tcPr>
          <w:p w14:paraId="43D8D90D"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Completed; no composite score produced.</w:t>
            </w:r>
          </w:p>
        </w:tc>
      </w:tr>
      <w:tr w:rsidR="00E30D16" w:rsidRPr="00C051CA" w14:paraId="6411F724" w14:textId="77777777" w:rsidTr="00E04D96">
        <w:trPr>
          <w:cantSplit/>
          <w:jc w:val="center"/>
        </w:trPr>
        <w:tc>
          <w:tcPr>
            <w:tcW w:w="1814" w:type="dxa"/>
            <w:shd w:val="clear" w:color="auto" w:fill="EEF4F8"/>
            <w:tcMar>
              <w:top w:w="70" w:type="dxa"/>
              <w:left w:w="80" w:type="dxa"/>
              <w:bottom w:w="70" w:type="dxa"/>
              <w:right w:w="80" w:type="dxa"/>
            </w:tcMar>
            <w:vAlign w:val="center"/>
          </w:tcPr>
          <w:p w14:paraId="67DCF07D"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Reference deviations</w:t>
            </w:r>
          </w:p>
        </w:tc>
        <w:tc>
          <w:tcPr>
            <w:tcW w:w="2835" w:type="dxa"/>
            <w:shd w:val="clear" w:color="auto" w:fill="EEF4F8"/>
            <w:tcMar>
              <w:top w:w="70" w:type="dxa"/>
              <w:left w:w="80" w:type="dxa"/>
              <w:bottom w:w="70" w:type="dxa"/>
              <w:right w:w="80" w:type="dxa"/>
            </w:tcMar>
            <w:vAlign w:val="center"/>
          </w:tcPr>
          <w:p w14:paraId="2202DD61" w14:textId="77777777" w:rsidR="00E30D16" w:rsidRPr="001D764B" w:rsidRDefault="00E30D16" w:rsidP="00E04D96">
            <w:pPr>
              <w:spacing w:after="0" w:line="240" w:lineRule="auto"/>
              <w:rPr>
                <w:rFonts w:ascii="Calibri" w:hAnsi="Calibri" w:cs="Calibri"/>
                <w:sz w:val="16"/>
              </w:rPr>
            </w:pPr>
            <w:r w:rsidRPr="001D764B">
              <w:rPr>
                <w:rFonts w:ascii="Calibri" w:hAnsi="Calibri" w:cs="Calibri"/>
                <w:sz w:val="16"/>
              </w:rPr>
              <w:t xml:space="preserve">Recalculated national percentage deviations for WEI, Food-, Energy- and Transport-module GHG contributions, calibrated QoL, RLI and </w:t>
            </w:r>
            <w:proofErr w:type="spellStart"/>
            <w:r w:rsidRPr="001D764B">
              <w:rPr>
                <w:rFonts w:ascii="Calibri" w:hAnsi="Calibri" w:cs="Calibri"/>
                <w:sz w:val="16"/>
              </w:rPr>
              <w:t>RLIe</w:t>
            </w:r>
            <w:proofErr w:type="spellEnd"/>
          </w:p>
        </w:tc>
        <w:tc>
          <w:tcPr>
            <w:tcW w:w="2381" w:type="dxa"/>
            <w:shd w:val="clear" w:color="auto" w:fill="EEF4F8"/>
            <w:tcMar>
              <w:top w:w="70" w:type="dxa"/>
              <w:left w:w="80" w:type="dxa"/>
              <w:bottom w:w="70" w:type="dxa"/>
              <w:right w:w="80" w:type="dxa"/>
            </w:tcMar>
            <w:vAlign w:val="center"/>
          </w:tcPr>
          <w:p w14:paraId="62F39047" w14:textId="77777777" w:rsidR="00E30D16" w:rsidRPr="001D764B" w:rsidRDefault="00E30D16" w:rsidP="00E04D96">
            <w:pPr>
              <w:spacing w:after="0" w:line="240" w:lineRule="auto"/>
              <w:rPr>
                <w:rFonts w:ascii="Calibri" w:hAnsi="Calibri" w:cs="Calibri"/>
                <w:sz w:val="16"/>
              </w:rPr>
            </w:pPr>
            <w:r w:rsidRPr="001D764B">
              <w:rPr>
                <w:rFonts w:ascii="Calibri" w:hAnsi="Calibri" w:cs="Calibri"/>
                <w:sz w:val="16"/>
              </w:rPr>
              <w:t>European reference equals zero by construction; signs checked against raw values; national life-expectancy reference values excluded</w:t>
            </w:r>
          </w:p>
        </w:tc>
        <w:tc>
          <w:tcPr>
            <w:tcW w:w="3005" w:type="dxa"/>
            <w:shd w:val="clear" w:color="auto" w:fill="EEF4F8"/>
            <w:tcMar>
              <w:top w:w="70" w:type="dxa"/>
              <w:left w:w="80" w:type="dxa"/>
              <w:bottom w:w="70" w:type="dxa"/>
              <w:right w:w="80" w:type="dxa"/>
            </w:tcMar>
            <w:vAlign w:val="center"/>
          </w:tcPr>
          <w:p w14:paraId="34F2DCEB" w14:textId="77777777" w:rsidR="00E30D16" w:rsidRPr="001D764B" w:rsidRDefault="00E30D16" w:rsidP="00E04D96">
            <w:pPr>
              <w:spacing w:after="0" w:line="240" w:lineRule="auto"/>
              <w:rPr>
                <w:rFonts w:ascii="Calibri" w:hAnsi="Calibri" w:cs="Calibri"/>
                <w:sz w:val="16"/>
              </w:rPr>
            </w:pPr>
            <w:r w:rsidRPr="001D764B">
              <w:rPr>
                <w:rFonts w:ascii="Calibri" w:hAnsi="Calibri" w:cs="Calibri"/>
                <w:sz w:val="16"/>
              </w:rPr>
              <w:t>Completed. Deviations are descriptive rather than inferential, and life-expectancy reference values are not included because no equivalent European-reference value was defined.</w:t>
            </w:r>
          </w:p>
        </w:tc>
      </w:tr>
      <w:tr w:rsidR="00E30D16" w:rsidRPr="00C051CA" w14:paraId="204FDC94" w14:textId="77777777" w:rsidTr="00E04D96">
        <w:trPr>
          <w:cantSplit/>
          <w:jc w:val="center"/>
        </w:trPr>
        <w:tc>
          <w:tcPr>
            <w:tcW w:w="1814" w:type="dxa"/>
            <w:tcMar>
              <w:top w:w="70" w:type="dxa"/>
              <w:left w:w="80" w:type="dxa"/>
              <w:bottom w:w="70" w:type="dxa"/>
              <w:right w:w="80" w:type="dxa"/>
            </w:tcMar>
            <w:vAlign w:val="center"/>
          </w:tcPr>
          <w:p w14:paraId="2042FCC4"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Uncertainty propagation</w:t>
            </w:r>
          </w:p>
        </w:tc>
        <w:tc>
          <w:tcPr>
            <w:tcW w:w="2835" w:type="dxa"/>
            <w:tcMar>
              <w:top w:w="70" w:type="dxa"/>
              <w:left w:w="80" w:type="dxa"/>
              <w:bottom w:w="70" w:type="dxa"/>
              <w:right w:w="80" w:type="dxa"/>
            </w:tcMar>
            <w:vAlign w:val="center"/>
          </w:tcPr>
          <w:p w14:paraId="44E7B921"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Reviewed scope of sensitivity/uncertainty evidence</w:t>
            </w:r>
          </w:p>
        </w:tc>
        <w:tc>
          <w:tcPr>
            <w:tcW w:w="2381" w:type="dxa"/>
            <w:tcMar>
              <w:top w:w="70" w:type="dxa"/>
              <w:left w:w="80" w:type="dxa"/>
              <w:bottom w:w="70" w:type="dxa"/>
              <w:right w:w="80" w:type="dxa"/>
            </w:tcMar>
            <w:vAlign w:val="center"/>
          </w:tcPr>
          <w:p w14:paraId="08B5FD3C"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No claim of whole-model probabilistic uncertainty</w:t>
            </w:r>
          </w:p>
        </w:tc>
        <w:tc>
          <w:tcPr>
            <w:tcW w:w="3005" w:type="dxa"/>
            <w:tcMar>
              <w:top w:w="70" w:type="dxa"/>
              <w:left w:w="80" w:type="dxa"/>
              <w:bottom w:w="70" w:type="dxa"/>
              <w:right w:w="80" w:type="dxa"/>
            </w:tcMar>
            <w:vAlign w:val="center"/>
          </w:tcPr>
          <w:p w14:paraId="48C09CE5" w14:textId="77777777" w:rsidR="00E30D16" w:rsidRPr="00C051CA" w:rsidRDefault="00E30D16" w:rsidP="00E04D96">
            <w:pPr>
              <w:spacing w:after="0" w:line="240" w:lineRule="auto"/>
              <w:rPr>
                <w:rFonts w:ascii="Calibri" w:hAnsi="Calibri" w:cs="Calibri"/>
              </w:rPr>
            </w:pPr>
            <w:r w:rsidRPr="00C051CA">
              <w:rPr>
                <w:rFonts w:ascii="Calibri" w:hAnsi="Calibri" w:cs="Calibri"/>
                <w:sz w:val="16"/>
              </w:rPr>
              <w:t>Not performed in this study; explicitly retained as a limitation.</w:t>
            </w:r>
          </w:p>
        </w:tc>
      </w:tr>
    </w:tbl>
    <w:p w14:paraId="15A6F406" w14:textId="77777777" w:rsidR="00BB0628" w:rsidRPr="00C051CA" w:rsidRDefault="00BB0628" w:rsidP="00BB0628">
      <w:pPr>
        <w:spacing w:after="40"/>
        <w:rPr>
          <w:rFonts w:ascii="Calibri" w:hAnsi="Calibri" w:cs="Calibri"/>
        </w:rPr>
      </w:pPr>
    </w:p>
    <w:p w14:paraId="40EC4BE4" w14:textId="77777777" w:rsidR="00BB0628" w:rsidRPr="00C051CA" w:rsidRDefault="00BB0628" w:rsidP="00BB0628">
      <w:pPr>
        <w:spacing w:after="120" w:line="240" w:lineRule="auto"/>
        <w:ind w:left="283" w:right="283"/>
        <w:rPr>
          <w:rFonts w:ascii="Calibri" w:hAnsi="Calibri" w:cs="Calibri"/>
        </w:rPr>
      </w:pPr>
      <w:r w:rsidRPr="00C051CA">
        <w:rPr>
          <w:rFonts w:ascii="Calibri" w:hAnsi="Calibri" w:cs="Calibri"/>
          <w:b/>
          <w:i/>
          <w:sz w:val="18"/>
        </w:rPr>
        <w:t xml:space="preserve">Note. </w:t>
      </w:r>
      <w:r w:rsidRPr="00C051CA">
        <w:rPr>
          <w:rFonts w:ascii="Calibri" w:hAnsi="Calibri" w:cs="Calibri"/>
          <w:i/>
          <w:sz w:val="18"/>
        </w:rPr>
        <w:t>The quality-control checks establish arithmetic consistency, traceability, and common interpretation. They do not demonstrate fully independent external validation or whole-model uncertainty quantification.</w:t>
      </w:r>
    </w:p>
    <w:p w14:paraId="0F55A60F" w14:textId="1E100946" w:rsidR="00BF00DD" w:rsidRPr="00C051CA" w:rsidRDefault="00BF00DD" w:rsidP="00BB0628">
      <w:pPr>
        <w:spacing w:after="120" w:line="240" w:lineRule="auto"/>
        <w:ind w:right="283"/>
        <w:rPr>
          <w:rFonts w:ascii="Calibri" w:hAnsi="Calibri" w:cs="Calibri"/>
          <w:i/>
          <w:sz w:val="18"/>
        </w:rPr>
      </w:pPr>
    </w:p>
    <w:sectPr w:rsidR="00BF00DD" w:rsidRPr="00C051CA" w:rsidSect="00034616">
      <w:footerReference w:type="default" r:id="rId8"/>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6F331" w14:textId="77777777" w:rsidR="003F3893" w:rsidRDefault="003F3893">
      <w:pPr>
        <w:spacing w:after="0" w:line="240" w:lineRule="auto"/>
      </w:pPr>
      <w:r>
        <w:separator/>
      </w:r>
    </w:p>
  </w:endnote>
  <w:endnote w:type="continuationSeparator" w:id="0">
    <w:p w14:paraId="4B18B8CC" w14:textId="77777777" w:rsidR="003F3893" w:rsidRDefault="003F3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A7A6" w14:textId="77777777" w:rsidR="00BF00DD" w:rsidRDefault="00000000">
    <w:pPr>
      <w:pStyle w:val="Footer"/>
      <w:jc w:val="right"/>
    </w:pPr>
    <w:r>
      <w:rPr>
        <w:color w:val="5A5A5A"/>
        <w:sz w:val="17"/>
      </w:rPr>
      <w:t xml:space="preserve">Supplementary </w:t>
    </w:r>
    <w:proofErr w:type="gramStart"/>
    <w:r>
      <w:rPr>
        <w:color w:val="5A5A5A"/>
        <w:sz w:val="17"/>
      </w:rPr>
      <w:t>Information  |</w:t>
    </w:r>
    <w:proofErr w:type="gramEnd"/>
    <w:r>
      <w:rPr>
        <w:color w:val="5A5A5A"/>
        <w:sz w:val="17"/>
      </w:rPr>
      <w:t xml:space="preserve">  </w:t>
    </w:r>
    <w:r>
      <w:rPr>
        <w:sz w:val="17"/>
      </w:rPr>
      <w:fldChar w:fldCharType="begin"/>
    </w:r>
    <w:r>
      <w:rPr>
        <w:sz w:val="17"/>
      </w:rPr>
      <w:instrText xml:space="preserve"> PAGE </w:instrText>
    </w:r>
    <w:r>
      <w:rPr>
        <w:sz w:val="17"/>
      </w:rPr>
      <w:fldChar w:fldCharType="separate"/>
    </w:r>
    <w:r w:rsidR="00195F10">
      <w:rPr>
        <w:noProof/>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92BAD" w14:textId="77777777" w:rsidR="003F3893" w:rsidRDefault="003F3893">
      <w:pPr>
        <w:spacing w:after="0" w:line="240" w:lineRule="auto"/>
      </w:pPr>
      <w:r>
        <w:separator/>
      </w:r>
    </w:p>
  </w:footnote>
  <w:footnote w:type="continuationSeparator" w:id="0">
    <w:p w14:paraId="2FB0FB7F" w14:textId="77777777" w:rsidR="003F3893" w:rsidRDefault="003F38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2277533">
    <w:abstractNumId w:val="8"/>
  </w:num>
  <w:num w:numId="2" w16cid:durableId="881673927">
    <w:abstractNumId w:val="6"/>
  </w:num>
  <w:num w:numId="3" w16cid:durableId="2073387033">
    <w:abstractNumId w:val="5"/>
  </w:num>
  <w:num w:numId="4" w16cid:durableId="1280991216">
    <w:abstractNumId w:val="4"/>
  </w:num>
  <w:num w:numId="5" w16cid:durableId="220290819">
    <w:abstractNumId w:val="7"/>
  </w:num>
  <w:num w:numId="6" w16cid:durableId="739790626">
    <w:abstractNumId w:val="3"/>
  </w:num>
  <w:num w:numId="7" w16cid:durableId="1193304828">
    <w:abstractNumId w:val="2"/>
  </w:num>
  <w:num w:numId="8" w16cid:durableId="2015574039">
    <w:abstractNumId w:val="1"/>
  </w:num>
  <w:num w:numId="9" w16cid:durableId="1318995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DAE"/>
    <w:rsid w:val="00024892"/>
    <w:rsid w:val="00034616"/>
    <w:rsid w:val="000405F2"/>
    <w:rsid w:val="0004727F"/>
    <w:rsid w:val="0006063C"/>
    <w:rsid w:val="000A7C44"/>
    <w:rsid w:val="0015074B"/>
    <w:rsid w:val="0019156B"/>
    <w:rsid w:val="00195F10"/>
    <w:rsid w:val="001D764B"/>
    <w:rsid w:val="00204ACE"/>
    <w:rsid w:val="00235AB4"/>
    <w:rsid w:val="0029639D"/>
    <w:rsid w:val="002B5E6E"/>
    <w:rsid w:val="00326F90"/>
    <w:rsid w:val="003F3893"/>
    <w:rsid w:val="00413A8E"/>
    <w:rsid w:val="00523761"/>
    <w:rsid w:val="006E3E7B"/>
    <w:rsid w:val="00725DAC"/>
    <w:rsid w:val="00752D5A"/>
    <w:rsid w:val="00780387"/>
    <w:rsid w:val="00826CDC"/>
    <w:rsid w:val="008F74C6"/>
    <w:rsid w:val="00932F7D"/>
    <w:rsid w:val="009C5E91"/>
    <w:rsid w:val="00AA06BD"/>
    <w:rsid w:val="00AA1D8D"/>
    <w:rsid w:val="00B47730"/>
    <w:rsid w:val="00BB0628"/>
    <w:rsid w:val="00BF00DD"/>
    <w:rsid w:val="00C051CA"/>
    <w:rsid w:val="00C71197"/>
    <w:rsid w:val="00CB0664"/>
    <w:rsid w:val="00CE160E"/>
    <w:rsid w:val="00D77CAE"/>
    <w:rsid w:val="00E30D16"/>
    <w:rsid w:val="00ED3A60"/>
    <w:rsid w:val="00F2082E"/>
    <w:rsid w:val="00FA5AE3"/>
    <w:rsid w:val="00FC693F"/>
    <w:rsid w:val="00FE7E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8F74B2"/>
  <w14:defaultImageDpi w14:val="300"/>
  <w15:docId w15:val="{FDD5ADD0-FB87-4D49-AF2C-0129C0D4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2C5F2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E30D1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2647</Words>
  <Characters>15091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IOANNOU ALEXANDRA</cp:lastModifiedBy>
  <cp:revision>23</cp:revision>
  <dcterms:created xsi:type="dcterms:W3CDTF">2013-12-23T23:15:00Z</dcterms:created>
  <dcterms:modified xsi:type="dcterms:W3CDTF">2026-08-28T14:50:00Z</dcterms:modified>
  <cp:category/>
</cp:coreProperties>
</file>