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B835D" w14:textId="77777777" w:rsidR="009A6A84" w:rsidRDefault="009A6A84" w:rsidP="009A6A84">
      <w:pPr>
        <w:spacing w:line="278" w:lineRule="auto"/>
        <w:jc w:val="both"/>
        <w:rPr>
          <w:b/>
          <w:bCs/>
          <w:color w:val="000000" w:themeColor="text1"/>
          <w:sz w:val="28"/>
          <w:szCs w:val="28"/>
        </w:rPr>
      </w:pPr>
      <w:r w:rsidRPr="23EF721F">
        <w:rPr>
          <w:b/>
          <w:bCs/>
          <w:color w:val="000000" w:themeColor="text1"/>
          <w:sz w:val="28"/>
          <w:szCs w:val="28"/>
        </w:rPr>
        <w:t>Step-specific challenges: search string</w:t>
      </w:r>
    </w:p>
    <w:p w14:paraId="26CB79CD" w14:textId="572DDFD1" w:rsidR="009A6A84" w:rsidRDefault="009A6A84" w:rsidP="009A6A84">
      <w:pPr>
        <w:spacing w:line="278" w:lineRule="auto"/>
        <w:jc w:val="both"/>
      </w:pPr>
      <w:r w:rsidRPr="23EF721F">
        <w:t xml:space="preserve">The foremost issue arising from this step was the failure of a true zero-shot, zero-optimization GPT-generated search string. Boolean queries produced by </w:t>
      </w:r>
      <w:r>
        <w:t>GPT</w:t>
      </w:r>
      <w:r w:rsidRPr="23EF721F">
        <w:t xml:space="preserve"> suffered from the incorporation of incorrect, or “hallucinated” database-specific keywords, punctuation and syntax, which produced invalid search strings. This phenomenon stems from GPT, and all LLMs being natural language generators, which may fail to comply with the highly stringent and formalized use of language demanded by databases for functional queries</w:t>
      </w:r>
      <w:r>
        <w:fldChar w:fldCharType="begin"/>
      </w:r>
      <w:r w:rsidR="00451E07">
        <w:instrText xml:space="preserve"> ADDIN ZOTERO_ITEM CSL_CITATION {"citationID":"BikZ5Zy7","properties":{"unsorted":false,"formattedCitation":"\\super 1\\nosupersub{}","plainCitation":"1","noteIndex":0},"citationItems":[{"id":23460,"uris":["http://zotero.org/users/local/S8MYwTbo/items/9K8392KZ"],"itemData":{"id":23460,"type":"article-journal","abstract":"Large language models (LLMs) have significantly advanced the field of natural language processing (NLP), providing a highly useful, task-agnostic foundation for a wide range of applications. However, directly applying LLMs to solve sophisticated problems in specific domains meets many hurdles, caused by the heterogeneity of domain data, the sophistication of domain knowledge, the uniqueness of domain objectives, and the diversity of the constraints (e.g., various social norms, cultural conformity, religious beliefs, and ethical standards in the domain applications). Domain specification techniques are key to making large language models disruptive in many applications. Specifically, to solve these hurdles, there has been a notable increase in research and practices conducted in recent years on the domain specialization of LLMs. This emerging field of study, with its substantial potential for impact, necessitates a comprehensive and systematic review to summarize better and guide ongoing work in this area. In this article, we present a comprehensive survey on domain specification techniques for large language models, an emerging direction critical for large language model applications. First, we propose a systematic taxonomy that categorizes the LLM domain-specialization techniques based on the accessibility to LLMs and summarizes the framework for all the subcategories as well as their relations and differences to each other. Second, we present an extensive taxonomy of critical application domains that can benefit dramatically from specialized LLMs, discussing their practical significance and open challenges. Last, we offer our insights into the current research status and future trends in this area.","container-title":"ACM Comput. Surv.","DOI":"10.1145/3764579","ISSN":"0360-0300","issue":"3","page":"79:1–79:39","source":"ACM Digital Library","title":"Domain Specialization as the Key to Make Large Language Models Disruptive: A Comprehensive Survey","title-short":"Domain Specialization as the Key to Make Large Language Models Disruptive","volume":"58","author":[{"family":"Ling","given":"Chen"},{"family":"Zhao","given":"Xujiang"},{"family":"Lu","given":"Jiaying"},{"family":"Deng","given":"Chengyuan"},{"family":"Zheng","given":"Can"},{"family":"Wang","given":"Junxiang"},{"family":"Chowdhury","given":"Tanmoy"},{"family":"Li","given":"Yun"},{"family":"Cui","given":"Hejie"},{"family":"Zhang","given":"Xuchao"},{"family":"Zhao","given":"Tianjiao"},{"family":"Panalkar","given":"Amit"},{"family":"Mehta","given":"Dhagash"},{"family":"Pasquali","given":"Stefano"},{"family":"Cheng","given":"Wei"},{"family":"Wang","given":"Haoyu"},{"family":"Liu","given":"Yanchi"},{"family":"Chen","given":"Zhengzhang"},{"family":"Chen","given":"Haifeng"},{"family":"White","given":"Chris"},{"family":"Gu","given":"Quanquan"},{"family":"Pei","given":"Jian"},{"family":"Yang","given":"Carl"},{"family":"Zhao","given":"Liang"}],"issued":{"date-parts":[["2025",10,6]]}}}],"schema":"https://github.com/citation-style-language/schema/raw/master/csl-citation.json"} </w:instrText>
      </w:r>
      <w:r>
        <w:fldChar w:fldCharType="separate"/>
      </w:r>
      <w:r w:rsidR="00451E07" w:rsidRPr="00451E07">
        <w:rPr>
          <w:rFonts w:ascii="Aptos" w:hAnsi="Aptos" w:cs="Times New Roman"/>
          <w:vertAlign w:val="superscript"/>
        </w:rPr>
        <w:t>1</w:t>
      </w:r>
      <w:r>
        <w:fldChar w:fldCharType="end"/>
      </w:r>
      <w:r w:rsidRPr="23EF721F">
        <w:t>. Moreover, these models, being probabilistic engines of token generation, do not possess a world model which allows for abstract understanding of the concepts required for search string production</w:t>
      </w:r>
      <w:r>
        <w:fldChar w:fldCharType="begin"/>
      </w:r>
      <w:r w:rsidR="00451E07">
        <w:instrText xml:space="preserve"> ADDIN ZOTERO_ITEM CSL_CITATION {"citationID":"0zbjmC5d","properties":{"unsorted":false,"formattedCitation":"\\super 2\\nosupersub{}","plainCitation":"2","noteIndex":0},"citationItems":[{"id":23462,"uris":["http://zotero.org/users/local/S8MYwTbo/items/5JYNYBHC"],"itemData":{"id":23462,"type":"article","abstract":"Large Language Models (LLMs) have exhibited remarkable reasoning capabilities, achieving impressive results across a wide range of tasks. Despite these advances, significant reasoning failures persist, occurring even in seemingly simple scenarios. To systematically understand and address these shortcomings, we present the first comprehensive survey dedicated to reasoning failures in LLMs. We introduce a novel categorization framework that distinguishes reasoning into embodied and non-embodied types, with the latter further subdivided into informal (intuitive) and formal (logical) reasoning. In parallel, we classify reasoning failures along a complementary axis into three types: fundamental failures intrinsic to LLM architectures that broadly affect downstream tasks; application-specific limitations that manifest in particular domains; and robustness issues characterized by inconsistent performance across minor variations. For each reasoning failure, we provide a clear definition, analyze existing studies, explore root causes, and present mitigation strategies. By unifying fragmented research efforts, our survey provides a structured perspective on systemic weaknesses in LLM reasoning, offering valuable insights and guiding future research towards building stronger, more reliable, and robust reasoning capabilities. We additionally release a comprehensive collection of research works on LLM reasoning failures, as a GitHub repository at https://github.com/Peiyang-Song/Awesome-LLM-Reasoning-Failures, to provide an easy entry point to this area.","DOI":"10.48550/arXiv.2602.06176","note":"arXiv:2602.06176 [cs]","number":"arXiv:2602.06176","publisher":"arXiv","source":"arXiv.org","title":"Large Language Model Reasoning Failures","URL":"http://arxiv.org/abs/2602.06176","author":[{"family":"Song","given":"Peiyang"},{"family":"Han","given":"Pengrui"},{"family":"Goodman","given":"Noah"}],"accessed":{"date-parts":[["2026",3,12]]},"issued":{"date-parts":[["2026",2,5]]}}}],"schema":"https://github.com/citation-style-language/schema/raw/master/csl-citation.json"} </w:instrText>
      </w:r>
      <w:r>
        <w:fldChar w:fldCharType="separate"/>
      </w:r>
      <w:r w:rsidR="00451E07" w:rsidRPr="00451E07">
        <w:rPr>
          <w:rFonts w:ascii="Aptos" w:hAnsi="Aptos" w:cs="Times New Roman"/>
          <w:vertAlign w:val="superscript"/>
        </w:rPr>
        <w:t>2</w:t>
      </w:r>
      <w:r>
        <w:fldChar w:fldCharType="end"/>
      </w:r>
      <w:r w:rsidRPr="23EF721F">
        <w:t xml:space="preserve">. Another problem is the performance of these search strings, when valid, which were alternatively far too sensitive or specific, </w:t>
      </w:r>
      <w:r>
        <w:t>rendering them useless</w:t>
      </w:r>
      <w:r w:rsidRPr="23EF721F">
        <w:t>. This issue is mostly predictable, since the human process of search string development is one of iterative refinements with feedback, taking as input the results from each previous database query. Both language and performance issues were addressed by either manual correction or re-prompting by specifying the error or the optimization required.</w:t>
      </w:r>
    </w:p>
    <w:p w14:paraId="670C8057" w14:textId="77777777" w:rsidR="009A6A84" w:rsidRDefault="009A6A84" w:rsidP="009A6A84">
      <w:pPr>
        <w:spacing w:line="278" w:lineRule="auto"/>
        <w:jc w:val="both"/>
      </w:pPr>
      <w:r w:rsidRPr="23EF721F">
        <w:t xml:space="preserve">Minor concerns regarding pre-processing and statistical analysis should also be underlined. As cited previously, </w:t>
      </w:r>
      <w:r>
        <w:t>m</w:t>
      </w:r>
      <w:r w:rsidRPr="23EF721F">
        <w:t xml:space="preserve">anual oversight was performed for fuzzy </w:t>
      </w:r>
      <w:r>
        <w:t xml:space="preserve">reference </w:t>
      </w:r>
      <w:r w:rsidRPr="23EF721F">
        <w:t xml:space="preserve">matches, but some errors might have occurred, nonetheless. Furthermore, we extracted references which were only available up to the original </w:t>
      </w:r>
      <w:proofErr w:type="gramStart"/>
      <w:r w:rsidRPr="23EF721F">
        <w:t>authors’</w:t>
      </w:r>
      <w:proofErr w:type="gramEnd"/>
      <w:r w:rsidRPr="23EF721F">
        <w:t xml:space="preserve"> last query date. However, databases do not keep day and month of registration data, which might have slightly increased the number of references from the GPT dataset, artificially decreasing the specificity of its search string performance. Lastly, SRMAs sometimes rely on grey literature to include references after the database query has been made, corresponding to references captured outside the standard search string procedure. Effectively, this decreases the sensitivity of database queries using GPT-generated search strings, when using original authors’ included articles as a reference.</w:t>
      </w:r>
    </w:p>
    <w:p w14:paraId="65A485C2" w14:textId="77777777" w:rsidR="009A6A84" w:rsidRDefault="009A6A84" w:rsidP="009A6A84">
      <w:pPr>
        <w:spacing w:line="278" w:lineRule="auto"/>
        <w:jc w:val="both"/>
      </w:pPr>
    </w:p>
    <w:p w14:paraId="73AC62DA" w14:textId="77777777" w:rsidR="009A6A84" w:rsidRDefault="009A6A84" w:rsidP="009A6A84">
      <w:pPr>
        <w:spacing w:line="278" w:lineRule="auto"/>
        <w:jc w:val="both"/>
        <w:rPr>
          <w:b/>
          <w:bCs/>
          <w:color w:val="000000" w:themeColor="text1"/>
          <w:sz w:val="28"/>
          <w:szCs w:val="28"/>
        </w:rPr>
      </w:pPr>
      <w:r w:rsidRPr="23EF721F">
        <w:rPr>
          <w:b/>
          <w:bCs/>
          <w:color w:val="000000" w:themeColor="text1"/>
          <w:sz w:val="28"/>
          <w:szCs w:val="28"/>
        </w:rPr>
        <w:t>Step-specific challenges: article screening</w:t>
      </w:r>
    </w:p>
    <w:p w14:paraId="37593D4E" w14:textId="77777777" w:rsidR="009A6A84" w:rsidRDefault="009A6A84" w:rsidP="009A6A84">
      <w:pPr>
        <w:spacing w:line="278" w:lineRule="auto"/>
        <w:jc w:val="both"/>
      </w:pPr>
      <w:r w:rsidRPr="23EF721F">
        <w:t xml:space="preserve">Prompt engineering issues arose in a similar fashion to the previous search string step in that a true zero-shot strategy utilizing PICOS-based screening criteria performed poorly. We opted for a human-analog prompt design, where GPT screening criteria for both abstract and full text screening were identical to </w:t>
      </w:r>
      <w:r>
        <w:t xml:space="preserve">the </w:t>
      </w:r>
      <w:r w:rsidRPr="23EF721F">
        <w:t>original human authors’</w:t>
      </w:r>
      <w:r>
        <w:t xml:space="preserve"> criteria</w:t>
      </w:r>
      <w:r w:rsidRPr="23EF721F">
        <w:t xml:space="preserve">. This required collecting additional data from authors for their exact human decision-making screening algorithms, which were markedly different based on the design of each SRMA and their included studies. As such, a “single-size fits all” approach to article screening prompt development seems inappropriate, requiring a </w:t>
      </w:r>
      <w:r>
        <w:t>certain</w:t>
      </w:r>
      <w:r w:rsidRPr="23EF721F">
        <w:t xml:space="preserve"> level of tailoring to every SRMA. </w:t>
      </w:r>
      <w:r>
        <w:lastRenderedPageBreak/>
        <w:t>S</w:t>
      </w:r>
      <w:r w:rsidRPr="23EF721F">
        <w:t xml:space="preserve">pecific </w:t>
      </w:r>
      <w:r>
        <w:t xml:space="preserve">examples can be cited, such as the poor sensitivity of </w:t>
      </w:r>
      <w:r w:rsidRPr="23EF721F">
        <w:t xml:space="preserve">full text screening </w:t>
      </w:r>
      <w:r>
        <w:t>for the “Epidural SRMA” articles</w:t>
      </w:r>
      <w:r w:rsidRPr="23EF721F">
        <w:t xml:space="preserve">, </w:t>
      </w:r>
      <w:r>
        <w:t xml:space="preserve">which retrospectively arose </w:t>
      </w:r>
      <w:r w:rsidRPr="23EF721F">
        <w:t xml:space="preserve">from the non-formalized definition of what is considered presence and absence of data for an epidural hematoma in each </w:t>
      </w:r>
      <w:r>
        <w:t>instance</w:t>
      </w:r>
      <w:r w:rsidRPr="23EF721F">
        <w:t>.</w:t>
      </w:r>
      <w:r>
        <w:t xml:space="preserve"> </w:t>
      </w:r>
      <w:r w:rsidRPr="23EF721F">
        <w:t xml:space="preserve">Empirically, we </w:t>
      </w:r>
      <w:r>
        <w:t xml:space="preserve">also </w:t>
      </w:r>
      <w:r w:rsidRPr="23EF721F">
        <w:t xml:space="preserve">underline the importance of having to comprehensively specify the exclusion criteria, especially regarding improper formats such as letters to the editor, editorials, conference summaries etc. All the latter exclusion criteria are not necessarily understood from </w:t>
      </w:r>
      <w:proofErr w:type="gramStart"/>
      <w:r w:rsidRPr="23EF721F">
        <w:t>context,</w:t>
      </w:r>
      <w:proofErr w:type="gramEnd"/>
      <w:r w:rsidRPr="23EF721F">
        <w:t xml:space="preserve"> any may be a source of erroneously included articles.</w:t>
      </w:r>
    </w:p>
    <w:p w14:paraId="7591B9C4" w14:textId="77777777" w:rsidR="009A6A84" w:rsidRDefault="009A6A84" w:rsidP="009A6A84">
      <w:pPr>
        <w:spacing w:line="278" w:lineRule="auto"/>
        <w:jc w:val="both"/>
      </w:pPr>
      <w:r w:rsidRPr="23EF721F">
        <w:t xml:space="preserve">User experience for ChatGPT interface is also not without its impediments. While all abstracts of each SRMA could be screened using a single prompt, full text articles had to be screened in batches of 10, maximum. This required constant interaction with GPT </w:t>
      </w:r>
      <w:r>
        <w:t xml:space="preserve">5.2 Pro </w:t>
      </w:r>
      <w:r w:rsidRPr="23EF721F">
        <w:t>throughout the sub-step. Additionally, the context window being quite large, the LLM would sometimes provide screening decisions for previously screened batches and not the current uploaded one. This “context window polluting” effect called for the regular creation of new conversation windows. Output formats were also inconsistent, marked by unreadable csv files, or outputs in simple text format that had to be manually converted. Anecdotally, many abnormally prolonged runtimes (&gt; 20 minutes) were at least partially due to</w:t>
      </w:r>
      <w:r>
        <w:t xml:space="preserve"> these</w:t>
      </w:r>
      <w:r w:rsidRPr="23EF721F">
        <w:t xml:space="preserve"> formatting issues, where the LLM had difficulty </w:t>
      </w:r>
      <w:r>
        <w:t>fitting</w:t>
      </w:r>
      <w:r w:rsidRPr="23EF721F">
        <w:t xml:space="preserve"> screening decisions into a usable output. This effect was observed through </w:t>
      </w:r>
      <w:r>
        <w:t xml:space="preserve">the </w:t>
      </w:r>
      <w:r w:rsidRPr="23EF721F">
        <w:t>GPT 5 Pro</w:t>
      </w:r>
      <w:r>
        <w:t xml:space="preserve"> serie</w:t>
      </w:r>
      <w:r w:rsidRPr="23EF721F">
        <w:t>s</w:t>
      </w:r>
      <w:r>
        <w:t>’</w:t>
      </w:r>
      <w:r w:rsidRPr="23EF721F">
        <w:t xml:space="preserve"> chain of thought reasoning process.</w:t>
      </w:r>
    </w:p>
    <w:p w14:paraId="72908BA3" w14:textId="77777777" w:rsidR="009A6A84" w:rsidRDefault="009A6A84" w:rsidP="009A6A84">
      <w:pPr>
        <w:spacing w:line="278" w:lineRule="auto"/>
        <w:jc w:val="both"/>
        <w:rPr>
          <w:b/>
          <w:bCs/>
          <w:color w:val="000000" w:themeColor="text1"/>
          <w:sz w:val="28"/>
          <w:szCs w:val="28"/>
        </w:rPr>
      </w:pPr>
    </w:p>
    <w:p w14:paraId="2E49DABC" w14:textId="77777777" w:rsidR="009A6A84" w:rsidRDefault="009A6A84" w:rsidP="009A6A84">
      <w:pPr>
        <w:spacing w:line="278" w:lineRule="auto"/>
        <w:jc w:val="both"/>
        <w:rPr>
          <w:b/>
          <w:bCs/>
          <w:color w:val="000000" w:themeColor="text1"/>
          <w:sz w:val="28"/>
          <w:szCs w:val="28"/>
        </w:rPr>
      </w:pPr>
      <w:r w:rsidRPr="23EF721F">
        <w:rPr>
          <w:b/>
          <w:bCs/>
          <w:color w:val="000000" w:themeColor="text1"/>
          <w:sz w:val="28"/>
          <w:szCs w:val="28"/>
        </w:rPr>
        <w:t>Step-specific challenges: data extraction</w:t>
      </w:r>
    </w:p>
    <w:p w14:paraId="62593523" w14:textId="77777777" w:rsidR="009A6A84" w:rsidRDefault="009A6A84" w:rsidP="009A6A84">
      <w:pPr>
        <w:spacing w:line="278" w:lineRule="auto"/>
        <w:jc w:val="both"/>
      </w:pPr>
      <w:r w:rsidRPr="23EF721F">
        <w:t xml:space="preserve">Contrarily to relatively “prompt-dependent” steps such as search string generation and article screening, where minor changes to prompts greatly affect performance, GPT data extraction is truly zero-shot. </w:t>
      </w:r>
      <w:r>
        <w:t>The prompt must only contain</w:t>
      </w:r>
      <w:r w:rsidRPr="23EF721F">
        <w:t xml:space="preserve"> strict descriptions of each datapoint to be extracted, and in what format</w:t>
      </w:r>
      <w:r>
        <w:t xml:space="preserve"> the output should be provided</w:t>
      </w:r>
      <w:r w:rsidRPr="23EF721F">
        <w:t>. Virtually no human oversight, tuning or re-design of prompts are necessary to generate useable results. However, a few</w:t>
      </w:r>
      <w:r>
        <w:t xml:space="preserve"> minor</w:t>
      </w:r>
      <w:r w:rsidRPr="23EF721F">
        <w:t xml:space="preserve"> issues </w:t>
      </w:r>
      <w:r>
        <w:t>must be underlined</w:t>
      </w:r>
      <w:r w:rsidRPr="23EF721F">
        <w:t xml:space="preserve"> from </w:t>
      </w:r>
      <w:proofErr w:type="gramStart"/>
      <w:r w:rsidRPr="23EF721F">
        <w:t xml:space="preserve">the </w:t>
      </w:r>
      <w:r>
        <w:t xml:space="preserve"> reference</w:t>
      </w:r>
      <w:proofErr w:type="gramEnd"/>
      <w:r>
        <w:t xml:space="preserve"> </w:t>
      </w:r>
      <w:r w:rsidRPr="23EF721F">
        <w:t>standard development process. The first being the risk of error in datapoint adjudication from the human experts, which, although unlikely, may both have made concordant errors in their final decisions. The second being the risk of data input errors in handling the adjudication and</w:t>
      </w:r>
      <w:r>
        <w:t xml:space="preserve"> reference </w:t>
      </w:r>
      <w:r w:rsidRPr="23EF721F">
        <w:t>standard data, which were manually produced, and therefore prone to minor mistakes.</w:t>
      </w:r>
    </w:p>
    <w:p w14:paraId="13586D90" w14:textId="77777777" w:rsidR="009A6A84" w:rsidRDefault="009A6A84" w:rsidP="009A6A84">
      <w:pPr>
        <w:spacing w:line="278" w:lineRule="auto"/>
        <w:jc w:val="both"/>
      </w:pPr>
    </w:p>
    <w:p w14:paraId="426FEBBA" w14:textId="77777777" w:rsidR="009A6A84" w:rsidRDefault="009A6A84" w:rsidP="009A6A84">
      <w:pPr>
        <w:spacing w:line="278" w:lineRule="auto"/>
        <w:jc w:val="both"/>
        <w:rPr>
          <w:b/>
          <w:bCs/>
          <w:color w:val="000000" w:themeColor="text1"/>
          <w:sz w:val="28"/>
          <w:szCs w:val="28"/>
        </w:rPr>
      </w:pPr>
      <w:r w:rsidRPr="23EF721F">
        <w:rPr>
          <w:b/>
          <w:bCs/>
          <w:color w:val="000000" w:themeColor="text1"/>
          <w:sz w:val="28"/>
          <w:szCs w:val="28"/>
        </w:rPr>
        <w:t>Step-specific challenges: ROB assessment</w:t>
      </w:r>
    </w:p>
    <w:p w14:paraId="5AB3242C" w14:textId="77777777" w:rsidR="009A6A84" w:rsidRDefault="009A6A84" w:rsidP="009A6A84">
      <w:pPr>
        <w:spacing w:line="278" w:lineRule="auto"/>
        <w:jc w:val="both"/>
      </w:pPr>
      <w:r w:rsidRPr="23EF721F">
        <w:t>Similarly to the data extraction step, ROB assessment was</w:t>
      </w:r>
      <w:r>
        <w:t xml:space="preserve"> performed</w:t>
      </w:r>
      <w:r w:rsidRPr="23EF721F">
        <w:t xml:space="preserve"> using a true zero-shot approach. GPT required</w:t>
      </w:r>
      <w:r>
        <w:t xml:space="preserve"> only </w:t>
      </w:r>
      <w:proofErr w:type="gramStart"/>
      <w:r>
        <w:t>a prompt</w:t>
      </w:r>
      <w:proofErr w:type="gramEnd"/>
      <w:r>
        <w:t xml:space="preserve"> containing</w:t>
      </w:r>
      <w:r w:rsidRPr="23EF721F">
        <w:t xml:space="preserve"> instructions for ROB domain </w:t>
      </w:r>
      <w:r w:rsidRPr="23EF721F">
        <w:lastRenderedPageBreak/>
        <w:t>assessment</w:t>
      </w:r>
      <w:r>
        <w:t>s</w:t>
      </w:r>
      <w:r w:rsidRPr="23EF721F">
        <w:t>, along with full text articles</w:t>
      </w:r>
      <w:r>
        <w:t xml:space="preserve"> and edited </w:t>
      </w:r>
      <w:r w:rsidRPr="23EF721F">
        <w:t>domain-specific ROB tools</w:t>
      </w:r>
      <w:r>
        <w:t xml:space="preserve">. Again, </w:t>
      </w:r>
      <w:r w:rsidRPr="23EF721F">
        <w:t xml:space="preserve">issues </w:t>
      </w:r>
      <w:r>
        <w:t>discussed in the “Step-specific challenges: data extraction” section arose, involving the ChatGPT interface’s limited article batching capabilities,</w:t>
      </w:r>
      <w:r w:rsidRPr="001C1195">
        <w:t xml:space="preserve"> </w:t>
      </w:r>
      <w:r w:rsidRPr="23EF721F">
        <w:t xml:space="preserve">“context window pollution” </w:t>
      </w:r>
      <w:r>
        <w:t xml:space="preserve">effects and output errors. The consequence of which, as previously stated, is the hidden increase in human workload. </w:t>
      </w:r>
      <w:r w:rsidRPr="23EF721F">
        <w:t xml:space="preserve">Furthermore, </w:t>
      </w:r>
      <w:proofErr w:type="gramStart"/>
      <w:r w:rsidRPr="23EF721F">
        <w:t xml:space="preserve">the </w:t>
      </w:r>
      <w:r>
        <w:t xml:space="preserve"> reference</w:t>
      </w:r>
      <w:proofErr w:type="gramEnd"/>
      <w:r>
        <w:t xml:space="preserve"> </w:t>
      </w:r>
      <w:r w:rsidRPr="23EF721F">
        <w:t>standard development process carrie</w:t>
      </w:r>
      <w:r>
        <w:t>d the same risk</w:t>
      </w:r>
      <w:r w:rsidRPr="23EF721F">
        <w:t xml:space="preserve"> </w:t>
      </w:r>
      <w:r>
        <w:t>of erroneous</w:t>
      </w:r>
      <w:r w:rsidRPr="23EF721F">
        <w:t xml:space="preserve"> expert reviewer</w:t>
      </w:r>
      <w:r>
        <w:t xml:space="preserve"> decisions, </w:t>
      </w:r>
      <w:r w:rsidRPr="23EF721F">
        <w:t xml:space="preserve">especially considering the poor performance of human </w:t>
      </w:r>
      <w:r>
        <w:t>ROB assessments</w:t>
      </w:r>
      <w:r w:rsidRPr="23EF721F">
        <w:t xml:space="preserve">. The risk of concordant assessment errors from two reviewers is indeed much reduced, but nonetheless possible. Lastly, manual production of the ROB assessment adjudications and </w:t>
      </w:r>
      <w:r>
        <w:t xml:space="preserve">reference </w:t>
      </w:r>
      <w:r w:rsidRPr="23EF721F">
        <w:t>standards is subject to minor data input errors.</w:t>
      </w:r>
    </w:p>
    <w:p w14:paraId="257F9184" w14:textId="77777777" w:rsidR="009A6A84" w:rsidRDefault="009A6A84" w:rsidP="009A6A84">
      <w:pPr>
        <w:spacing w:line="278" w:lineRule="auto"/>
        <w:jc w:val="both"/>
        <w:rPr>
          <w:color w:val="000000" w:themeColor="text1"/>
        </w:rPr>
      </w:pPr>
    </w:p>
    <w:p w14:paraId="29FE2D27" w14:textId="77777777" w:rsidR="009A6A84" w:rsidRDefault="009A6A84" w:rsidP="009A6A84">
      <w:pPr>
        <w:spacing w:line="278" w:lineRule="auto"/>
        <w:jc w:val="both"/>
        <w:rPr>
          <w:b/>
          <w:bCs/>
          <w:color w:val="000000" w:themeColor="text1"/>
          <w:sz w:val="28"/>
          <w:szCs w:val="28"/>
        </w:rPr>
      </w:pPr>
      <w:r w:rsidRPr="23EF721F">
        <w:rPr>
          <w:b/>
          <w:bCs/>
          <w:color w:val="000000" w:themeColor="text1"/>
          <w:sz w:val="28"/>
          <w:szCs w:val="28"/>
        </w:rPr>
        <w:t>Step-specific challenges: data synthesis</w:t>
      </w:r>
    </w:p>
    <w:p w14:paraId="14618E8B" w14:textId="2533AD75" w:rsidR="00BE33A1" w:rsidRDefault="009A6A84" w:rsidP="009A6A84">
      <w:pPr>
        <w:spacing w:line="278" w:lineRule="auto"/>
        <w:jc w:val="both"/>
        <w:rPr>
          <w:color w:val="000000" w:themeColor="text1"/>
        </w:rPr>
      </w:pPr>
      <w:r w:rsidRPr="23EF721F">
        <w:rPr>
          <w:color w:val="000000" w:themeColor="text1"/>
        </w:rPr>
        <w:t>A</w:t>
      </w:r>
      <w:r>
        <w:rPr>
          <w:color w:val="000000" w:themeColor="text1"/>
        </w:rPr>
        <w:t>gain, t</w:t>
      </w:r>
      <w:r w:rsidRPr="23EF721F">
        <w:rPr>
          <w:color w:val="000000" w:themeColor="text1"/>
        </w:rPr>
        <w:t xml:space="preserve">rue zero-shot prompting was </w:t>
      </w:r>
      <w:r>
        <w:rPr>
          <w:color w:val="000000" w:themeColor="text1"/>
        </w:rPr>
        <w:t>feasible for the data synthesis step</w:t>
      </w:r>
      <w:r w:rsidRPr="23EF721F">
        <w:rPr>
          <w:color w:val="000000" w:themeColor="text1"/>
        </w:rPr>
        <w:t xml:space="preserve">, requiring </w:t>
      </w:r>
      <w:r>
        <w:rPr>
          <w:color w:val="000000" w:themeColor="text1"/>
        </w:rPr>
        <w:t>both instructions for “reading” the provided raw data tables, as well as</w:t>
      </w:r>
      <w:r w:rsidRPr="23EF721F">
        <w:rPr>
          <w:color w:val="000000" w:themeColor="text1"/>
        </w:rPr>
        <w:t xml:space="preserve"> a specific description of the statistical analys</w:t>
      </w:r>
      <w:r>
        <w:rPr>
          <w:color w:val="000000" w:themeColor="text1"/>
        </w:rPr>
        <w:t>e</w:t>
      </w:r>
      <w:r w:rsidRPr="23EF721F">
        <w:rPr>
          <w:color w:val="000000" w:themeColor="text1"/>
        </w:rPr>
        <w:t xml:space="preserve">s to be performed in each case for every outcome. </w:t>
      </w:r>
      <w:r>
        <w:rPr>
          <w:color w:val="000000" w:themeColor="text1"/>
        </w:rPr>
        <w:t xml:space="preserve">Our main locus of concern for this step is that, for the same raw data and mathematical formulas, GPT’s meta-analytical results were, while meaningfully identical to the original authors, not always strictly identical. Of the factors which might explain the slight differences observed, foremost </w:t>
      </w:r>
      <w:r w:rsidRPr="23EF721F">
        <w:t xml:space="preserve">is the issue of </w:t>
      </w:r>
      <w:r>
        <w:t>missing or ambiguous data interpretation</w:t>
      </w:r>
      <w:r w:rsidRPr="23EF721F">
        <w:t xml:space="preserve">. Errors can </w:t>
      </w:r>
      <w:r>
        <w:t xml:space="preserve">indeed </w:t>
      </w:r>
      <w:r w:rsidRPr="23EF721F">
        <w:t xml:space="preserve">be introduced by GPT’s handling of certain datapoints, where more events occur than there are number of patients for instance, or where GPT might exclude from analysis studies with non-estimable data in a manner discordant with </w:t>
      </w:r>
      <w:r>
        <w:t xml:space="preserve">the </w:t>
      </w:r>
      <w:proofErr w:type="spellStart"/>
      <w:r w:rsidRPr="23EF721F">
        <w:t>RevMan</w:t>
      </w:r>
      <w:proofErr w:type="spellEnd"/>
      <w:r w:rsidRPr="23EF721F">
        <w:t xml:space="preserve"> software. Our prompt did not contain specific instructions for handling missing </w:t>
      </w:r>
      <w:r>
        <w:t xml:space="preserve">or ambiguous </w:t>
      </w:r>
      <w:r w:rsidRPr="23EF721F">
        <w:t xml:space="preserve">data, and GPT’s chain-of-thought did not provide any information regarding </w:t>
      </w:r>
      <w:r>
        <w:t>manipulation of such data. As such</w:t>
      </w:r>
      <w:r w:rsidRPr="23EF721F">
        <w:t xml:space="preserve">, we </w:t>
      </w:r>
      <w:r>
        <w:t xml:space="preserve">regard it as a plausible major factor in </w:t>
      </w:r>
      <w:r w:rsidRPr="23EF721F">
        <w:t xml:space="preserve">contributing to </w:t>
      </w:r>
      <w:r>
        <w:t xml:space="preserve">the non-determinism of GPT’s </w:t>
      </w:r>
      <w:proofErr w:type="gramStart"/>
      <w:r>
        <w:t>outputs</w:t>
      </w:r>
      <w:proofErr w:type="gramEnd"/>
      <w:r w:rsidRPr="23EF721F">
        <w:t>. Additionally, computing mathematical operations relies on floating point arithmetic, which is subject to rounding errors</w:t>
      </w:r>
      <w:r>
        <w:fldChar w:fldCharType="begin"/>
      </w:r>
      <w:r w:rsidR="00451E07">
        <w:instrText xml:space="preserve"> ADDIN ZOTERO_ITEM CSL_CITATION {"citationID":"rDs9unue","properties":{"unsorted":false,"formattedCitation":"\\super 3\\nosupersub{}","plainCitation":"3","noteIndex":0},"citationItems":[{"id":23466,"uris":["http://zotero.org/users/local/S8MYwTbo/items/W39XQJLH"],"itemData":{"id":23466,"type":"article-journal","abstract":"Floating-point arithmetic is considered as esoteric subject by many people. This is rather surprising, because floating-point is ubiquitous in computer systems: Almost every language has a floating-point datatype; computers from PCs to supercomputers have floating-point accelerators; most compilers will be called upon to compile floating-point algorithms from time to time; and virtually every operating system must respond to floating-point exceptions such as overflow. This paper presents a tutorial on the aspects of floating-point that have a direct impact on designers of computer systems. It begins with background on floating-point representation and rounding error, continues with a discussion of the IEEE floating point standard, and concludes with examples of how computer system builders can better support floating point.","container-title":"ACM Comput. Surv.","DOI":"10.1145/103162.103163","ISSN":"0360-0300","issue":"1","page":"5–48","source":"ACM Digital Library","title":"What every computer scientist should know about floating-point arithmetic","volume":"23","author":[{"family":"Goldberg","given":"David"}],"issued":{"date-parts":[["1991",3,1]]}}}],"schema":"https://github.com/citation-style-language/schema/raw/master/csl-citation.json"} </w:instrText>
      </w:r>
      <w:r>
        <w:fldChar w:fldCharType="separate"/>
      </w:r>
      <w:r w:rsidR="00451E07" w:rsidRPr="00451E07">
        <w:rPr>
          <w:rFonts w:ascii="Aptos" w:hAnsi="Aptos" w:cs="Times New Roman"/>
          <w:vertAlign w:val="superscript"/>
        </w:rPr>
        <w:t>3</w:t>
      </w:r>
      <w:r>
        <w:fldChar w:fldCharType="end"/>
      </w:r>
      <w:r w:rsidRPr="23EF721F">
        <w:t>, order of operations and associativity errors</w:t>
      </w:r>
      <w:r>
        <w:fldChar w:fldCharType="begin"/>
      </w:r>
      <w:r w:rsidR="00451E07">
        <w:instrText xml:space="preserve"> ADDIN ZOTERO_ITEM CSL_CITATION {"citationID":"PumZJO4n","properties":{"unsorted":false,"formattedCitation":"\\super 4\\nosupersub{}","plainCitation":"4","noteIndex":0},"citationItems":[{"id":23470,"uris":["http://zotero.org/users/local/S8MYwTbo/items/6BEZWMTP"],"itemData":{"id":23470,"type":"book","edition":"2nd edition","publisher":"Birkhäuser Boston","title":"Handbook of floating-point arithmetic","author":[{"family":"Muller","given":"JM"},{"family":"Brunie","given":"N"},{"family":"Dinechin","given":"F","non-dropping-particle":"de"},{"family":"Jeannerod","given":"CP"},{"family":"Joldes","given":"M"},{"family":"Lefèvre","given":"V"}],"issued":{"date-parts":[["2018"]]}}}],"schema":"https://github.com/citation-style-language/schema/raw/master/csl-citation.json"} </w:instrText>
      </w:r>
      <w:r>
        <w:fldChar w:fldCharType="separate"/>
      </w:r>
      <w:r w:rsidR="00451E07" w:rsidRPr="00451E07">
        <w:rPr>
          <w:rFonts w:ascii="Aptos" w:hAnsi="Aptos" w:cs="Times New Roman"/>
          <w:vertAlign w:val="superscript"/>
        </w:rPr>
        <w:t>4</w:t>
      </w:r>
      <w:r>
        <w:fldChar w:fldCharType="end"/>
      </w:r>
      <w:r w:rsidRPr="23EF721F">
        <w:t xml:space="preserve"> and Monte Carlo errors in imputation of missing data</w:t>
      </w:r>
      <w:r>
        <w:fldChar w:fldCharType="begin"/>
      </w:r>
      <w:r w:rsidR="00451E07">
        <w:instrText xml:space="preserve"> ADDIN ZOTERO_ITEM CSL_CITATION {"citationID":"ng6NTg2L","properties":{"unsorted":false,"formattedCitation":"\\super 5\\nosupersub{}","plainCitation":"5","noteIndex":0},"citationItems":[{"id":23471,"uris":["http://zotero.org/users/local/S8MYwTbo/items/PG2Q9LCL"],"itemData":{"id":23471,"type":"article-journal","abstract":"Missing data is a common occurrence in clinical research. Missing data occurs when the value of the variables of interest are not measured or recorded for all subjects in the sample. Common approaches to addressing the presence of missing data include complete-case analyses, where subjects with missing data are excluded, and mean-value imputation, where missing values are replaced with the mean value of that variable in those subjects for whom it is not missing. However, in many settings, these approaches can lead to biased estimates of statistics (eg, of regression coefficients) and/or confidence intervals that are artificially narrow. Multiple imputation (MI) is a popular approach for addressing the presence of missing data. With MI, multiple plausible values of a given variable are imputed or filled in for each subject who has missing data for that variable. This results in the creation of multiple completed data sets. Identical statistical analyses are conducted in each of these complete data sets and the results are pooled across complete data sets. We provide an introduction to MI and discuss issues in its implementation, including developing the imputation model, how many imputed data sets to create, and addressing derived variables. We illustrate the application of MI through an analysis of data on patients hospitalised with heart failure. We focus on developing a model to estimate the probability of 1-year mortality in the presence of missing data. Statistical software code for conducting MI in R, SAS, and Stata are provided.","container-title":"The Canadian Journal of Cardiology","DOI":"10.1016/j.cjca.2020.11.010","ISSN":"1916-7075","issue":"9","journalAbbreviation":"Can J Cardiol","language":"eng","page":"1322-1331","PMID":"33276049","PMCID":"PMC8499698","source":"PubMed","title":"Missing Data in Clinical Research: A Tutorial on Multiple Imputation","title-short":"Missing Data in Clinical Research","volume":"37","author":[{"family":"Austin","given":"Peter C."},{"family":"White","given":"Ian R."},{"family":"Lee","given":"Douglas S."},{"family":"Buuren","given":"Stef","non-dropping-particle":"van"}],"issued":{"date-parts":[["2021",9]]}}}],"schema":"https://github.com/citation-style-language/schema/raw/master/csl-citation.json"} </w:instrText>
      </w:r>
      <w:r>
        <w:fldChar w:fldCharType="separate"/>
      </w:r>
      <w:r w:rsidR="00451E07" w:rsidRPr="00451E07">
        <w:rPr>
          <w:rFonts w:ascii="Aptos" w:hAnsi="Aptos" w:cs="Times New Roman"/>
          <w:vertAlign w:val="superscript"/>
        </w:rPr>
        <w:t>5</w:t>
      </w:r>
      <w:r>
        <w:fldChar w:fldCharType="end"/>
      </w:r>
      <w:r w:rsidRPr="23EF721F">
        <w:t>. All these previous errors compound and propagate forward, especially meta-analytical results calculated sequentially from previous other meta-analytical results.</w:t>
      </w:r>
      <w:r>
        <w:t xml:space="preserve"> While the impact of these latter errors is less significant in terms of scale, going forward, we strongly suggest detailing missing and ambiguous data handling in data synthesis prompts for optimal results.</w:t>
      </w:r>
    </w:p>
    <w:p w14:paraId="6324ECCD" w14:textId="77777777" w:rsidR="00E1645F" w:rsidRDefault="00E1645F" w:rsidP="009A6A84">
      <w:pPr>
        <w:spacing w:line="278" w:lineRule="auto"/>
        <w:jc w:val="both"/>
        <w:rPr>
          <w:color w:val="000000" w:themeColor="text1"/>
        </w:rPr>
      </w:pPr>
    </w:p>
    <w:p w14:paraId="4D88E256" w14:textId="5A3ABA14" w:rsidR="00E1645F" w:rsidRPr="00E1645F" w:rsidRDefault="00E1645F" w:rsidP="009A6A84">
      <w:pPr>
        <w:spacing w:line="278" w:lineRule="auto"/>
        <w:jc w:val="both"/>
        <w:rPr>
          <w:b/>
          <w:bCs/>
          <w:color w:val="000000" w:themeColor="text1"/>
          <w:sz w:val="28"/>
          <w:szCs w:val="28"/>
        </w:rPr>
      </w:pPr>
      <w:r>
        <w:rPr>
          <w:b/>
          <w:bCs/>
          <w:color w:val="000000" w:themeColor="text1"/>
          <w:sz w:val="28"/>
          <w:szCs w:val="28"/>
        </w:rPr>
        <w:t>Bibliography</w:t>
      </w:r>
    </w:p>
    <w:p w14:paraId="0894568F" w14:textId="77777777" w:rsidR="00451E07" w:rsidRPr="00451E07" w:rsidRDefault="00E1645F" w:rsidP="00451E07">
      <w:pPr>
        <w:pStyle w:val="Bibliographie"/>
      </w:pPr>
      <w:r>
        <w:rPr>
          <w:color w:val="000000" w:themeColor="text1"/>
        </w:rPr>
        <w:lastRenderedPageBreak/>
        <w:fldChar w:fldCharType="begin"/>
      </w:r>
      <w:r w:rsidR="00451E07">
        <w:rPr>
          <w:color w:val="000000" w:themeColor="text1"/>
        </w:rPr>
        <w:instrText xml:space="preserve"> ADDIN ZOTERO_BIBL {"uncited":[],"omitted":[],"custom":[]} CSL_BIBLIOGRAPHY </w:instrText>
      </w:r>
      <w:r>
        <w:rPr>
          <w:color w:val="000000" w:themeColor="text1"/>
        </w:rPr>
        <w:fldChar w:fldCharType="separate"/>
      </w:r>
      <w:r w:rsidR="00451E07" w:rsidRPr="00451E07">
        <w:t>1.</w:t>
      </w:r>
      <w:r w:rsidR="00451E07" w:rsidRPr="00451E07">
        <w:tab/>
        <w:t xml:space="preserve">Ling, C. </w:t>
      </w:r>
      <w:r w:rsidR="00451E07" w:rsidRPr="00451E07">
        <w:rPr>
          <w:i/>
          <w:iCs/>
        </w:rPr>
        <w:t>et al.</w:t>
      </w:r>
      <w:r w:rsidR="00451E07" w:rsidRPr="00451E07">
        <w:t xml:space="preserve"> Domain Specialization as the Key to Make Large Language Models Disruptive: A Comprehensive Survey. </w:t>
      </w:r>
      <w:r w:rsidR="00451E07" w:rsidRPr="00451E07">
        <w:rPr>
          <w:i/>
          <w:iCs/>
        </w:rPr>
        <w:t xml:space="preserve">ACM </w:t>
      </w:r>
      <w:proofErr w:type="spellStart"/>
      <w:r w:rsidR="00451E07" w:rsidRPr="00451E07">
        <w:rPr>
          <w:i/>
          <w:iCs/>
        </w:rPr>
        <w:t>Comput</w:t>
      </w:r>
      <w:proofErr w:type="spellEnd"/>
      <w:r w:rsidR="00451E07" w:rsidRPr="00451E07">
        <w:rPr>
          <w:i/>
          <w:iCs/>
        </w:rPr>
        <w:t xml:space="preserve"> </w:t>
      </w:r>
      <w:proofErr w:type="spellStart"/>
      <w:r w:rsidR="00451E07" w:rsidRPr="00451E07">
        <w:rPr>
          <w:i/>
          <w:iCs/>
        </w:rPr>
        <w:t>Surv</w:t>
      </w:r>
      <w:proofErr w:type="spellEnd"/>
      <w:r w:rsidR="00451E07" w:rsidRPr="00451E07">
        <w:t xml:space="preserve"> </w:t>
      </w:r>
      <w:r w:rsidR="00451E07" w:rsidRPr="00451E07">
        <w:rPr>
          <w:b/>
          <w:bCs/>
        </w:rPr>
        <w:t>58</w:t>
      </w:r>
      <w:r w:rsidR="00451E07" w:rsidRPr="00451E07">
        <w:t>, 79:1-79:39 (2025).</w:t>
      </w:r>
    </w:p>
    <w:p w14:paraId="3DC9729B" w14:textId="77777777" w:rsidR="00451E07" w:rsidRPr="00451E07" w:rsidRDefault="00451E07" w:rsidP="00451E07">
      <w:pPr>
        <w:pStyle w:val="Bibliographie"/>
      </w:pPr>
      <w:r w:rsidRPr="00451E07">
        <w:t>2.</w:t>
      </w:r>
      <w:r w:rsidRPr="00451E07">
        <w:tab/>
        <w:t>Song, P., Han, P. &amp; Goodman, N. Large Language Model Reasoning Failures. Preprint at https://doi.org/10.48550/arXiv.2602.06176 (2026).</w:t>
      </w:r>
    </w:p>
    <w:p w14:paraId="743E8929" w14:textId="77777777" w:rsidR="00451E07" w:rsidRPr="00451E07" w:rsidRDefault="00451E07" w:rsidP="00451E07">
      <w:pPr>
        <w:pStyle w:val="Bibliographie"/>
      </w:pPr>
      <w:r w:rsidRPr="00451E07">
        <w:t>3.</w:t>
      </w:r>
      <w:r w:rsidRPr="00451E07">
        <w:tab/>
        <w:t xml:space="preserve">Goldberg, D. What every computer scientist should know about floating-point arithmetic. </w:t>
      </w:r>
      <w:r w:rsidRPr="00451E07">
        <w:rPr>
          <w:i/>
          <w:iCs/>
        </w:rPr>
        <w:t xml:space="preserve">ACM </w:t>
      </w:r>
      <w:proofErr w:type="spellStart"/>
      <w:r w:rsidRPr="00451E07">
        <w:rPr>
          <w:i/>
          <w:iCs/>
        </w:rPr>
        <w:t>Comput</w:t>
      </w:r>
      <w:proofErr w:type="spellEnd"/>
      <w:r w:rsidRPr="00451E07">
        <w:rPr>
          <w:i/>
          <w:iCs/>
        </w:rPr>
        <w:t xml:space="preserve"> </w:t>
      </w:r>
      <w:proofErr w:type="spellStart"/>
      <w:r w:rsidRPr="00451E07">
        <w:rPr>
          <w:i/>
          <w:iCs/>
        </w:rPr>
        <w:t>Surv</w:t>
      </w:r>
      <w:proofErr w:type="spellEnd"/>
      <w:r w:rsidRPr="00451E07">
        <w:t xml:space="preserve"> </w:t>
      </w:r>
      <w:r w:rsidRPr="00451E07">
        <w:rPr>
          <w:b/>
          <w:bCs/>
        </w:rPr>
        <w:t>23</w:t>
      </w:r>
      <w:r w:rsidRPr="00451E07">
        <w:t>, 5–48 (1991).</w:t>
      </w:r>
    </w:p>
    <w:p w14:paraId="1E20D678" w14:textId="77777777" w:rsidR="00451E07" w:rsidRPr="00451E07" w:rsidRDefault="00451E07" w:rsidP="00451E07">
      <w:pPr>
        <w:pStyle w:val="Bibliographie"/>
      </w:pPr>
      <w:r w:rsidRPr="00451E07">
        <w:t>4.</w:t>
      </w:r>
      <w:r w:rsidRPr="00451E07">
        <w:tab/>
        <w:t xml:space="preserve">Muller, J. </w:t>
      </w:r>
      <w:r w:rsidRPr="00451E07">
        <w:rPr>
          <w:i/>
          <w:iCs/>
        </w:rPr>
        <w:t>et al.</w:t>
      </w:r>
      <w:r w:rsidRPr="00451E07">
        <w:t xml:space="preserve"> </w:t>
      </w:r>
      <w:r w:rsidRPr="00451E07">
        <w:rPr>
          <w:i/>
          <w:iCs/>
        </w:rPr>
        <w:t>Handbook of Floating-Point Arithmetic</w:t>
      </w:r>
      <w:r w:rsidRPr="00451E07">
        <w:t>. (</w:t>
      </w:r>
      <w:proofErr w:type="spellStart"/>
      <w:r w:rsidRPr="00451E07">
        <w:t>Birkhäuser</w:t>
      </w:r>
      <w:proofErr w:type="spellEnd"/>
      <w:r w:rsidRPr="00451E07">
        <w:t xml:space="preserve"> Boston, 2018).</w:t>
      </w:r>
    </w:p>
    <w:p w14:paraId="6CD074B6" w14:textId="77777777" w:rsidR="00451E07" w:rsidRPr="00451E07" w:rsidRDefault="00451E07" w:rsidP="00451E07">
      <w:pPr>
        <w:pStyle w:val="Bibliographie"/>
      </w:pPr>
      <w:r w:rsidRPr="00451E07">
        <w:t>5.</w:t>
      </w:r>
      <w:r w:rsidRPr="00451E07">
        <w:tab/>
        <w:t xml:space="preserve">Austin, P. C., White, I. R., Lee, D. S. &amp; van Buuren, S. Missing Data in Clinical Research: A Tutorial on Multiple Imputation. </w:t>
      </w:r>
      <w:r w:rsidRPr="00451E07">
        <w:rPr>
          <w:i/>
          <w:iCs/>
        </w:rPr>
        <w:t xml:space="preserve">Can. J. </w:t>
      </w:r>
      <w:proofErr w:type="spellStart"/>
      <w:r w:rsidRPr="00451E07">
        <w:rPr>
          <w:i/>
          <w:iCs/>
        </w:rPr>
        <w:t>Cardiol</w:t>
      </w:r>
      <w:proofErr w:type="spellEnd"/>
      <w:r w:rsidRPr="00451E07">
        <w:rPr>
          <w:i/>
          <w:iCs/>
        </w:rPr>
        <w:t>.</w:t>
      </w:r>
      <w:r w:rsidRPr="00451E07">
        <w:t xml:space="preserve"> </w:t>
      </w:r>
      <w:r w:rsidRPr="00451E07">
        <w:rPr>
          <w:b/>
          <w:bCs/>
        </w:rPr>
        <w:t>37</w:t>
      </w:r>
      <w:r w:rsidRPr="00451E07">
        <w:t>, 1322–1331 (2021).</w:t>
      </w:r>
    </w:p>
    <w:p w14:paraId="79D4D1C2" w14:textId="507CAADB" w:rsidR="00E1645F" w:rsidRPr="009A6A84" w:rsidRDefault="00E1645F" w:rsidP="009A6A84">
      <w:pPr>
        <w:spacing w:line="278" w:lineRule="auto"/>
        <w:jc w:val="both"/>
        <w:rPr>
          <w:color w:val="000000" w:themeColor="text1"/>
        </w:rPr>
      </w:pPr>
      <w:r>
        <w:rPr>
          <w:color w:val="000000" w:themeColor="text1"/>
        </w:rPr>
        <w:fldChar w:fldCharType="end"/>
      </w:r>
    </w:p>
    <w:sectPr w:rsidR="00E1645F" w:rsidRPr="009A6A8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CBD"/>
    <w:rsid w:val="001A306D"/>
    <w:rsid w:val="00415AA2"/>
    <w:rsid w:val="00451E07"/>
    <w:rsid w:val="009A6A84"/>
    <w:rsid w:val="00A56CBD"/>
    <w:rsid w:val="00BE33A1"/>
    <w:rsid w:val="00C227B4"/>
    <w:rsid w:val="00DA332A"/>
    <w:rsid w:val="00E16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F2CCA"/>
  <w15:chartTrackingRefBased/>
  <w15:docId w15:val="{1A578D93-1B0F-47E8-9B15-2FFE0355A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A84"/>
    <w:pPr>
      <w:spacing w:line="279" w:lineRule="auto"/>
    </w:pPr>
    <w:rPr>
      <w:rFonts w:eastAsiaTheme="minorEastAsia"/>
      <w:kern w:val="0"/>
      <w:lang w:eastAsia="ja-JP"/>
      <w14:ligatures w14:val="none"/>
    </w:rPr>
  </w:style>
  <w:style w:type="paragraph" w:styleId="Titre1">
    <w:name w:val="heading 1"/>
    <w:basedOn w:val="Normal"/>
    <w:next w:val="Normal"/>
    <w:link w:val="Titre1Car"/>
    <w:uiPriority w:val="9"/>
    <w:qFormat/>
    <w:rsid w:val="00A56C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A56C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A56CBD"/>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A56CBD"/>
    <w:pPr>
      <w:keepNext/>
      <w:keepLines/>
      <w:spacing w:before="80" w:after="40" w:line="278" w:lineRule="auto"/>
      <w:outlineLvl w:val="3"/>
    </w:pPr>
    <w:rPr>
      <w:rFonts w:eastAsiaTheme="majorEastAsia"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A56CBD"/>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A56CBD"/>
    <w:pPr>
      <w:keepNext/>
      <w:keepLines/>
      <w:spacing w:before="40" w:after="0" w:line="278" w:lineRule="auto"/>
      <w:outlineLvl w:val="5"/>
    </w:pPr>
    <w:rPr>
      <w:rFonts w:eastAsiaTheme="majorEastAsia"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A56CBD"/>
    <w:pPr>
      <w:keepNext/>
      <w:keepLines/>
      <w:spacing w:before="40" w:after="0" w:line="278" w:lineRule="auto"/>
      <w:outlineLvl w:val="6"/>
    </w:pPr>
    <w:rPr>
      <w:rFonts w:eastAsiaTheme="majorEastAsia"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A56CBD"/>
    <w:pPr>
      <w:keepNext/>
      <w:keepLines/>
      <w:spacing w:after="0" w:line="278" w:lineRule="auto"/>
      <w:outlineLvl w:val="7"/>
    </w:pPr>
    <w:rPr>
      <w:rFonts w:eastAsiaTheme="majorEastAsia"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A56CBD"/>
    <w:pPr>
      <w:keepNext/>
      <w:keepLines/>
      <w:spacing w:after="0" w:line="278" w:lineRule="auto"/>
      <w:outlineLvl w:val="8"/>
    </w:pPr>
    <w:rPr>
      <w:rFonts w:eastAsiaTheme="majorEastAsia"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6CB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56CB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56CB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56CB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56CB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56CB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56CB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56CB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56CBD"/>
    <w:rPr>
      <w:rFonts w:eastAsiaTheme="majorEastAsia" w:cstheme="majorBidi"/>
      <w:color w:val="272727" w:themeColor="text1" w:themeTint="D8"/>
    </w:rPr>
  </w:style>
  <w:style w:type="paragraph" w:styleId="Titre">
    <w:name w:val="Title"/>
    <w:basedOn w:val="Normal"/>
    <w:next w:val="Normal"/>
    <w:link w:val="TitreCar"/>
    <w:uiPriority w:val="10"/>
    <w:qFormat/>
    <w:rsid w:val="00A56CB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A56CB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56CBD"/>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A56CB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56CBD"/>
    <w:pPr>
      <w:spacing w:before="160" w:line="278" w:lineRule="auto"/>
      <w:jc w:val="center"/>
    </w:pPr>
    <w:rPr>
      <w:rFonts w:eastAsiaTheme="minorHAns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A56CBD"/>
    <w:rPr>
      <w:i/>
      <w:iCs/>
      <w:color w:val="404040" w:themeColor="text1" w:themeTint="BF"/>
    </w:rPr>
  </w:style>
  <w:style w:type="paragraph" w:styleId="Paragraphedeliste">
    <w:name w:val="List Paragraph"/>
    <w:basedOn w:val="Normal"/>
    <w:uiPriority w:val="34"/>
    <w:qFormat/>
    <w:rsid w:val="00A56CBD"/>
    <w:pPr>
      <w:spacing w:line="278" w:lineRule="auto"/>
      <w:ind w:left="720"/>
      <w:contextualSpacing/>
    </w:pPr>
    <w:rPr>
      <w:rFonts w:eastAsiaTheme="minorHAnsi"/>
      <w:kern w:val="2"/>
      <w:lang w:eastAsia="en-US"/>
      <w14:ligatures w14:val="standardContextual"/>
    </w:rPr>
  </w:style>
  <w:style w:type="character" w:styleId="Accentuationintense">
    <w:name w:val="Intense Emphasis"/>
    <w:basedOn w:val="Policepardfaut"/>
    <w:uiPriority w:val="21"/>
    <w:qFormat/>
    <w:rsid w:val="00A56CBD"/>
    <w:rPr>
      <w:i/>
      <w:iCs/>
      <w:color w:val="0F4761" w:themeColor="accent1" w:themeShade="BF"/>
    </w:rPr>
  </w:style>
  <w:style w:type="paragraph" w:styleId="Citationintense">
    <w:name w:val="Intense Quote"/>
    <w:basedOn w:val="Normal"/>
    <w:next w:val="Normal"/>
    <w:link w:val="CitationintenseCar"/>
    <w:uiPriority w:val="30"/>
    <w:qFormat/>
    <w:rsid w:val="00A56CB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A56CBD"/>
    <w:rPr>
      <w:i/>
      <w:iCs/>
      <w:color w:val="0F4761" w:themeColor="accent1" w:themeShade="BF"/>
    </w:rPr>
  </w:style>
  <w:style w:type="character" w:styleId="Rfrenceintense">
    <w:name w:val="Intense Reference"/>
    <w:basedOn w:val="Policepardfaut"/>
    <w:uiPriority w:val="32"/>
    <w:qFormat/>
    <w:rsid w:val="00A56CBD"/>
    <w:rPr>
      <w:b/>
      <w:bCs/>
      <w:smallCaps/>
      <w:color w:val="0F4761" w:themeColor="accent1" w:themeShade="BF"/>
      <w:spacing w:val="5"/>
    </w:rPr>
  </w:style>
  <w:style w:type="paragraph" w:styleId="Bibliographie">
    <w:name w:val="Bibliography"/>
    <w:basedOn w:val="Normal"/>
    <w:next w:val="Normal"/>
    <w:uiPriority w:val="37"/>
    <w:unhideWhenUsed/>
    <w:rsid w:val="00E1645F"/>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2960</Words>
  <Characters>16877</Characters>
  <Application>Microsoft Office Word</Application>
  <DocSecurity>0</DocSecurity>
  <Lines>140</Lines>
  <Paragraphs>39</Paragraphs>
  <ScaleCrop>false</ScaleCrop>
  <Company/>
  <LinksUpToDate>false</LinksUpToDate>
  <CharactersWithSpaces>19798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Pietrancosta</dc:creator>
  <cp:keywords/>
  <dc:description/>
  <cp:lastModifiedBy>Mathias Pietrancosta</cp:lastModifiedBy>
  <cp:revision>5</cp:revision>
  <dcterms:created xsi:type="dcterms:W3CDTF">2026-06-19T17:47:00Z</dcterms:created>
  <dcterms:modified xsi:type="dcterms:W3CDTF">2026-06-29T18:21:00Z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id="98nj0uWF"/&gt;&lt;style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ies>
</file>