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20841" w14:textId="139CCC01" w:rsidR="006F2A91" w:rsidRDefault="006F2A91" w:rsidP="006F2A91">
      <w:pPr>
        <w:spacing w:line="278" w:lineRule="auto"/>
        <w:jc w:val="both"/>
      </w:pPr>
      <w:r>
        <w:t xml:space="preserve">Supplementary </w:t>
      </w:r>
      <w:r w:rsidRPr="23EF721F">
        <w:t>Table 2.</w:t>
      </w:r>
      <w:r>
        <w:t>4.1</w:t>
      </w:r>
      <w:r w:rsidRPr="23EF721F">
        <w:t>: SRMA-specific and total risk of bias assessments and corresponding ROB tools used.</w:t>
      </w:r>
    </w:p>
    <w:tbl>
      <w:tblPr>
        <w:tblStyle w:val="TableauGrille5Fonc-Accentuation1"/>
        <w:tblW w:w="0" w:type="auto"/>
        <w:tblLook w:val="06A0" w:firstRow="1" w:lastRow="0" w:firstColumn="1" w:lastColumn="0" w:noHBand="1" w:noVBand="1"/>
      </w:tblPr>
      <w:tblGrid>
        <w:gridCol w:w="2325"/>
        <w:gridCol w:w="3629"/>
        <w:gridCol w:w="3442"/>
      </w:tblGrid>
      <w:tr w:rsidR="006F2A91" w14:paraId="37780714" w14:textId="77777777" w:rsidTr="009E05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tcPr>
          <w:p w14:paraId="59238A9E" w14:textId="77777777" w:rsidR="006F2A91" w:rsidRDefault="006F2A91" w:rsidP="009E05BA">
            <w:pPr>
              <w:jc w:val="both"/>
              <w:rPr>
                <w:sz w:val="20"/>
                <w:szCs w:val="20"/>
              </w:rPr>
            </w:pPr>
            <w:r w:rsidRPr="23EF721F">
              <w:rPr>
                <w:sz w:val="20"/>
                <w:szCs w:val="20"/>
              </w:rPr>
              <w:t>Datasets</w:t>
            </w:r>
          </w:p>
        </w:tc>
        <w:tc>
          <w:tcPr>
            <w:tcW w:w="3660" w:type="dxa"/>
          </w:tcPr>
          <w:p w14:paraId="4389A38B" w14:textId="77777777" w:rsidR="006F2A91" w:rsidRDefault="006F2A91" w:rsidP="009E05BA">
            <w:pPr>
              <w:cnfStyle w:val="100000000000" w:firstRow="1" w:lastRow="0" w:firstColumn="0" w:lastColumn="0" w:oddVBand="0" w:evenVBand="0" w:oddHBand="0" w:evenHBand="0" w:firstRowFirstColumn="0" w:firstRowLastColumn="0" w:lastRowFirstColumn="0" w:lastRowLastColumn="0"/>
            </w:pPr>
            <w:r w:rsidRPr="23EF721F">
              <w:rPr>
                <w:sz w:val="20"/>
                <w:szCs w:val="20"/>
              </w:rPr>
              <w:t>ROB tool</w:t>
            </w:r>
          </w:p>
        </w:tc>
        <w:tc>
          <w:tcPr>
            <w:tcW w:w="3465" w:type="dxa"/>
          </w:tcPr>
          <w:p w14:paraId="1253E4AA" w14:textId="77777777" w:rsidR="006F2A91" w:rsidRDefault="006F2A91" w:rsidP="009E05BA">
            <w:pPr>
              <w:cnfStyle w:val="100000000000" w:firstRow="1" w:lastRow="0" w:firstColumn="0" w:lastColumn="0" w:oddVBand="0" w:evenVBand="0" w:oddHBand="0" w:evenHBand="0" w:firstRowFirstColumn="0" w:firstRowLastColumn="0" w:lastRowFirstColumn="0" w:lastRowLastColumn="0"/>
            </w:pPr>
            <w:r w:rsidRPr="23EF721F">
              <w:rPr>
                <w:sz w:val="20"/>
                <w:szCs w:val="20"/>
              </w:rPr>
              <w:t>Number of ROB assessments</w:t>
            </w:r>
          </w:p>
        </w:tc>
      </w:tr>
      <w:tr w:rsidR="006F2A91" w14:paraId="1C4E1377" w14:textId="77777777" w:rsidTr="009E05BA">
        <w:trPr>
          <w:trHeight w:val="330"/>
        </w:trPr>
        <w:tc>
          <w:tcPr>
            <w:cnfStyle w:val="001000000000" w:firstRow="0" w:lastRow="0" w:firstColumn="1" w:lastColumn="0" w:oddVBand="0" w:evenVBand="0" w:oddHBand="0" w:evenHBand="0" w:firstRowFirstColumn="0" w:firstRowLastColumn="0" w:lastRowFirstColumn="0" w:lastRowLastColumn="0"/>
            <w:tcW w:w="2340" w:type="dxa"/>
          </w:tcPr>
          <w:p w14:paraId="12B46262" w14:textId="77777777" w:rsidR="006F2A91" w:rsidRDefault="006F2A91" w:rsidP="009E05BA">
            <w:pPr>
              <w:jc w:val="both"/>
              <w:rPr>
                <w:sz w:val="20"/>
                <w:szCs w:val="20"/>
              </w:rPr>
            </w:pPr>
            <w:r w:rsidRPr="23EF721F">
              <w:rPr>
                <w:sz w:val="20"/>
                <w:szCs w:val="20"/>
              </w:rPr>
              <w:t>Gradient SRMA</w:t>
            </w:r>
          </w:p>
        </w:tc>
        <w:tc>
          <w:tcPr>
            <w:tcW w:w="3660" w:type="dxa"/>
          </w:tcPr>
          <w:p w14:paraId="2D2F1475"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ROBINS-I</w:t>
            </w:r>
          </w:p>
        </w:tc>
        <w:tc>
          <w:tcPr>
            <w:tcW w:w="3465" w:type="dxa"/>
          </w:tcPr>
          <w:p w14:paraId="02309198"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88</w:t>
            </w:r>
          </w:p>
        </w:tc>
      </w:tr>
      <w:tr w:rsidR="006F2A91" w14:paraId="6E2EEB90"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2340" w:type="dxa"/>
          </w:tcPr>
          <w:p w14:paraId="7A4D8C41" w14:textId="77777777" w:rsidR="006F2A91" w:rsidRDefault="006F2A91" w:rsidP="009E05BA">
            <w:pPr>
              <w:jc w:val="both"/>
              <w:rPr>
                <w:sz w:val="20"/>
                <w:szCs w:val="20"/>
              </w:rPr>
            </w:pPr>
            <w:r w:rsidRPr="23EF721F">
              <w:rPr>
                <w:sz w:val="20"/>
                <w:szCs w:val="20"/>
              </w:rPr>
              <w:t>LLM SRMA</w:t>
            </w:r>
          </w:p>
        </w:tc>
        <w:tc>
          <w:tcPr>
            <w:tcW w:w="3660" w:type="dxa"/>
          </w:tcPr>
          <w:p w14:paraId="0C0A8A29"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ROBINS-I</w:t>
            </w:r>
          </w:p>
        </w:tc>
        <w:tc>
          <w:tcPr>
            <w:tcW w:w="3465" w:type="dxa"/>
          </w:tcPr>
          <w:p w14:paraId="0B62F3C8"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96</w:t>
            </w:r>
          </w:p>
        </w:tc>
      </w:tr>
      <w:tr w:rsidR="006F2A91" w14:paraId="6E8CED13"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2340" w:type="dxa"/>
          </w:tcPr>
          <w:p w14:paraId="190FDE17" w14:textId="77777777" w:rsidR="006F2A91" w:rsidRDefault="006F2A91" w:rsidP="009E05BA">
            <w:pPr>
              <w:jc w:val="both"/>
              <w:rPr>
                <w:sz w:val="20"/>
                <w:szCs w:val="20"/>
              </w:rPr>
            </w:pPr>
            <w:r w:rsidRPr="23EF721F">
              <w:rPr>
                <w:sz w:val="20"/>
                <w:szCs w:val="20"/>
              </w:rPr>
              <w:t>TIVA SRMA</w:t>
            </w:r>
          </w:p>
        </w:tc>
        <w:tc>
          <w:tcPr>
            <w:tcW w:w="3660" w:type="dxa"/>
          </w:tcPr>
          <w:p w14:paraId="10C7C5B1"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ROB 2</w:t>
            </w:r>
          </w:p>
        </w:tc>
        <w:tc>
          <w:tcPr>
            <w:tcW w:w="3465" w:type="dxa"/>
          </w:tcPr>
          <w:p w14:paraId="5AF7C6A7"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168</w:t>
            </w:r>
          </w:p>
        </w:tc>
      </w:tr>
      <w:tr w:rsidR="006F2A91" w14:paraId="36834750"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2340" w:type="dxa"/>
          </w:tcPr>
          <w:p w14:paraId="2F6FEE23" w14:textId="77777777" w:rsidR="006F2A91" w:rsidRDefault="006F2A91" w:rsidP="009E05BA">
            <w:pPr>
              <w:jc w:val="both"/>
              <w:rPr>
                <w:sz w:val="20"/>
                <w:szCs w:val="20"/>
              </w:rPr>
            </w:pPr>
            <w:r w:rsidRPr="23EF721F">
              <w:rPr>
                <w:sz w:val="20"/>
                <w:szCs w:val="20"/>
              </w:rPr>
              <w:t>VR SRMA</w:t>
            </w:r>
          </w:p>
        </w:tc>
        <w:tc>
          <w:tcPr>
            <w:tcW w:w="3660" w:type="dxa"/>
          </w:tcPr>
          <w:p w14:paraId="740F6E7B"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ROBINS-I and ROB 2</w:t>
            </w:r>
          </w:p>
        </w:tc>
        <w:tc>
          <w:tcPr>
            <w:tcW w:w="3465" w:type="dxa"/>
          </w:tcPr>
          <w:p w14:paraId="0F0E669D"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46</w:t>
            </w:r>
          </w:p>
        </w:tc>
      </w:tr>
      <w:tr w:rsidR="006F2A91" w14:paraId="2381C0BF"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2340" w:type="dxa"/>
          </w:tcPr>
          <w:p w14:paraId="65539D54" w14:textId="77777777" w:rsidR="006F2A91" w:rsidRDefault="006F2A91" w:rsidP="009E05BA">
            <w:pPr>
              <w:jc w:val="both"/>
              <w:rPr>
                <w:sz w:val="20"/>
                <w:szCs w:val="20"/>
              </w:rPr>
            </w:pPr>
            <w:r w:rsidRPr="23EF721F">
              <w:rPr>
                <w:sz w:val="20"/>
                <w:szCs w:val="20"/>
              </w:rPr>
              <w:t>All SRMAs</w:t>
            </w:r>
          </w:p>
        </w:tc>
        <w:tc>
          <w:tcPr>
            <w:tcW w:w="3660" w:type="dxa"/>
          </w:tcPr>
          <w:p w14:paraId="53C7947A"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ROBINS-I and ROB 2</w:t>
            </w:r>
          </w:p>
        </w:tc>
        <w:tc>
          <w:tcPr>
            <w:tcW w:w="3465" w:type="dxa"/>
          </w:tcPr>
          <w:p w14:paraId="2A97FAEB" w14:textId="77777777" w:rsidR="006F2A91" w:rsidRDefault="006F2A91"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398</w:t>
            </w:r>
          </w:p>
        </w:tc>
      </w:tr>
    </w:tbl>
    <w:p w14:paraId="43CC1BC7" w14:textId="77777777" w:rsidR="006F2A91" w:rsidRDefault="006F2A91" w:rsidP="006F2A91">
      <w:pPr>
        <w:spacing w:line="278" w:lineRule="auto"/>
        <w:jc w:val="both"/>
      </w:pPr>
    </w:p>
    <w:p w14:paraId="1BDF0784" w14:textId="320AEF26" w:rsidR="007F10E8" w:rsidRDefault="007F10E8" w:rsidP="007F10E8">
      <w:pPr>
        <w:spacing w:line="278" w:lineRule="auto"/>
        <w:jc w:val="both"/>
      </w:pPr>
      <w:r>
        <w:t>Supplementary Table 2.4.2: ROBINS-I domain-specific performance of GPT 5.1 Pro’s risk of bias assessments, pooled across all SRMAs.</w:t>
      </w:r>
    </w:p>
    <w:tbl>
      <w:tblPr>
        <w:tblStyle w:val="TableauGrille5Fonc-Accentuation1"/>
        <w:tblW w:w="0" w:type="auto"/>
        <w:tblLook w:val="06A0" w:firstRow="1" w:lastRow="0" w:firstColumn="1" w:lastColumn="0" w:noHBand="1" w:noVBand="1"/>
      </w:tblPr>
      <w:tblGrid>
        <w:gridCol w:w="5892"/>
        <w:gridCol w:w="3504"/>
      </w:tblGrid>
      <w:tr w:rsidR="007F10E8" w14:paraId="7997F0EB" w14:textId="77777777" w:rsidTr="009E05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0" w:type="dxa"/>
          </w:tcPr>
          <w:p w14:paraId="563019D6" w14:textId="77777777" w:rsidR="007F10E8" w:rsidRDefault="007F10E8" w:rsidP="009E05BA">
            <w:r w:rsidRPr="642C1353">
              <w:rPr>
                <w:sz w:val="20"/>
                <w:szCs w:val="20"/>
              </w:rPr>
              <w:t>ROBINS-I risk of bias domain</w:t>
            </w:r>
          </w:p>
        </w:tc>
        <w:tc>
          <w:tcPr>
            <w:tcW w:w="3531" w:type="dxa"/>
          </w:tcPr>
          <w:p w14:paraId="0E5BFA24" w14:textId="77777777" w:rsidR="007F10E8" w:rsidRDefault="007F10E8" w:rsidP="009E05BA">
            <w:pPr>
              <w:cnfStyle w:val="100000000000" w:firstRow="1" w:lastRow="0" w:firstColumn="0" w:lastColumn="0" w:oddVBand="0" w:evenVBand="0" w:oddHBand="0" w:evenHBand="0" w:firstRowFirstColumn="0" w:firstRowLastColumn="0" w:lastRowFirstColumn="0" w:lastRowLastColumn="0"/>
              <w:rPr>
                <w:sz w:val="20"/>
                <w:szCs w:val="20"/>
              </w:rPr>
            </w:pPr>
            <w:r w:rsidRPr="642C1353">
              <w:rPr>
                <w:sz w:val="20"/>
                <w:szCs w:val="20"/>
              </w:rPr>
              <w:t>Accuracy [95% CI]</w:t>
            </w:r>
          </w:p>
        </w:tc>
      </w:tr>
      <w:tr w:rsidR="007F10E8" w14:paraId="78C7417A"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5940" w:type="dxa"/>
          </w:tcPr>
          <w:p w14:paraId="55027044" w14:textId="77777777" w:rsidR="007F10E8" w:rsidRDefault="007F10E8" w:rsidP="009E05BA">
            <w:r w:rsidRPr="642C1353">
              <w:rPr>
                <w:sz w:val="20"/>
                <w:szCs w:val="20"/>
              </w:rPr>
              <w:t>Domain 1: Bias due to confounding</w:t>
            </w:r>
          </w:p>
        </w:tc>
        <w:tc>
          <w:tcPr>
            <w:tcW w:w="3531" w:type="dxa"/>
          </w:tcPr>
          <w:p w14:paraId="5999B525"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0.88 [0.69, 0.96]</w:t>
            </w:r>
          </w:p>
        </w:tc>
      </w:tr>
      <w:tr w:rsidR="007F10E8" w14:paraId="6289D47B"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5940" w:type="dxa"/>
          </w:tcPr>
          <w:p w14:paraId="0F27DAE3" w14:textId="77777777" w:rsidR="007F10E8" w:rsidRDefault="007F10E8" w:rsidP="009E05BA">
            <w:r w:rsidRPr="642C1353">
              <w:rPr>
                <w:sz w:val="20"/>
                <w:szCs w:val="20"/>
              </w:rPr>
              <w:t>Domain 2: Bias in selection of participants</w:t>
            </w:r>
          </w:p>
        </w:tc>
        <w:tc>
          <w:tcPr>
            <w:tcW w:w="3531" w:type="dxa"/>
          </w:tcPr>
          <w:p w14:paraId="0704E9CB"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0.83 [0.64, 0.93]</w:t>
            </w:r>
          </w:p>
        </w:tc>
      </w:tr>
      <w:tr w:rsidR="007F10E8" w14:paraId="16D594B7"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5940" w:type="dxa"/>
          </w:tcPr>
          <w:p w14:paraId="5CA95450" w14:textId="77777777" w:rsidR="007F10E8" w:rsidRDefault="007F10E8" w:rsidP="009E05BA">
            <w:r w:rsidRPr="642C1353">
              <w:rPr>
                <w:sz w:val="20"/>
                <w:szCs w:val="20"/>
              </w:rPr>
              <w:t>Domain 3: Bias in classification of interventions</w:t>
            </w:r>
          </w:p>
        </w:tc>
        <w:tc>
          <w:tcPr>
            <w:tcW w:w="3531" w:type="dxa"/>
          </w:tcPr>
          <w:p w14:paraId="671474E6"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0.92 [0.74, 0.98]</w:t>
            </w:r>
          </w:p>
        </w:tc>
      </w:tr>
      <w:tr w:rsidR="007F10E8" w14:paraId="6CE96354"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5940" w:type="dxa"/>
          </w:tcPr>
          <w:p w14:paraId="1AB6FF4F" w14:textId="77777777" w:rsidR="007F10E8" w:rsidRDefault="007F10E8" w:rsidP="009E05BA">
            <w:r w:rsidRPr="642C1353">
              <w:rPr>
                <w:sz w:val="20"/>
                <w:szCs w:val="20"/>
              </w:rPr>
              <w:t>Domain 4: Bias due to deviations from intended interventions</w:t>
            </w:r>
          </w:p>
        </w:tc>
        <w:tc>
          <w:tcPr>
            <w:tcW w:w="3531" w:type="dxa"/>
          </w:tcPr>
          <w:p w14:paraId="796D3078"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0.96 [0.8, 0.99]</w:t>
            </w:r>
          </w:p>
        </w:tc>
      </w:tr>
      <w:tr w:rsidR="007F10E8" w14:paraId="23F80353"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5940" w:type="dxa"/>
          </w:tcPr>
          <w:p w14:paraId="5094718B" w14:textId="77777777" w:rsidR="007F10E8" w:rsidRDefault="007F10E8" w:rsidP="009E05BA">
            <w:r w:rsidRPr="642C1353">
              <w:rPr>
                <w:sz w:val="20"/>
                <w:szCs w:val="20"/>
              </w:rPr>
              <w:t>Domain 5: Bias due to missing data</w:t>
            </w:r>
          </w:p>
        </w:tc>
        <w:tc>
          <w:tcPr>
            <w:tcW w:w="3531" w:type="dxa"/>
          </w:tcPr>
          <w:p w14:paraId="69D4CE37"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0.92 [0.74, 0.98]</w:t>
            </w:r>
          </w:p>
        </w:tc>
      </w:tr>
      <w:tr w:rsidR="007F10E8" w14:paraId="4A74DAE5"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5940" w:type="dxa"/>
          </w:tcPr>
          <w:p w14:paraId="7CA45DD7" w14:textId="77777777" w:rsidR="007F10E8" w:rsidRDefault="007F10E8" w:rsidP="009E05BA">
            <w:pPr>
              <w:rPr>
                <w:sz w:val="20"/>
                <w:szCs w:val="20"/>
              </w:rPr>
            </w:pPr>
            <w:r w:rsidRPr="642C1353">
              <w:rPr>
                <w:sz w:val="20"/>
                <w:szCs w:val="20"/>
              </w:rPr>
              <w:t>Domain 6: Bias in measurement of outcomes</w:t>
            </w:r>
          </w:p>
        </w:tc>
        <w:tc>
          <w:tcPr>
            <w:tcW w:w="3531" w:type="dxa"/>
          </w:tcPr>
          <w:p w14:paraId="48B10760"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0.88 [0.69, 0.96]</w:t>
            </w:r>
          </w:p>
        </w:tc>
      </w:tr>
      <w:tr w:rsidR="007F10E8" w14:paraId="02A14E29"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5940" w:type="dxa"/>
          </w:tcPr>
          <w:p w14:paraId="7FFE680B" w14:textId="77777777" w:rsidR="007F10E8" w:rsidRDefault="007F10E8" w:rsidP="009E05BA">
            <w:pPr>
              <w:rPr>
                <w:sz w:val="20"/>
                <w:szCs w:val="20"/>
              </w:rPr>
            </w:pPr>
            <w:r w:rsidRPr="642C1353">
              <w:rPr>
                <w:sz w:val="20"/>
                <w:szCs w:val="20"/>
              </w:rPr>
              <w:t>Domain 7: Bias in selection of the reported result</w:t>
            </w:r>
          </w:p>
        </w:tc>
        <w:tc>
          <w:tcPr>
            <w:tcW w:w="3531" w:type="dxa"/>
          </w:tcPr>
          <w:p w14:paraId="5DEA5A91"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0.83 [0.64, 0.93]</w:t>
            </w:r>
          </w:p>
        </w:tc>
      </w:tr>
      <w:tr w:rsidR="007F10E8" w14:paraId="019EC7DD"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5940" w:type="dxa"/>
          </w:tcPr>
          <w:p w14:paraId="01403A70" w14:textId="77777777" w:rsidR="007F10E8" w:rsidRDefault="007F10E8" w:rsidP="009E05BA">
            <w:pPr>
              <w:rPr>
                <w:sz w:val="20"/>
                <w:szCs w:val="20"/>
              </w:rPr>
            </w:pPr>
            <w:r w:rsidRPr="642C1353">
              <w:rPr>
                <w:sz w:val="20"/>
                <w:szCs w:val="20"/>
              </w:rPr>
              <w:t>Overall judgement</w:t>
            </w:r>
          </w:p>
        </w:tc>
        <w:tc>
          <w:tcPr>
            <w:tcW w:w="3531" w:type="dxa"/>
          </w:tcPr>
          <w:p w14:paraId="180E8F5E"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0.83 [0.64, 0.93]</w:t>
            </w:r>
          </w:p>
        </w:tc>
      </w:tr>
    </w:tbl>
    <w:p w14:paraId="43660AE9" w14:textId="77777777" w:rsidR="007F10E8" w:rsidRDefault="007F10E8" w:rsidP="007F10E8">
      <w:pPr>
        <w:spacing w:line="278" w:lineRule="auto"/>
        <w:jc w:val="both"/>
      </w:pPr>
    </w:p>
    <w:p w14:paraId="3CBD5D53" w14:textId="08DFD9F4" w:rsidR="007F10E8" w:rsidRDefault="00A57FD4" w:rsidP="007F10E8">
      <w:pPr>
        <w:spacing w:line="278" w:lineRule="auto"/>
        <w:jc w:val="both"/>
      </w:pPr>
      <w:r>
        <w:t xml:space="preserve">Supplementary </w:t>
      </w:r>
      <w:r w:rsidR="007F10E8">
        <w:t>Table 2.</w:t>
      </w:r>
      <w:r>
        <w:t>4.3</w:t>
      </w:r>
      <w:r w:rsidR="007F10E8">
        <w:t>: ROB 2 domain-specific performance of GPT 5</w:t>
      </w:r>
      <w:r>
        <w:t>.1</w:t>
      </w:r>
      <w:r w:rsidR="007F10E8">
        <w:t xml:space="preserve"> Pro’s risk of bias assessments, pooled across all SRMAs.</w:t>
      </w:r>
    </w:p>
    <w:tbl>
      <w:tblPr>
        <w:tblStyle w:val="TableauGrille5Fonc-Accentuation1"/>
        <w:tblW w:w="0" w:type="auto"/>
        <w:tblLook w:val="06A0" w:firstRow="1" w:lastRow="0" w:firstColumn="1" w:lastColumn="0" w:noHBand="1" w:noVBand="1"/>
      </w:tblPr>
      <w:tblGrid>
        <w:gridCol w:w="6189"/>
        <w:gridCol w:w="3207"/>
      </w:tblGrid>
      <w:tr w:rsidR="007F10E8" w14:paraId="169AB2FB" w14:textId="77777777" w:rsidTr="009E05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40" w:type="dxa"/>
          </w:tcPr>
          <w:p w14:paraId="47B21803" w14:textId="77777777" w:rsidR="007F10E8" w:rsidRDefault="007F10E8" w:rsidP="009E05BA">
            <w:pPr>
              <w:rPr>
                <w:sz w:val="20"/>
                <w:szCs w:val="20"/>
              </w:rPr>
            </w:pPr>
            <w:r w:rsidRPr="642C1353">
              <w:rPr>
                <w:sz w:val="20"/>
                <w:szCs w:val="20"/>
              </w:rPr>
              <w:t>ROB 2 risk of bias domain</w:t>
            </w:r>
          </w:p>
        </w:tc>
        <w:tc>
          <w:tcPr>
            <w:tcW w:w="3231" w:type="dxa"/>
          </w:tcPr>
          <w:p w14:paraId="16500349" w14:textId="77777777" w:rsidR="007F10E8" w:rsidRDefault="007F10E8" w:rsidP="009E05BA">
            <w:pPr>
              <w:cnfStyle w:val="100000000000" w:firstRow="1" w:lastRow="0" w:firstColumn="0" w:lastColumn="0" w:oddVBand="0" w:evenVBand="0" w:oddHBand="0" w:evenHBand="0" w:firstRowFirstColumn="0" w:firstRowLastColumn="0" w:lastRowFirstColumn="0" w:lastRowLastColumn="0"/>
              <w:rPr>
                <w:sz w:val="20"/>
                <w:szCs w:val="20"/>
              </w:rPr>
            </w:pPr>
            <w:r w:rsidRPr="642C1353">
              <w:rPr>
                <w:sz w:val="20"/>
                <w:szCs w:val="20"/>
              </w:rPr>
              <w:t>Accuracy [95% CI]</w:t>
            </w:r>
          </w:p>
        </w:tc>
      </w:tr>
      <w:tr w:rsidR="007F10E8" w14:paraId="5C9194E2"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6240" w:type="dxa"/>
          </w:tcPr>
          <w:p w14:paraId="47D10825" w14:textId="77777777" w:rsidR="007F10E8" w:rsidRDefault="007F10E8" w:rsidP="009E05BA">
            <w:pPr>
              <w:rPr>
                <w:sz w:val="20"/>
                <w:szCs w:val="20"/>
              </w:rPr>
            </w:pPr>
            <w:r w:rsidRPr="642C1353">
              <w:rPr>
                <w:sz w:val="20"/>
                <w:szCs w:val="20"/>
              </w:rPr>
              <w:t>Domain 1: Bias due to randomization</w:t>
            </w:r>
          </w:p>
        </w:tc>
        <w:tc>
          <w:tcPr>
            <w:tcW w:w="3231" w:type="dxa"/>
          </w:tcPr>
          <w:p w14:paraId="39325FCA"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0.88 [0.73, 0.95]</w:t>
            </w:r>
          </w:p>
        </w:tc>
      </w:tr>
      <w:tr w:rsidR="007F10E8" w14:paraId="01AD2AA0"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6240" w:type="dxa"/>
          </w:tcPr>
          <w:p w14:paraId="58098D66" w14:textId="77777777" w:rsidR="007F10E8" w:rsidRDefault="007F10E8" w:rsidP="009E05BA">
            <w:pPr>
              <w:rPr>
                <w:sz w:val="20"/>
                <w:szCs w:val="20"/>
              </w:rPr>
            </w:pPr>
            <w:r w:rsidRPr="642C1353">
              <w:rPr>
                <w:sz w:val="20"/>
                <w:szCs w:val="20"/>
              </w:rPr>
              <w:t>Domain 2: Bias due to deviations from the intended interventions</w:t>
            </w:r>
          </w:p>
        </w:tc>
        <w:tc>
          <w:tcPr>
            <w:tcW w:w="3231" w:type="dxa"/>
          </w:tcPr>
          <w:p w14:paraId="01826018"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0.76 [0.59, 0.87]</w:t>
            </w:r>
          </w:p>
        </w:tc>
      </w:tr>
      <w:tr w:rsidR="007F10E8" w14:paraId="2AC2B994"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6240" w:type="dxa"/>
          </w:tcPr>
          <w:p w14:paraId="6B48EE8D" w14:textId="77777777" w:rsidR="007F10E8" w:rsidRDefault="007F10E8" w:rsidP="009E05BA">
            <w:r w:rsidRPr="642C1353">
              <w:rPr>
                <w:sz w:val="20"/>
                <w:szCs w:val="20"/>
              </w:rPr>
              <w:t>Domain 3: Bias due to missing outcome data</w:t>
            </w:r>
          </w:p>
        </w:tc>
        <w:tc>
          <w:tcPr>
            <w:tcW w:w="3231" w:type="dxa"/>
          </w:tcPr>
          <w:p w14:paraId="67F485ED"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0.82 [0.66, 0.91]</w:t>
            </w:r>
          </w:p>
        </w:tc>
      </w:tr>
      <w:tr w:rsidR="007F10E8" w14:paraId="08CAA316"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6240" w:type="dxa"/>
          </w:tcPr>
          <w:p w14:paraId="0B562C80" w14:textId="77777777" w:rsidR="007F10E8" w:rsidRDefault="007F10E8" w:rsidP="009E05BA">
            <w:r w:rsidRPr="642C1353">
              <w:rPr>
                <w:sz w:val="20"/>
                <w:szCs w:val="20"/>
              </w:rPr>
              <w:t>Domain 4: Bias in measurement of the outcome</w:t>
            </w:r>
          </w:p>
        </w:tc>
        <w:tc>
          <w:tcPr>
            <w:tcW w:w="3231" w:type="dxa"/>
          </w:tcPr>
          <w:p w14:paraId="03F5D3CA"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0.85 [0.69, 0.93]</w:t>
            </w:r>
          </w:p>
        </w:tc>
      </w:tr>
      <w:tr w:rsidR="007F10E8" w14:paraId="6F2BB39D"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6240" w:type="dxa"/>
          </w:tcPr>
          <w:p w14:paraId="60DF2708" w14:textId="77777777" w:rsidR="007F10E8" w:rsidRDefault="007F10E8" w:rsidP="009E05BA">
            <w:r w:rsidRPr="642C1353">
              <w:rPr>
                <w:sz w:val="20"/>
                <w:szCs w:val="20"/>
              </w:rPr>
              <w:t>Domain 5: Bias in selection of reported results</w:t>
            </w:r>
          </w:p>
        </w:tc>
        <w:tc>
          <w:tcPr>
            <w:tcW w:w="3231" w:type="dxa"/>
          </w:tcPr>
          <w:p w14:paraId="6BE945E8"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0.88 [0.73, 0.95]</w:t>
            </w:r>
          </w:p>
        </w:tc>
      </w:tr>
      <w:tr w:rsidR="007F10E8" w14:paraId="2190F536"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6240" w:type="dxa"/>
          </w:tcPr>
          <w:p w14:paraId="7A96823F" w14:textId="77777777" w:rsidR="007F10E8" w:rsidRDefault="007F10E8" w:rsidP="009E05BA">
            <w:r w:rsidRPr="642C1353">
              <w:rPr>
                <w:sz w:val="20"/>
                <w:szCs w:val="20"/>
              </w:rPr>
              <w:t>Overall judgement</w:t>
            </w:r>
          </w:p>
        </w:tc>
        <w:tc>
          <w:tcPr>
            <w:tcW w:w="3231" w:type="dxa"/>
          </w:tcPr>
          <w:p w14:paraId="7B0FA099" w14:textId="77777777" w:rsidR="007F10E8" w:rsidRDefault="007F10E8"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42C1353">
              <w:rPr>
                <w:color w:val="000000" w:themeColor="text1"/>
                <w:sz w:val="20"/>
                <w:szCs w:val="20"/>
              </w:rPr>
              <w:t>0.52 [0.35, 0.68]</w:t>
            </w:r>
          </w:p>
        </w:tc>
      </w:tr>
    </w:tbl>
    <w:p w14:paraId="570E8134" w14:textId="77777777" w:rsidR="00BE33A1" w:rsidRDefault="00BE33A1"/>
    <w:p w14:paraId="708388DB" w14:textId="1F6E35ED" w:rsidR="00A57FD4" w:rsidRDefault="006D2CFA" w:rsidP="006D2CFA">
      <w:pPr>
        <w:jc w:val="both"/>
      </w:pPr>
      <w:r>
        <w:t>GPT seems to generally match or outperform humans in every risk of bias domain</w:t>
      </w:r>
      <w:r>
        <w:fldChar w:fldCharType="begin"/>
      </w:r>
      <w:r>
        <w:instrText xml:space="preserve"> ADDIN ZOTERO_ITEM CSL_CITATION {"citationID":"DvAWO9FN","properties":{"unsorted":false,"formattedCitation":"(45,82,83)","plainCitation":"(45,82,83)","noteIndex":0},"citationItems":[{"id":23397,"uris":["http://zotero.org/users/local/S8MYwTbo/items/YHTHB7GK"],"itemData":{"id":23397,"type":"article-journal","abstract":"OBJECTIVES: Assess the frequency and reasons for disagreements in risk of bias assessments for randomised controlled trials (RCTs) included in more than one Cochrane review.\nDESIGN: Research on research study, using cross-sectional design.\nDATA SOURCES: 2796 Cochrane reviews published between March 2011 and September 2014.\nDATA SELECTION: RCTs included in more than one review.\nDATA EXTRACTION: Risk of bias assessment and support for judgement for five key risk of bias items.\nDATA SYNTHESIS: For each item, we compared risk of bias assessment made in each review and calculated proportion of agreement. Two reviewers independently analysed 50% of all disagreements by comparing support for each judgement with information from study report to evaluate whether disagreements were related to a difference in information (eg, contact the study author) or a difference in interpretation (same support for judgement but different interpretation). They also identified main reasons for different interpretation.\nRESULTS: 1604 RCTs were included in more than one review. Proportion of agreement ranged from 57% (770/1348 trials) for incomplete outcome data to 81% for random sequence generation (1193/1466). Most common source of disagreement was difference in interpretation of the same information, ranging from 65% (88/136) for random sequence generation to 90% (56/62) for blinding of participants and personnel. Access to different information explained 32/136 (24%) disagreements for random sequence generation and 38/205 (19%) for allocation concealment. Disagreements related to difference in interpretation were frequently related to incomplete or unclear reporting in the study report (83% of disagreements related to different interpretation for random sequence generation).\nCONCLUSIONS: Risk of bias judgements of RCTs included in more than one Cochrane review differed substantially. Most disagreements were related to a difference in interpretation of an incomplete or unclear description in the study report. A clearer guidance on common causes of incomplete information may improve agreement.","container-title":"BMJ open","DOI":"10.1136/bmjopen-2018-028382","ISSN":"2044-6055","issue":"4","journalAbbreviation":"BMJ Open","language":"eng","page":"e028382","PMID":"30940766","PMCID":"PMC6500379","source":"PubMed","title":"Disagreements in risk of bias assessment for randomised controlled trials included in more than one Cochrane systematic reviews: a research on research study using cross-sectional design","title-short":"Disagreements in risk of bias assessment for randomised controlled trials included in more than one Cochrane systematic reviews","volume":"9","author":[{"family":"Bertizzolo","given":"Lorenzo"},{"family":"Bossuyt","given":"Patrick"},{"family":"Atal","given":"Ignacio"},{"family":"Ravaud","given":"Philippe"},{"family":"Dechartres","given":"Agnes"}],"issued":{"date-parts":[["2019",4,1]]}}},{"id":23476,"uris":["http://zotero.org/users/local/S8MYwTbo/items/44G58IV8"],"itemData":{"id":23476,"type":"article-journal","abstract":"BACKGROUND: The inter-reviewer reliability of the risk of bias (RoB) assessment lacked agreement in previous studies. It is important to analyse these disagreements to improve the repeatability of RoB assessment. The objective of the study was to evaluate the frequency and reasons for disagreements in RoB assessments for randomised controlled trials (RCTs) that were included in multiple Cochrane reviews in the field of hypertension.\nMETHODS: A cross-sectional study was employed. We retrieved any RCTs that had been included in multiple Cochrane reviews in the field of hypertension from ARCHIE. The results of the RoB assessments were extracted, and the distributions of agreements and possible reasons for disagreement were analyzed.\nRESULTS: Twenty-six Cochrane reviews were included in this study. A total of 78 RCTs appeared in more than one Cochrane review. The level of agreement ranged from domain to domain. \"Blinding of outcome assessment\" showed a reasonably high level of agreement (94.9%), while \"incomplete outcome data\", \"selective outcome reporting\" and \"other sources of bias\" showed moderate levels of agreement (74.6%, 79.2% and 75.6%, respectively). However, the domains of \"allocation concealment\", \"random sequence generation\" and \"blinding of participants and personnel\" showed low levels of agreement (24.4%, 23.5%, and 47.4%, respectively). In the domains of \"allocation concealment\" and \"blinding of participants and personnel\", the agreement group had higher proportion of publication year</w:instrText>
      </w:r>
      <w:r>
        <w:rPr>
          <w:rFonts w:ascii="Arial" w:hAnsi="Arial" w:cs="Arial"/>
        </w:rPr>
        <w:instrText> </w:instrText>
      </w:r>
      <w:r>
        <w:rPr>
          <w:rFonts w:ascii="Aptos" w:hAnsi="Aptos" w:cs="Aptos"/>
        </w:rPr>
        <w:instrText>≤</w:instrText>
      </w:r>
      <w:r>
        <w:rPr>
          <w:rFonts w:ascii="Arial" w:hAnsi="Arial" w:cs="Arial"/>
        </w:rPr>
        <w:instrText> </w:instrText>
      </w:r>
      <w:r>
        <w:instrText>1996 than the disagreement group (P</w:instrText>
      </w:r>
      <w:r>
        <w:rPr>
          <w:rFonts w:ascii="Arial" w:hAnsi="Arial" w:cs="Arial"/>
        </w:rPr>
        <w:instrText> </w:instrText>
      </w:r>
      <w:r>
        <w:instrText>=</w:instrText>
      </w:r>
      <w:r>
        <w:rPr>
          <w:rFonts w:ascii="Arial" w:hAnsi="Arial" w:cs="Arial"/>
        </w:rPr>
        <w:instrText> </w:instrText>
      </w:r>
      <w:r>
        <w:instrText>0.008 and P</w:instrText>
      </w:r>
      <w:r>
        <w:rPr>
          <w:rFonts w:ascii="Arial" w:hAnsi="Arial" w:cs="Arial"/>
        </w:rPr>
        <w:instrText> </w:instrText>
      </w:r>
      <w:r>
        <w:instrText>&lt;</w:instrText>
      </w:r>
      <w:r>
        <w:rPr>
          <w:rFonts w:ascii="Arial" w:hAnsi="Arial" w:cs="Arial"/>
        </w:rPr>
        <w:instrText> </w:instrText>
      </w:r>
      <w:r>
        <w:instrText>0.001, respectively). In the \"blinding of participants and personnel\", the impact factor was higher in the agreement group (P</w:instrText>
      </w:r>
      <w:r>
        <w:rPr>
          <w:rFonts w:ascii="Arial" w:hAnsi="Arial" w:cs="Arial"/>
        </w:rPr>
        <w:instrText> </w:instrText>
      </w:r>
      <w:r>
        <w:instrText>&lt;</w:instrText>
      </w:r>
      <w:r>
        <w:rPr>
          <w:rFonts w:ascii="Arial" w:hAnsi="Arial" w:cs="Arial"/>
        </w:rPr>
        <w:instrText> </w:instrText>
      </w:r>
      <w:r>
        <w:instrText>0.001). By analyzing the support text, we found that the most likely reason for disagreement was extracting different information from the same RCT.\nCONCLUSION: For Cochrane reviews in the field of hypertension using the 2011 version of the RoB tool, there was a large disagreement in the RoB assessment. It is suggested that the results of RoB assessments in systematic reviews that used the 2011 version of the RoB tool need to be interpreted with caution. More accurate information from RCTs needs to be collected when we synthesize clinical evidence.","container-title":"Trials","DOI":"10.1186/s13063-024-08145-2","ISSN":"1745-6215","issue":"1","journalAbbreviation":"Trials","language":"eng","page":"405","PMID":"38907276","PMCID":"PMC11191165","source":"PubMed","title":"Disagreements in risk of bias assessment for randomized controlled trials in hypertension-related Cochrane reviews","volume":"25","author":[{"family":"Yao","given":"Yi"},{"family":"Shen","given":"Jing"},{"family":"Luo","given":"Jianzhao"},{"family":"Li","given":"Nian"},{"family":"Liao","given":"Xiaoyang"},{"family":"Zhang","given":"Yonggang"}],"issued":{"date-parts":[["2024",6,21]]}}},{"id":23478,"uris":["http://zotero.org/users/local/S8MYwTbo/items/6IDGY7S6"],"itemData":{"id":23478,"type":"article-journal","abstract":"Background\nMachine learning and automation are increasingly used to make the evidence synthesis process faster and more responsive to policymakers’ needs. In systematic reviews of randomized controlled trials (RCTs), risk of bias assessment is a resource-intensive task that typically requires two trained reviewers. One function of RobotReviewer, an off-the-shelf machine learning system, is an automated risk of bias assessment.\n\nMethods\nWe assessed the feasibility of adopting RobotReviewer within a national public health institute using a randomized, real-time, user-centered study. The study included 26 RCTs and six reviewers from two projects examining health and social interventions. We randomized these studies to one of two RobotReviewer platforms. We operationalized feasibility as accuracy, time use, and reviewer acceptability. We measured accuracy by the number of corrections made by human reviewers (either to automated assessments or another human reviewer’s assessments). We explored acceptability through group discussions and individual email responses after presenting the quantitative results.\n\nResults\nReviewers were equally likely to accept judgment by RobotReviewer as each other’s judgement during the consensus process when measured dichotomously; risk ratio 1.02 (95% CI 0.92 to 1.13; p</w:instrText>
      </w:r>
      <w:r>
        <w:rPr>
          <w:rFonts w:ascii="Arial" w:hAnsi="Arial" w:cs="Arial"/>
        </w:rPr>
        <w:instrText> </w:instrText>
      </w:r>
      <w:r>
        <w:instrText>=</w:instrText>
      </w:r>
      <w:r>
        <w:rPr>
          <w:rFonts w:ascii="Arial" w:hAnsi="Arial" w:cs="Arial"/>
        </w:rPr>
        <w:instrText> </w:instrText>
      </w:r>
      <w:r>
        <w:instrText xml:space="preserve">0.33). We were not able to compare time use. The acceptability of the program by researchers was mixed. Less experienced reviewers were generally more positive, and they saw more benefits and were able to use the tool more flexibly. Reviewers positioned human input and human-to-human interaction as superior to even a semi-automation of this process.\n\nConclusion\nDespite being presented with evidence of RobotReviewer’s equal performance to humans, participating reviewers were not interested in modifying standard procedures to include automation. If further studies confirm equal accuracy and reduced time compared to manual practices, we suggest that the benefits of RobotReviewer may support its future implementation as one of two assessors, despite reviewer ambivalence. Future research should study barriers to adopting automated tools and how highly educated and experienced researchers can adapt to a job market that is increasingly challenged by new technologies.\n\nSupplementary Information\nThe online version contains supplementary material available at 10.1186/s12874-022-01649-y.","container-title":"BMC Medical Research Methodology","DOI":"10.1186/s12874-022-01649-y","ISSN":"1471-2288","journalAbbreviation":"BMC Med Res Methodol","page":"167","PMID":"35676632","PMCID":"PMC9174024","source":"PubMed Central","title":"Automating risk of bias assessment in systematic reviews: a real-time mixed methods comparison of human researchers to a machine learning system","title-short":"Automating risk of bias assessment in systematic reviews","volume":"22","author":[{"family":"Jardim","given":"Patricia Sofia Jacobsen"},{"family":"Rose","given":"Christopher James"},{"family":"Ames","given":"Heather Melanie"},{"family":"Echavez","given":"Jose Francisco Meneses"},{"family":"Van de Velde","given":"Stijn"},{"family":"Muller","given":"Ashley Elizabeth"}],"issued":{"date-parts":[["2022",6,8]]}}}],"schema":"https://github.com/citation-style-language/schema/raw/master/csl-citation.json"} </w:instrText>
      </w:r>
      <w:r>
        <w:fldChar w:fldCharType="separate"/>
      </w:r>
      <w:r w:rsidRPr="00454EDD">
        <w:rPr>
          <w:rFonts w:ascii="Aptos" w:hAnsi="Aptos"/>
        </w:rPr>
        <w:t>(45,82,83)</w:t>
      </w:r>
      <w:r>
        <w:fldChar w:fldCharType="end"/>
      </w:r>
      <w:r>
        <w:t xml:space="preserve">, while underperforming in ROB 2’s overall risk of bias domain assessments. This discrepancy arose from the differential “interpretation” of the ROB 2 tool’s “overall judgement” section by expert reviewers and GPT. </w:t>
      </w:r>
      <w:r w:rsidR="00CC3062">
        <w:t>Expert</w:t>
      </w:r>
      <w:r>
        <w:t xml:space="preserve"> reviewers consistently assessed overall ROB as lower than GPT because they considered the requirements for “high” overall risk to be usually at least 3 domains assessed as “some concerns”. Conversely, it retrospectively seems GPT </w:t>
      </w:r>
      <w:r>
        <w:lastRenderedPageBreak/>
        <w:t>attributed a “high” overall risk for studies that had at least 2 domains with the same assessment.</w:t>
      </w:r>
    </w:p>
    <w:sectPr w:rsidR="00A57FD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4A2"/>
    <w:rsid w:val="001A306D"/>
    <w:rsid w:val="00415AA2"/>
    <w:rsid w:val="00423B4F"/>
    <w:rsid w:val="006D2CFA"/>
    <w:rsid w:val="006F2A91"/>
    <w:rsid w:val="007E54A2"/>
    <w:rsid w:val="007F10E8"/>
    <w:rsid w:val="00A57FD4"/>
    <w:rsid w:val="00AF4D6D"/>
    <w:rsid w:val="00BE33A1"/>
    <w:rsid w:val="00CC3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BCC19"/>
  <w15:chartTrackingRefBased/>
  <w15:docId w15:val="{F4A11B77-5A96-41C7-961A-E77B0EAC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A91"/>
    <w:pPr>
      <w:spacing w:line="279" w:lineRule="auto"/>
    </w:pPr>
    <w:rPr>
      <w:rFonts w:eastAsiaTheme="minorEastAsia"/>
      <w:kern w:val="0"/>
      <w:lang w:eastAsia="ja-JP"/>
      <w14:ligatures w14:val="none"/>
    </w:rPr>
  </w:style>
  <w:style w:type="paragraph" w:styleId="Titre1">
    <w:name w:val="heading 1"/>
    <w:basedOn w:val="Normal"/>
    <w:next w:val="Normal"/>
    <w:link w:val="Titre1Car"/>
    <w:uiPriority w:val="9"/>
    <w:qFormat/>
    <w:rsid w:val="007E54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7E54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7E54A2"/>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7E54A2"/>
    <w:pPr>
      <w:keepNext/>
      <w:keepLines/>
      <w:spacing w:before="80" w:after="40" w:line="278" w:lineRule="auto"/>
      <w:outlineLvl w:val="3"/>
    </w:pPr>
    <w:rPr>
      <w:rFonts w:eastAsiaTheme="majorEastAsia"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7E54A2"/>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7E54A2"/>
    <w:pPr>
      <w:keepNext/>
      <w:keepLines/>
      <w:spacing w:before="40" w:after="0" w:line="278" w:lineRule="auto"/>
      <w:outlineLvl w:val="5"/>
    </w:pPr>
    <w:rPr>
      <w:rFonts w:eastAsiaTheme="majorEastAsia"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7E54A2"/>
    <w:pPr>
      <w:keepNext/>
      <w:keepLines/>
      <w:spacing w:before="40" w:after="0" w:line="278" w:lineRule="auto"/>
      <w:outlineLvl w:val="6"/>
    </w:pPr>
    <w:rPr>
      <w:rFonts w:eastAsiaTheme="majorEastAsia"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7E54A2"/>
    <w:pPr>
      <w:keepNext/>
      <w:keepLines/>
      <w:spacing w:after="0" w:line="278" w:lineRule="auto"/>
      <w:outlineLvl w:val="7"/>
    </w:pPr>
    <w:rPr>
      <w:rFonts w:eastAsiaTheme="majorEastAsia"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7E54A2"/>
    <w:pPr>
      <w:keepNext/>
      <w:keepLines/>
      <w:spacing w:after="0" w:line="278" w:lineRule="auto"/>
      <w:outlineLvl w:val="8"/>
    </w:pPr>
    <w:rPr>
      <w:rFonts w:eastAsiaTheme="majorEastAsia"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54A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E54A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E54A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E54A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E54A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E54A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E54A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E54A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E54A2"/>
    <w:rPr>
      <w:rFonts w:eastAsiaTheme="majorEastAsia" w:cstheme="majorBidi"/>
      <w:color w:val="272727" w:themeColor="text1" w:themeTint="D8"/>
    </w:rPr>
  </w:style>
  <w:style w:type="paragraph" w:styleId="Titre">
    <w:name w:val="Title"/>
    <w:basedOn w:val="Normal"/>
    <w:next w:val="Normal"/>
    <w:link w:val="TitreCar"/>
    <w:uiPriority w:val="10"/>
    <w:qFormat/>
    <w:rsid w:val="007E54A2"/>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7E54A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E54A2"/>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7E54A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E54A2"/>
    <w:pPr>
      <w:spacing w:before="160" w:line="278" w:lineRule="auto"/>
      <w:jc w:val="center"/>
    </w:pPr>
    <w:rPr>
      <w:rFonts w:eastAsiaTheme="minorHAns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7E54A2"/>
    <w:rPr>
      <w:i/>
      <w:iCs/>
      <w:color w:val="404040" w:themeColor="text1" w:themeTint="BF"/>
    </w:rPr>
  </w:style>
  <w:style w:type="paragraph" w:styleId="Paragraphedeliste">
    <w:name w:val="List Paragraph"/>
    <w:basedOn w:val="Normal"/>
    <w:uiPriority w:val="34"/>
    <w:qFormat/>
    <w:rsid w:val="007E54A2"/>
    <w:pPr>
      <w:spacing w:line="278" w:lineRule="auto"/>
      <w:ind w:left="720"/>
      <w:contextualSpacing/>
    </w:pPr>
    <w:rPr>
      <w:rFonts w:eastAsiaTheme="minorHAnsi"/>
      <w:kern w:val="2"/>
      <w:lang w:eastAsia="en-US"/>
      <w14:ligatures w14:val="standardContextual"/>
    </w:rPr>
  </w:style>
  <w:style w:type="character" w:styleId="Accentuationintense">
    <w:name w:val="Intense Emphasis"/>
    <w:basedOn w:val="Policepardfaut"/>
    <w:uiPriority w:val="21"/>
    <w:qFormat/>
    <w:rsid w:val="007E54A2"/>
    <w:rPr>
      <w:i/>
      <w:iCs/>
      <w:color w:val="0F4761" w:themeColor="accent1" w:themeShade="BF"/>
    </w:rPr>
  </w:style>
  <w:style w:type="paragraph" w:styleId="Citationintense">
    <w:name w:val="Intense Quote"/>
    <w:basedOn w:val="Normal"/>
    <w:next w:val="Normal"/>
    <w:link w:val="CitationintenseCar"/>
    <w:uiPriority w:val="30"/>
    <w:qFormat/>
    <w:rsid w:val="007E54A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7E54A2"/>
    <w:rPr>
      <w:i/>
      <w:iCs/>
      <w:color w:val="0F4761" w:themeColor="accent1" w:themeShade="BF"/>
    </w:rPr>
  </w:style>
  <w:style w:type="character" w:styleId="Rfrenceintense">
    <w:name w:val="Intense Reference"/>
    <w:basedOn w:val="Policepardfaut"/>
    <w:uiPriority w:val="32"/>
    <w:qFormat/>
    <w:rsid w:val="007E54A2"/>
    <w:rPr>
      <w:b/>
      <w:bCs/>
      <w:smallCaps/>
      <w:color w:val="0F4761" w:themeColor="accent1" w:themeShade="BF"/>
      <w:spacing w:val="5"/>
    </w:rPr>
  </w:style>
  <w:style w:type="table" w:styleId="TableauGrille5Fonc-Accentuation1">
    <w:name w:val="Grid Table 5 Dark Accent 1"/>
    <w:basedOn w:val="TableauNormal"/>
    <w:uiPriority w:val="50"/>
    <w:rsid w:val="006F2A91"/>
    <w:pPr>
      <w:spacing w:after="0" w:line="240" w:lineRule="auto"/>
    </w:pPr>
    <w:rPr>
      <w:rFonts w:eastAsiaTheme="minorEastAsia"/>
      <w:kern w:val="0"/>
      <w:lang w:eastAsia="ja-JP"/>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1775</Words>
  <Characters>10119</Characters>
  <Application>Microsoft Office Word</Application>
  <DocSecurity>0</DocSecurity>
  <Lines>84</Lines>
  <Paragraphs>23</Paragraphs>
  <ScaleCrop>false</ScaleCrop>
  <Company/>
  <LinksUpToDate>false</LinksUpToDate>
  <CharactersWithSpaces>11871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Pietrancosta</dc:creator>
  <cp:keywords/>
  <dc:description/>
  <cp:lastModifiedBy>Mathias Pietrancosta</cp:lastModifiedBy>
  <cp:revision>7</cp:revision>
  <dcterms:created xsi:type="dcterms:W3CDTF">2026-05-29T21:49:00Z</dcterms:created>
  <dcterms:modified xsi:type="dcterms:W3CDTF">2026-06-19T17:38:00Z</dcterms:modified>
</cp:coreProperties>
</file>