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F3535">
      <w:pPr>
        <w:spacing w:after="36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Integrative SMR and multi-model machine learning characterize FCER1A- and INSIG1-associated phenotypes in arterial aging-related disease</w:t>
      </w:r>
    </w:p>
    <w:p w14:paraId="3407456F">
      <w:pPr>
        <w:spacing w:after="140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Manuscript No. ATH-S-26-02223</w:t>
      </w:r>
    </w:p>
    <w:p w14:paraId="4000B868">
      <w:pPr>
        <w:spacing w:after="140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This file contains the uncropped and uncut Western blot images for Fig. 5A-C and Fig. 5G-H. Original filenames are shown above each image.</w:t>
      </w:r>
    </w:p>
    <w:p w14:paraId="205B0C68">
      <w:pPr>
        <w:spacing w:after="140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The source TIFF files were converted to PNG for insertion into this document. No cropping or image adjustment was applied.</w:t>
      </w:r>
    </w:p>
    <w:p w14:paraId="02E37493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00F4B5FA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71771930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FCER1A</w:t>
      </w:r>
    </w:p>
    <w:p w14:paraId="12F7B0F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1.Tif</w:t>
      </w:r>
    </w:p>
    <w:p w14:paraId="4DC841A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65E2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1-1.Tif</w:t>
      </w:r>
    </w:p>
    <w:p w14:paraId="76811B5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E5E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1-2.Tif</w:t>
      </w:r>
    </w:p>
    <w:p w14:paraId="51E421B0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793FF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50C530DA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3FF8201A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FCER1A loading control (β-actin)</w:t>
      </w:r>
    </w:p>
    <w:p w14:paraId="0ADCC5A7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1.Tif</w:t>
      </w:r>
    </w:p>
    <w:p w14:paraId="2CC92D4D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123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1-1.Tif</w:t>
      </w:r>
    </w:p>
    <w:p w14:paraId="7CE7FAB2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7FD3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1-2.Tif</w:t>
      </w:r>
    </w:p>
    <w:p w14:paraId="1F844AFC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A0D0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3E416198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107E941A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INSIG1</w:t>
      </w:r>
    </w:p>
    <w:p w14:paraId="754CD46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1.Tif</w:t>
      </w:r>
    </w:p>
    <w:p w14:paraId="775030EA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50F6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1-1.Tif</w:t>
      </w:r>
    </w:p>
    <w:p w14:paraId="55CF314C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0206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1-2.Tif</w:t>
      </w:r>
    </w:p>
    <w:p w14:paraId="52107BA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31F7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505BEAB4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0A1505D0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INSIG1 loading control (β-actin)</w:t>
      </w:r>
    </w:p>
    <w:p w14:paraId="60A359C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1.Tif</w:t>
      </w:r>
    </w:p>
    <w:p w14:paraId="252B20C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A8FEB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1-1.Tif</w:t>
      </w:r>
    </w:p>
    <w:p w14:paraId="22E2CAE9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E60FC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1-2.Tif</w:t>
      </w:r>
    </w:p>
    <w:p w14:paraId="686870F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E2A2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0674F043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00060FB9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FCER1A</w:t>
      </w:r>
    </w:p>
    <w:p w14:paraId="65C69E5A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2.Tif</w:t>
      </w:r>
    </w:p>
    <w:p w14:paraId="2CB2E6A9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CCAE5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2-1.Tif</w:t>
      </w:r>
    </w:p>
    <w:p w14:paraId="2D10D30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3C6D2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2-2.Tif</w:t>
      </w:r>
    </w:p>
    <w:p w14:paraId="55D352D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07DF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20D19B08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2CEBEBC1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FCER1A loading control (β-actin)</w:t>
      </w:r>
    </w:p>
    <w:p w14:paraId="08AFC612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2.Tif</w:t>
      </w:r>
    </w:p>
    <w:p w14:paraId="6D58D48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0D4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2-1.Tif</w:t>
      </w:r>
    </w:p>
    <w:p w14:paraId="325B34F1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EBB32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2-2.Tif</w:t>
      </w:r>
    </w:p>
    <w:p w14:paraId="52157673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907F1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716B1597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5D0A8B71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INSIG1</w:t>
      </w:r>
    </w:p>
    <w:p w14:paraId="5D22C22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2.Tif</w:t>
      </w:r>
    </w:p>
    <w:p w14:paraId="4C818405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83E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2-1.Tif</w:t>
      </w:r>
    </w:p>
    <w:p w14:paraId="0CC3BCAC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3BE53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2-2.Tif</w:t>
      </w:r>
    </w:p>
    <w:p w14:paraId="5C05190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028FD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499924AB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60B99D64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INSIG1 loading control (β-actin)</w:t>
      </w:r>
    </w:p>
    <w:p w14:paraId="0957B98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2.Tif</w:t>
      </w:r>
    </w:p>
    <w:p w14:paraId="28BDCB0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CFD1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2-1.Tif</w:t>
      </w:r>
    </w:p>
    <w:p w14:paraId="0DD4CF71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853F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2-2.Tif</w:t>
      </w:r>
    </w:p>
    <w:p w14:paraId="1B5456A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83E2B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62201538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38E25DE0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FCER1A</w:t>
      </w:r>
    </w:p>
    <w:p w14:paraId="03A30AA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3.Tif</w:t>
      </w:r>
    </w:p>
    <w:p w14:paraId="6CC5513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5C1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3-1.Tif</w:t>
      </w:r>
    </w:p>
    <w:p w14:paraId="184C553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DF1A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3-2.Tif</w:t>
      </w:r>
    </w:p>
    <w:p w14:paraId="6804A56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3DAF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4AE9E22A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517BBB9B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FCER1A loading control (β-actin)</w:t>
      </w:r>
    </w:p>
    <w:p w14:paraId="6760C03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3.Tif</w:t>
      </w:r>
    </w:p>
    <w:p w14:paraId="0AE72EC2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2632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3-1.Tif</w:t>
      </w:r>
    </w:p>
    <w:p w14:paraId="124AA0C2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CF635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β-actin 3-2.Tif</w:t>
      </w:r>
    </w:p>
    <w:p w14:paraId="54917D19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5AE8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60F16AE9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5C41911F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INSIG1</w:t>
      </w:r>
    </w:p>
    <w:p w14:paraId="59D83FF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3.Tif</w:t>
      </w:r>
    </w:p>
    <w:p w14:paraId="1615A7BF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1A4D3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3-1.Tif</w:t>
      </w:r>
    </w:p>
    <w:p w14:paraId="784F85C1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DB806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3-2.Tif</w:t>
      </w:r>
    </w:p>
    <w:p w14:paraId="618C9BF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B089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1ACECBBD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5A-C. HUVEC Western blots</w:t>
      </w:r>
    </w:p>
    <w:p w14:paraId="3B10C6D0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INSIG1 loading control (β-actin)</w:t>
      </w:r>
    </w:p>
    <w:p w14:paraId="407F3D87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3.Tif</w:t>
      </w:r>
    </w:p>
    <w:p w14:paraId="66BBE4E1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E257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3-1.Tif</w:t>
      </w:r>
    </w:p>
    <w:p w14:paraId="6D884503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5A07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β-actin 3-2.Tif</w:t>
      </w:r>
    </w:p>
    <w:p w14:paraId="6D5DEBD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40915"/>
            <wp:effectExtent l="0" t="0" r="0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4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FB21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4C53D0FF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70F6DE86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FCER1A</w:t>
      </w:r>
    </w:p>
    <w:p w14:paraId="1F9231A9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1.Tif</w:t>
      </w:r>
    </w:p>
    <w:p w14:paraId="2C494F25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2E2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1-1.Tif</w:t>
      </w:r>
    </w:p>
    <w:p w14:paraId="7E79BB84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8A7C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1-2.tif</w:t>
      </w:r>
    </w:p>
    <w:p w14:paraId="7D053DE6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B9DA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2386EEA3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134DBA7C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INSIG1</w:t>
      </w:r>
    </w:p>
    <w:p w14:paraId="7052FE33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1.Tif</w:t>
      </w:r>
    </w:p>
    <w:p w14:paraId="482D6D0C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8EC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1-1.Tif</w:t>
      </w:r>
    </w:p>
    <w:p w14:paraId="738DD34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F9FF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1-2.tif</w:t>
      </w:r>
    </w:p>
    <w:p w14:paraId="20B54FC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D01CB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021AC58B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27C3C6DD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1 - Loading control (β-actin)</w:t>
      </w:r>
    </w:p>
    <w:p w14:paraId="7982CCD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1.Tif</w:t>
      </w:r>
    </w:p>
    <w:p w14:paraId="57771C0D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E1BF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1-1.Tif</w:t>
      </w:r>
    </w:p>
    <w:p w14:paraId="50ED2370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8375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1-2.tif</w:t>
      </w:r>
    </w:p>
    <w:p w14:paraId="66B6B29D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D0236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0BC6C0B4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4933EF1D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FCER1A</w:t>
      </w:r>
    </w:p>
    <w:p w14:paraId="6B2FFF8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2.Tif</w:t>
      </w:r>
    </w:p>
    <w:p w14:paraId="5F3DB1D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0CD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2-1.Tif</w:t>
      </w:r>
    </w:p>
    <w:p w14:paraId="6834B3F2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F7C6D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2-2.tif</w:t>
      </w:r>
    </w:p>
    <w:p w14:paraId="26BB6999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4F22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6A9F1562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207F8A5E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INSIG1</w:t>
      </w:r>
    </w:p>
    <w:p w14:paraId="76B5297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2.Tif</w:t>
      </w:r>
    </w:p>
    <w:p w14:paraId="5772BD1F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F6943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2-1.Tif</w:t>
      </w:r>
    </w:p>
    <w:p w14:paraId="381DBF10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1383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2-2.tif</w:t>
      </w:r>
    </w:p>
    <w:p w14:paraId="5E72C9B3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4E5EE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6C8416F6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20FD9ECB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2 - Loading control (β-actin)</w:t>
      </w:r>
    </w:p>
    <w:p w14:paraId="6466547A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2.Tif</w:t>
      </w:r>
    </w:p>
    <w:p w14:paraId="7CA378F3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284F5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2-1.Tif</w:t>
      </w:r>
    </w:p>
    <w:p w14:paraId="1A80CCE1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7E479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2-2.tif</w:t>
      </w:r>
    </w:p>
    <w:p w14:paraId="180EF880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D8CDE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2F41ED06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0BD29CDC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FCER1A</w:t>
      </w:r>
    </w:p>
    <w:p w14:paraId="79786BA2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3.Tif</w:t>
      </w:r>
    </w:p>
    <w:p w14:paraId="582D3C27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7E80B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3-1.Tif</w:t>
      </w:r>
    </w:p>
    <w:p w14:paraId="11EC7BF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DBB41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FCER1A 3-2.tif</w:t>
      </w:r>
    </w:p>
    <w:p w14:paraId="6CC2A81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96EB2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504B6146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529618ED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INSIG1</w:t>
      </w:r>
    </w:p>
    <w:p w14:paraId="288BB6CE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3.Tif</w:t>
      </w:r>
    </w:p>
    <w:p w14:paraId="40ACEA35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E4845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3-1.Tif</w:t>
      </w:r>
    </w:p>
    <w:p w14:paraId="30CCAA2F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B1DE8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INSIG1 3-2.tif</w:t>
      </w:r>
    </w:p>
    <w:p w14:paraId="2AD18BB2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2BB59">
      <w:pPr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br w:type="page"/>
      </w:r>
    </w:p>
    <w:p w14:paraId="61F7FD19">
      <w:pPr>
        <w:pStyle w:val="3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Figure 5G-H. Mouse arterial tissue Western blots</w:t>
      </w:r>
    </w:p>
    <w:p w14:paraId="30B3783D">
      <w:pPr>
        <w:pStyle w:val="4"/>
        <w:keepNext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t>Replicate 3 - Loading control (β-actin)</w:t>
      </w:r>
    </w:p>
    <w:p w14:paraId="531B35D0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3.Tif</w:t>
      </w:r>
    </w:p>
    <w:p w14:paraId="06EC7F2B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B0D8F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3-1.Tif</w:t>
      </w:r>
    </w:p>
    <w:p w14:paraId="42F4036E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7378F">
      <w:pPr>
        <w:keepNext/>
        <w:spacing w:before="20" w:after="2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iCs/>
          <w:color w:val="000000"/>
          <w:sz w:val="24"/>
          <w:szCs w:val="24"/>
        </w:rPr>
        <w:t>Original filename: β-actin 3-2.tif</w:t>
      </w:r>
    </w:p>
    <w:p w14:paraId="1EAC8ED8">
      <w:pPr>
        <w:spacing w:before="0" w:after="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 w:val="0"/>
          <w:iCs/>
          <w:color w:val="000000"/>
          <w:sz w:val="24"/>
          <w:szCs w:val="24"/>
        </w:rPr>
        <w:drawing>
          <wp:inline distT="0" distB="0" distL="114300" distR="114300">
            <wp:extent cx="2743200" cy="2236470"/>
            <wp:effectExtent l="0" t="0" r="0" b="1143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2240" w:h="15840"/>
      <w:pgMar w:top="1080" w:right="1224" w:bottom="1080" w:left="1224" w:header="504" w:footer="50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Cambria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53639">
    <w:pPr>
      <w:pStyle w:val="24"/>
      <w:jc w:val="right"/>
    </w:pPr>
    <w:r>
      <w:rPr>
        <w:rFonts w:ascii="Times New Roman" w:hAnsi="Times New Roman" w:eastAsia="Times New Roman" w:cs="Times New Roman"/>
        <w:b w:val="0"/>
        <w:i w:val="0"/>
        <w:color w:val="000000"/>
        <w:sz w:val="18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E02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79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80" w:line="276" w:lineRule="auto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100" w:line="240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0" w:after="60" w:line="240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00000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00000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000000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000000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000000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0" w:after="24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000000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000000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000000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000000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000000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000000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6091" w:themeFill="accent1" w:themeFillShade="BF"/>
      </w:tcPr>
    </w:tblStylePr>
    <w:tblStylePr w:type="lastCol">
      <w:rPr>
        <w:color w:val="000000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734" w:themeFill="accent2" w:themeFillShade="BF"/>
      </w:tcPr>
    </w:tblStylePr>
    <w:tblStylePr w:type="lastCol">
      <w:rPr>
        <w:color w:val="000000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9" w:themeFill="accent6" w:themeFillShade="BF"/>
      </w:tcPr>
    </w:tblStylePr>
    <w:tblStylePr w:type="lastCol">
      <w:rPr>
        <w:color w:val="000000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000000"/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000000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/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/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00000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00000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000000"/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000000"/>
      <w:sz w:val="20"/>
      <w:szCs w:val="20"/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000000"/>
    </w:rPr>
  </w:style>
  <w:style w:type="character" w:customStyle="1" w:styleId="158">
    <w:name w:val="Subtle Emphasis"/>
    <w:basedOn w:val="132"/>
    <w:qFormat/>
    <w:uiPriority w:val="19"/>
    <w:rPr>
      <w:i/>
      <w:iCs/>
      <w:color w:val="000000"/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000000"/>
    </w:rPr>
  </w:style>
  <w:style w:type="character" w:customStyle="1" w:styleId="160">
    <w:name w:val="Subtle Reference"/>
    <w:basedOn w:val="132"/>
    <w:qFormat/>
    <w:uiPriority w:val="31"/>
    <w:rPr>
      <w:smallCaps/>
      <w:color w:val="000000"/>
      <w:u w:val="single"/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000000"/>
      <w:spacing w:val="5"/>
      <w:u w:val="single"/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3" Type="http://schemas.openxmlformats.org/officeDocument/2006/relationships/fontTable" Target="fontTable.xml"/><Relationship Id="rId72" Type="http://schemas.openxmlformats.org/officeDocument/2006/relationships/customXml" Target="../customXml/item1.xml"/><Relationship Id="rId71" Type="http://schemas.openxmlformats.org/officeDocument/2006/relationships/numbering" Target="numbering.xml"/><Relationship Id="rId70" Type="http://schemas.openxmlformats.org/officeDocument/2006/relationships/image" Target="media/image63.png"/><Relationship Id="rId7" Type="http://schemas.openxmlformats.org/officeDocument/2006/relationships/theme" Target="theme/theme1.xml"/><Relationship Id="rId69" Type="http://schemas.openxmlformats.org/officeDocument/2006/relationships/image" Target="media/image62.png"/><Relationship Id="rId68" Type="http://schemas.openxmlformats.org/officeDocument/2006/relationships/image" Target="media/image61.png"/><Relationship Id="rId67" Type="http://schemas.openxmlformats.org/officeDocument/2006/relationships/image" Target="media/image60.png"/><Relationship Id="rId66" Type="http://schemas.openxmlformats.org/officeDocument/2006/relationships/image" Target="media/image59.png"/><Relationship Id="rId65" Type="http://schemas.openxmlformats.org/officeDocument/2006/relationships/image" Target="media/image58.png"/><Relationship Id="rId64" Type="http://schemas.openxmlformats.org/officeDocument/2006/relationships/image" Target="media/image57.png"/><Relationship Id="rId63" Type="http://schemas.openxmlformats.org/officeDocument/2006/relationships/image" Target="media/image56.png"/><Relationship Id="rId62" Type="http://schemas.openxmlformats.org/officeDocument/2006/relationships/image" Target="media/image55.png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footer" Target="footer1.xml"/><Relationship Id="rId59" Type="http://schemas.openxmlformats.org/officeDocument/2006/relationships/image" Target="media/image52.png"/><Relationship Id="rId58" Type="http://schemas.openxmlformats.org/officeDocument/2006/relationships/image" Target="media/image51.png"/><Relationship Id="rId57" Type="http://schemas.openxmlformats.org/officeDocument/2006/relationships/image" Target="media/image50.png"/><Relationship Id="rId56" Type="http://schemas.openxmlformats.org/officeDocument/2006/relationships/image" Target="media/image49.png"/><Relationship Id="rId55" Type="http://schemas.openxmlformats.org/officeDocument/2006/relationships/image" Target="media/image48.png"/><Relationship Id="rId54" Type="http://schemas.openxmlformats.org/officeDocument/2006/relationships/image" Target="media/image47.png"/><Relationship Id="rId53" Type="http://schemas.openxmlformats.org/officeDocument/2006/relationships/image" Target="media/image46.pn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116</Words>
  <Characters>720</Characters>
  <Lines>0</Lines>
  <Paragraphs>0</Paragraphs>
  <TotalTime>15</TotalTime>
  <ScaleCrop>false</ScaleCrop>
  <LinksUpToDate>false</LinksUpToDate>
  <CharactersWithSpaces>821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Mr.Jiang</dc:creator>
  <dc:description>generated by python-docx</dc:description>
  <cp:lastModifiedBy>Mr.Jiang</cp:lastModifiedBy>
  <dcterms:modified xsi:type="dcterms:W3CDTF">2026-08-19T08:33:26Z</dcterms:modified>
  <dc:subject>Original uncropped and uncut Western blot membrane images</dc:subject>
  <dc:title>Uncropped and Uncut Western Blot Membrane Images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eyJoZGlkIjoiNmQ3NmYyYWY0YTQ2MmFhMzI4OTdjNzBhNDMyYTdjZjAiLCJ1c2VySWQiOiI0MjY3MjA1NDUifQ==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32D592C23C434F56ABF1CD7818BB6120_12</vt:lpwstr>
  </property>
</Properties>
</file>