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A61F1" w14:textId="231D746F" w:rsidR="004714AA" w:rsidRDefault="004714AA" w:rsidP="004714AA">
      <w:pPr>
        <w:pStyle w:val="Heading1"/>
        <w:jc w:val="center"/>
      </w:pPr>
      <w:r>
        <w:t>Supplementary Information</w:t>
      </w:r>
    </w:p>
    <w:p w14:paraId="45FA8C1B" w14:textId="77777777" w:rsidR="004714AA" w:rsidRDefault="004714AA" w:rsidP="004714AA">
      <w:pPr>
        <w:rPr>
          <w:rFonts w:ascii="Arial" w:hAnsi="Arial" w:cs="Arial"/>
          <w:sz w:val="28"/>
          <w:szCs w:val="28"/>
        </w:rPr>
      </w:pPr>
    </w:p>
    <w:p w14:paraId="2D66E205" w14:textId="234D0A3D" w:rsidR="004714AA" w:rsidRDefault="004714AA" w:rsidP="004714AA">
      <w:pPr>
        <w:jc w:val="center"/>
        <w:rPr>
          <w:rFonts w:ascii="Arial" w:hAnsi="Arial" w:cs="Arial"/>
          <w:sz w:val="28"/>
          <w:szCs w:val="28"/>
        </w:rPr>
      </w:pPr>
      <w:r w:rsidRPr="00374AB6">
        <w:rPr>
          <w:rFonts w:ascii="Arial" w:hAnsi="Arial" w:cs="Arial"/>
          <w:sz w:val="28"/>
          <w:szCs w:val="28"/>
        </w:rPr>
        <w:t xml:space="preserve">Can primary education reforms help mitigate the impacts of </w:t>
      </w:r>
      <w:r>
        <w:rPr>
          <w:rFonts w:ascii="Arial" w:hAnsi="Arial" w:cs="Arial"/>
          <w:sz w:val="28"/>
          <w:szCs w:val="28"/>
        </w:rPr>
        <w:t>climate-related disasters</w:t>
      </w:r>
      <w:r w:rsidRPr="00374AB6">
        <w:rPr>
          <w:rFonts w:ascii="Arial" w:hAnsi="Arial" w:cs="Arial"/>
          <w:sz w:val="28"/>
          <w:szCs w:val="28"/>
        </w:rPr>
        <w:t xml:space="preserve"> on children’s </w:t>
      </w:r>
      <w:r w:rsidR="00744C7D">
        <w:rPr>
          <w:rFonts w:ascii="Arial" w:hAnsi="Arial" w:cs="Arial"/>
          <w:sz w:val="28"/>
          <w:szCs w:val="28"/>
        </w:rPr>
        <w:t>undernutrition</w:t>
      </w:r>
      <w:r w:rsidRPr="00374AB6">
        <w:rPr>
          <w:rFonts w:ascii="Arial" w:hAnsi="Arial" w:cs="Arial"/>
          <w:sz w:val="28"/>
          <w:szCs w:val="28"/>
        </w:rPr>
        <w:t xml:space="preserve"> in sub-Saharan Africa?</w:t>
      </w:r>
    </w:p>
    <w:p w14:paraId="2EEFFFB8" w14:textId="5EF9B753" w:rsidR="004714AA" w:rsidRDefault="004714AA">
      <w:pPr>
        <w:rPr>
          <w:rFonts w:asciiTheme="majorHAnsi" w:eastAsiaTheme="majorEastAsia" w:hAnsiTheme="majorHAnsi" w:cstheme="majorBidi"/>
          <w:color w:val="0F4761" w:themeColor="accent1" w:themeShade="BF"/>
          <w:sz w:val="40"/>
          <w:szCs w:val="40"/>
        </w:rPr>
      </w:pPr>
    </w:p>
    <w:p w14:paraId="7661D9DF" w14:textId="77777777" w:rsidR="00647A85" w:rsidRPr="00BA727B" w:rsidRDefault="00647A85" w:rsidP="00647A85">
      <w:pPr>
        <w:rPr>
          <w:rFonts w:ascii="Arial" w:hAnsi="Arial" w:cs="Arial"/>
          <w:sz w:val="20"/>
          <w:szCs w:val="20"/>
          <w:vertAlign w:val="superscript"/>
        </w:rPr>
      </w:pPr>
      <w:r w:rsidRPr="00BA727B">
        <w:rPr>
          <w:rFonts w:ascii="Arial" w:hAnsi="Arial" w:cs="Arial"/>
          <w:sz w:val="20"/>
          <w:szCs w:val="20"/>
        </w:rPr>
        <w:t>Anna Dimitrova</w:t>
      </w:r>
      <w:r w:rsidRPr="00BA727B">
        <w:rPr>
          <w:rFonts w:ascii="Arial" w:hAnsi="Arial" w:cs="Arial"/>
          <w:sz w:val="20"/>
          <w:szCs w:val="20"/>
          <w:vertAlign w:val="superscript"/>
        </w:rPr>
        <w:t>1</w:t>
      </w:r>
      <w:r w:rsidRPr="00BA727B">
        <w:rPr>
          <w:rFonts w:ascii="Arial" w:hAnsi="Arial" w:cs="Arial"/>
          <w:sz w:val="20"/>
          <w:szCs w:val="20"/>
        </w:rPr>
        <w:t>, Nathalie J. Lambrecht</w:t>
      </w:r>
      <w:r w:rsidRPr="00BA727B">
        <w:rPr>
          <w:rFonts w:ascii="Arial" w:hAnsi="Arial" w:cs="Arial"/>
          <w:sz w:val="20"/>
          <w:szCs w:val="20"/>
          <w:vertAlign w:val="superscript"/>
        </w:rPr>
        <w:t>2,3</w:t>
      </w:r>
      <w:r w:rsidRPr="00BA727B">
        <w:rPr>
          <w:rFonts w:ascii="Arial" w:hAnsi="Arial" w:cs="Arial"/>
          <w:sz w:val="20"/>
          <w:szCs w:val="20"/>
        </w:rPr>
        <w:t>, Tarik Benmahrnia</w:t>
      </w:r>
      <w:r w:rsidRPr="00BA727B">
        <w:rPr>
          <w:rFonts w:ascii="Arial" w:hAnsi="Arial" w:cs="Arial"/>
          <w:sz w:val="20"/>
          <w:szCs w:val="20"/>
          <w:vertAlign w:val="superscript"/>
        </w:rPr>
        <w:t>4</w:t>
      </w:r>
      <w:r>
        <w:rPr>
          <w:rFonts w:ascii="Arial" w:hAnsi="Arial" w:cs="Arial"/>
          <w:sz w:val="20"/>
          <w:szCs w:val="20"/>
          <w:vertAlign w:val="superscript"/>
        </w:rPr>
        <w:t>,5</w:t>
      </w:r>
    </w:p>
    <w:p w14:paraId="22F0343A" w14:textId="77777777" w:rsidR="00647A85" w:rsidRPr="00BA727B" w:rsidRDefault="00647A85" w:rsidP="00647A85">
      <w:pPr>
        <w:rPr>
          <w:rFonts w:ascii="Arial" w:hAnsi="Arial" w:cs="Arial"/>
          <w:sz w:val="20"/>
          <w:szCs w:val="20"/>
          <w:vertAlign w:val="superscript"/>
        </w:rPr>
      </w:pPr>
    </w:p>
    <w:p w14:paraId="7410646B" w14:textId="77777777" w:rsidR="00647A85" w:rsidRPr="00BA727B" w:rsidRDefault="00647A85" w:rsidP="00647A85">
      <w:pPr>
        <w:rPr>
          <w:rFonts w:ascii="Arial" w:hAnsi="Arial" w:cs="Arial"/>
          <w:sz w:val="20"/>
          <w:szCs w:val="20"/>
        </w:rPr>
      </w:pPr>
      <w:r w:rsidRPr="00BA727B">
        <w:rPr>
          <w:rFonts w:ascii="Arial" w:hAnsi="Arial" w:cs="Arial"/>
          <w:sz w:val="20"/>
          <w:szCs w:val="20"/>
          <w:vertAlign w:val="superscript"/>
        </w:rPr>
        <w:t>1</w:t>
      </w:r>
      <w:r>
        <w:rPr>
          <w:rFonts w:ascii="Arial" w:hAnsi="Arial" w:cs="Arial"/>
          <w:sz w:val="20"/>
          <w:szCs w:val="20"/>
          <w:vertAlign w:val="superscript"/>
        </w:rPr>
        <w:t xml:space="preserve"> </w:t>
      </w:r>
      <w:r>
        <w:rPr>
          <w:rFonts w:ascii="Arial" w:hAnsi="Arial" w:cs="Arial"/>
          <w:sz w:val="20"/>
          <w:szCs w:val="20"/>
        </w:rPr>
        <w:t>Barcelona Institute for Global Health, Spain</w:t>
      </w:r>
    </w:p>
    <w:p w14:paraId="33E9446C" w14:textId="77777777" w:rsidR="00647A85" w:rsidRPr="00BA727B" w:rsidRDefault="00647A85" w:rsidP="00647A85">
      <w:pPr>
        <w:rPr>
          <w:rFonts w:ascii="Arial" w:hAnsi="Arial" w:cs="Arial"/>
          <w:noProof/>
          <w:sz w:val="20"/>
          <w:szCs w:val="20"/>
        </w:rPr>
      </w:pPr>
      <w:r w:rsidRPr="00BA727B">
        <w:rPr>
          <w:rFonts w:ascii="Arial" w:hAnsi="Arial" w:cs="Arial"/>
          <w:sz w:val="20"/>
          <w:szCs w:val="20"/>
          <w:vertAlign w:val="superscript"/>
        </w:rPr>
        <w:t>2</w:t>
      </w:r>
      <w:r>
        <w:rPr>
          <w:rFonts w:ascii="Arial" w:hAnsi="Arial" w:cs="Arial"/>
          <w:sz w:val="20"/>
          <w:szCs w:val="20"/>
          <w:vertAlign w:val="superscript"/>
        </w:rPr>
        <w:t xml:space="preserve"> </w:t>
      </w:r>
      <w:r w:rsidRPr="00BA727B">
        <w:rPr>
          <w:rFonts w:ascii="Arial" w:hAnsi="Arial" w:cs="Arial"/>
          <w:noProof/>
          <w:sz w:val="20"/>
          <w:szCs w:val="20"/>
        </w:rPr>
        <w:t>Charité-Universitätsmedizin Berlin, Corporate Member of Freie Universität Berlin and Humboldt</w:t>
      </w:r>
      <w:r w:rsidRPr="00BA727B">
        <w:rPr>
          <w:rFonts w:ascii="Cambria Math" w:hAnsi="Cambria Math" w:cs="Cambria Math"/>
          <w:noProof/>
          <w:sz w:val="20"/>
          <w:szCs w:val="20"/>
        </w:rPr>
        <w:t>‐</w:t>
      </w:r>
      <w:r w:rsidRPr="00BA727B">
        <w:rPr>
          <w:rFonts w:ascii="Arial" w:hAnsi="Arial" w:cs="Arial"/>
          <w:noProof/>
          <w:sz w:val="20"/>
          <w:szCs w:val="20"/>
        </w:rPr>
        <w:t xml:space="preserve">Universität zu Berlin, Institute of Public Health, Germany </w:t>
      </w:r>
    </w:p>
    <w:p w14:paraId="16F2BE46" w14:textId="77777777" w:rsidR="00647A85" w:rsidRPr="00BA727B" w:rsidRDefault="00647A85" w:rsidP="00647A85">
      <w:pPr>
        <w:rPr>
          <w:rFonts w:ascii="Arial" w:hAnsi="Arial" w:cs="Arial"/>
          <w:sz w:val="20"/>
          <w:szCs w:val="20"/>
        </w:rPr>
      </w:pPr>
      <w:r w:rsidRPr="00BA727B">
        <w:rPr>
          <w:rFonts w:ascii="Arial" w:hAnsi="Arial" w:cs="Arial"/>
          <w:sz w:val="20"/>
          <w:szCs w:val="20"/>
          <w:vertAlign w:val="superscript"/>
        </w:rPr>
        <w:t>3</w:t>
      </w:r>
      <w:r>
        <w:rPr>
          <w:rFonts w:ascii="Arial" w:hAnsi="Arial" w:cs="Arial"/>
          <w:sz w:val="20"/>
          <w:szCs w:val="20"/>
          <w:vertAlign w:val="superscript"/>
        </w:rPr>
        <w:t xml:space="preserve"> </w:t>
      </w:r>
      <w:r w:rsidRPr="00BA727B">
        <w:rPr>
          <w:rFonts w:ascii="Arial" w:hAnsi="Arial" w:cs="Arial"/>
          <w:noProof/>
          <w:sz w:val="20"/>
          <w:szCs w:val="20"/>
        </w:rPr>
        <w:t>Research Department 2, Potsdam Institute for Climate Impact Research (PIK), Member of the Leibniz Association, Germany</w:t>
      </w:r>
      <w:r w:rsidRPr="00BA727B">
        <w:rPr>
          <w:rFonts w:ascii="Arial" w:hAnsi="Arial" w:cs="Arial"/>
          <w:sz w:val="20"/>
          <w:szCs w:val="20"/>
        </w:rPr>
        <w:t xml:space="preserve"> </w:t>
      </w:r>
    </w:p>
    <w:p w14:paraId="797A5180" w14:textId="77777777" w:rsidR="00647A85" w:rsidRDefault="00647A85" w:rsidP="00647A85">
      <w:pPr>
        <w:rPr>
          <w:rFonts w:ascii="Arial" w:hAnsi="Arial" w:cs="Arial"/>
          <w:sz w:val="20"/>
          <w:szCs w:val="20"/>
          <w:lang w:val="fr-FR"/>
        </w:rPr>
      </w:pPr>
      <w:r w:rsidRPr="00BA727B">
        <w:rPr>
          <w:rFonts w:ascii="Arial" w:hAnsi="Arial" w:cs="Arial"/>
          <w:sz w:val="20"/>
          <w:szCs w:val="20"/>
          <w:vertAlign w:val="superscript"/>
          <w:lang w:val="fr-FR"/>
        </w:rPr>
        <w:t>4</w:t>
      </w:r>
      <w:r>
        <w:rPr>
          <w:rFonts w:ascii="Arial" w:hAnsi="Arial" w:cs="Arial"/>
          <w:sz w:val="20"/>
          <w:szCs w:val="20"/>
          <w:vertAlign w:val="superscript"/>
          <w:lang w:val="fr-FR"/>
        </w:rPr>
        <w:t xml:space="preserve"> </w:t>
      </w:r>
      <w:r w:rsidRPr="00BA727B">
        <w:rPr>
          <w:rFonts w:ascii="Arial" w:hAnsi="Arial" w:cs="Arial"/>
          <w:sz w:val="20"/>
          <w:szCs w:val="20"/>
          <w:lang w:val="fr-FR"/>
        </w:rPr>
        <w:t xml:space="preserve">Irset Institut de Recherche en Santé, Environnement et Travail, UMR-S 1085, Inserm, University of Rennes, EHESP, Rennes, </w:t>
      </w:r>
      <w:r>
        <w:rPr>
          <w:rFonts w:ascii="Arial" w:hAnsi="Arial" w:cs="Arial"/>
          <w:sz w:val="20"/>
          <w:szCs w:val="20"/>
          <w:lang w:val="fr-FR"/>
        </w:rPr>
        <w:t>France</w:t>
      </w:r>
    </w:p>
    <w:p w14:paraId="6495A60A" w14:textId="77777777" w:rsidR="00647A85" w:rsidRPr="00BA727B" w:rsidRDefault="00647A85" w:rsidP="00647A85">
      <w:pPr>
        <w:rPr>
          <w:rFonts w:ascii="Arial" w:hAnsi="Arial" w:cs="Arial"/>
          <w:sz w:val="20"/>
          <w:szCs w:val="20"/>
        </w:rPr>
      </w:pPr>
      <w:r>
        <w:rPr>
          <w:rFonts w:ascii="Arial" w:hAnsi="Arial" w:cs="Arial"/>
          <w:sz w:val="20"/>
          <w:szCs w:val="20"/>
          <w:vertAlign w:val="superscript"/>
          <w:lang w:val="fr-FR"/>
        </w:rPr>
        <w:t xml:space="preserve">5 </w:t>
      </w:r>
      <w:r w:rsidRPr="00BA727B">
        <w:rPr>
          <w:rFonts w:ascii="Arial" w:hAnsi="Arial" w:cs="Arial"/>
          <w:sz w:val="20"/>
          <w:szCs w:val="20"/>
        </w:rPr>
        <w:t>Scripps Institution of Oceanography, University of California San Diego</w:t>
      </w:r>
      <w:r>
        <w:rPr>
          <w:rFonts w:ascii="Arial" w:hAnsi="Arial" w:cs="Arial"/>
          <w:sz w:val="20"/>
          <w:szCs w:val="20"/>
        </w:rPr>
        <w:t>, USA</w:t>
      </w:r>
    </w:p>
    <w:p w14:paraId="104BD616" w14:textId="77777777" w:rsidR="004714AA" w:rsidRDefault="004714AA">
      <w:pPr>
        <w:rPr>
          <w:rFonts w:asciiTheme="majorHAnsi" w:eastAsiaTheme="majorEastAsia" w:hAnsiTheme="majorHAnsi" w:cstheme="majorBidi"/>
          <w:color w:val="0F4761" w:themeColor="accent1" w:themeShade="BF"/>
          <w:sz w:val="32"/>
          <w:szCs w:val="32"/>
        </w:rPr>
      </w:pPr>
      <w:r>
        <w:br w:type="page"/>
      </w:r>
    </w:p>
    <w:p w14:paraId="38815D7B" w14:textId="21CB536A" w:rsidR="00B053AE" w:rsidRDefault="00B053AE" w:rsidP="004714AA">
      <w:pPr>
        <w:pStyle w:val="Heading2"/>
      </w:pPr>
      <w:r>
        <w:lastRenderedPageBreak/>
        <w:t xml:space="preserve">Data description </w:t>
      </w:r>
    </w:p>
    <w:p w14:paraId="440D307A" w14:textId="77777777" w:rsidR="00F00444" w:rsidRPr="00F00444" w:rsidRDefault="00F00444" w:rsidP="00F00444">
      <w:pPr>
        <w:rPr>
          <w:b/>
          <w:bCs/>
        </w:rPr>
      </w:pPr>
      <w:r w:rsidRPr="00F00444">
        <w:rPr>
          <w:b/>
          <w:bCs/>
        </w:rPr>
        <w:t>Demographic and Health Surveys (DHS)</w:t>
      </w:r>
    </w:p>
    <w:p w14:paraId="49098C17" w14:textId="57551624" w:rsidR="00F00444" w:rsidRPr="00F00444" w:rsidRDefault="006B1B66" w:rsidP="00F00444">
      <w:r w:rsidRPr="006B1B66">
        <w:t xml:space="preserve">Our analysis draws on 72 DHS surveys conducted in 14 countries between 1992 and 2018. Earlier survey waves were excluded because they did not include geocoordinates for primary sampling units (PSUs), which were required to link </w:t>
      </w:r>
      <w:r w:rsidR="00DB319C">
        <w:t xml:space="preserve">the </w:t>
      </w:r>
      <w:r w:rsidRPr="006B1B66">
        <w:t>survey data with georeferenced disaster information.</w:t>
      </w:r>
      <w:r>
        <w:t xml:space="preserve"> </w:t>
      </w:r>
      <w:r w:rsidRPr="006B1B66">
        <w:t>Surveys from 2019 onward were excluded because georeferenced disaster data were unavailable for these years</w:t>
      </w:r>
      <w:r>
        <w:t>, see EMDAT data description below</w:t>
      </w:r>
      <w:r w:rsidRPr="006B1B66">
        <w:t>. This restriction also ensured that surveys conducted during or after the onset of the COVID-19 pandemic were not included, avoiding potential confounding effects of the pandemic on child undernutrition.</w:t>
      </w:r>
    </w:p>
    <w:p w14:paraId="5616D5F5" w14:textId="77777777" w:rsidR="006B1B66" w:rsidRPr="00F00444" w:rsidRDefault="006B1B66" w:rsidP="006B1B66">
      <w:pPr>
        <w:rPr>
          <w:b/>
          <w:bCs/>
        </w:rPr>
      </w:pPr>
      <w:r w:rsidRPr="00F00444">
        <w:rPr>
          <w:b/>
          <w:bCs/>
        </w:rPr>
        <w:t>Primary Schooling Reforms</w:t>
      </w:r>
    </w:p>
    <w:p w14:paraId="323704AC" w14:textId="77777777" w:rsidR="0077087F" w:rsidRPr="0077087F" w:rsidRDefault="0077087F" w:rsidP="0077087F">
      <w:r w:rsidRPr="0077087F">
        <w:t xml:space="preserve">Information on the </w:t>
      </w:r>
      <w:r>
        <w:t>introduction</w:t>
      </w:r>
      <w:r w:rsidRPr="0077087F">
        <w:t xml:space="preserve"> of free primary schooling was compiled through an extensive review of the literature. For each country, we identified whether a free primary schooling reform had been enacted and the year in which it was implemented.</w:t>
      </w:r>
      <w:r>
        <w:t xml:space="preserve"> </w:t>
      </w:r>
      <w:r w:rsidRPr="0077087F">
        <w:t xml:space="preserve">Countries were included </w:t>
      </w:r>
      <w:r>
        <w:t xml:space="preserve">in the analysis </w:t>
      </w:r>
      <w:r w:rsidRPr="0077087F">
        <w:t>only when DHS surveys captured maternal cohorts who were of primary school age both before and after the reform, ensuring sufficient statistical power and comparability.</w:t>
      </w:r>
      <w:r>
        <w:t xml:space="preserve"> </w:t>
      </w:r>
      <w:r w:rsidRPr="0077087F">
        <w:t>Countries with no reform, or with reforms implemented too recently for any maternal cohorts in the DHS to have been exposed during their primary school years, were included as controls.</w:t>
      </w:r>
      <w:r>
        <w:t xml:space="preserve"> </w:t>
      </w:r>
      <w:r w:rsidRPr="0077087F">
        <w:t>Information on reform years and corresponding data sources is presented in Table 1 of the main text.</w:t>
      </w:r>
    </w:p>
    <w:p w14:paraId="4E815ED0" w14:textId="6366120F" w:rsidR="00B053AE" w:rsidRPr="004476C1" w:rsidRDefault="004714AA" w:rsidP="00B053AE">
      <w:pPr>
        <w:rPr>
          <w:b/>
          <w:bCs/>
        </w:rPr>
      </w:pPr>
      <w:r w:rsidRPr="004476C1">
        <w:rPr>
          <w:b/>
          <w:bCs/>
        </w:rPr>
        <w:t>Climate-related disasters</w:t>
      </w:r>
    </w:p>
    <w:p w14:paraId="57639B95" w14:textId="10073A73" w:rsidR="004476C1" w:rsidRDefault="00D35A05" w:rsidP="004476C1">
      <w:r w:rsidRPr="00D35A05">
        <w:t>Information on disasters was obtained from the Emergency Events Database (EM-DAT) maintained by the Center for Research on the Epidemiology of Disasters (CRED) at the Université Catholique de Louvain. We included all disasters recorded between January 199</w:t>
      </w:r>
      <w:r w:rsidR="0052726E">
        <w:t>3</w:t>
      </w:r>
      <w:r w:rsidRPr="00D35A05">
        <w:t xml:space="preserve"> and December 2018 to align with the period covered by the survey data. Georeferenced disaster locations were retrieved from the open-source GDIS extension to EM-DAT (</w:t>
      </w:r>
      <w:hyperlink r:id="rId5" w:tgtFrame="_new" w:history="1">
        <w:r w:rsidRPr="00D35A05">
          <w:rPr>
            <w:rStyle w:val="Hyperlink"/>
          </w:rPr>
          <w:t>https://data.nasa.gov/dataset/geocoded-disasters-gdis-dataset</w:t>
        </w:r>
      </w:hyperlink>
      <w:r w:rsidRPr="00D35A05">
        <w:t xml:space="preserve">), which provides harmonized, globally comprehensive geocoded information on disaster events. GDIS links each disaster to precise geographic coordinates, enabling spatial analyses of exposure across hazard types and countries. Primary sampling units (PSUs) were linked to disaster locations within a 10 km radius to account for DHS displacement procedures; PSU locations are shown in Figure S2. From EM-DAT, we included only climate-related disasters—floods, droughts, storms, landslides, and heatwaves—and </w:t>
      </w:r>
      <w:r w:rsidRPr="000F4931">
        <w:t xml:space="preserve">identified </w:t>
      </w:r>
      <w:r w:rsidR="000F4931" w:rsidRPr="000F4931">
        <w:t>325</w:t>
      </w:r>
      <w:r w:rsidRPr="000F4931">
        <w:t xml:space="preserve"> such events across all countries in our study period. The highest concentration of disasters between 199</w:t>
      </w:r>
      <w:r w:rsidR="0052726E" w:rsidRPr="000F4931">
        <w:t>3</w:t>
      </w:r>
      <w:r w:rsidRPr="000F4931">
        <w:t xml:space="preserve"> and 2018 occurred in Ethiopia</w:t>
      </w:r>
      <w:r w:rsidR="0052726E" w:rsidRPr="000F4931">
        <w:t xml:space="preserve"> and</w:t>
      </w:r>
      <w:r w:rsidRPr="000F4931">
        <w:t xml:space="preserve"> Kenya</w:t>
      </w:r>
      <w:r w:rsidR="0052726E" w:rsidRPr="000F4931">
        <w:t xml:space="preserve">, </w:t>
      </w:r>
      <w:r w:rsidRPr="000F4931">
        <w:t>as shown in Figure 1</w:t>
      </w:r>
      <w:r w:rsidR="0052726E" w:rsidRPr="000F4931">
        <w:t>a</w:t>
      </w:r>
      <w:r w:rsidRPr="000F4931">
        <w:t xml:space="preserve"> </w:t>
      </w:r>
      <w:r w:rsidR="000F4931" w:rsidRPr="000F4931">
        <w:t>in</w:t>
      </w:r>
      <w:r w:rsidRPr="000F4931">
        <w:t xml:space="preserve"> the main text</w:t>
      </w:r>
      <w:r w:rsidR="000F4931" w:rsidRPr="000F4931">
        <w:t>. Floods were the most common type of disaster in the period (Figure S3)</w:t>
      </w:r>
      <w:r w:rsidRPr="000F4931">
        <w:t>.</w:t>
      </w:r>
    </w:p>
    <w:p w14:paraId="15FEC6F5" w14:textId="77777777" w:rsidR="00D35A05" w:rsidRDefault="00D35A05">
      <w:r>
        <w:br w:type="page"/>
      </w:r>
    </w:p>
    <w:p w14:paraId="6B79CC3B" w14:textId="0855349D" w:rsidR="00951C6A" w:rsidRPr="0078752D" w:rsidRDefault="0081709C">
      <w:pPr>
        <w:rPr>
          <w:rFonts w:asciiTheme="majorHAnsi" w:eastAsiaTheme="majorEastAsia" w:hAnsiTheme="majorHAnsi" w:cstheme="majorBidi"/>
          <w:color w:val="0F4761" w:themeColor="accent1" w:themeShade="BF"/>
          <w:sz w:val="40"/>
          <w:szCs w:val="40"/>
        </w:rPr>
      </w:pPr>
      <w:r w:rsidRPr="0081709C">
        <w:lastRenderedPageBreak/>
        <w:t>Table S1. Share of women aged 15–30 with completed primary education before and after the reform.</w:t>
      </w:r>
    </w:p>
    <w:tbl>
      <w:tblPr>
        <w:tblW w:w="3261" w:type="dxa"/>
        <w:tblLook w:val="04A0" w:firstRow="1" w:lastRow="0" w:firstColumn="1" w:lastColumn="0" w:noHBand="0" w:noVBand="1"/>
      </w:tblPr>
      <w:tblGrid>
        <w:gridCol w:w="1020"/>
        <w:gridCol w:w="1107"/>
        <w:gridCol w:w="1134"/>
      </w:tblGrid>
      <w:tr w:rsidR="0081709C" w:rsidRPr="0081709C" w14:paraId="4B14CB67" w14:textId="77777777" w:rsidTr="0081709C">
        <w:trPr>
          <w:trHeight w:val="405"/>
        </w:trPr>
        <w:tc>
          <w:tcPr>
            <w:tcW w:w="1020" w:type="dxa"/>
            <w:tcBorders>
              <w:top w:val="single" w:sz="4" w:space="0" w:color="auto"/>
              <w:left w:val="nil"/>
              <w:bottom w:val="single" w:sz="4" w:space="0" w:color="auto"/>
              <w:right w:val="nil"/>
            </w:tcBorders>
            <w:vAlign w:val="center"/>
            <w:hideMark/>
          </w:tcPr>
          <w:p w14:paraId="00985B8F" w14:textId="77777777" w:rsidR="0081709C" w:rsidRPr="0081709C" w:rsidRDefault="0081709C" w:rsidP="0081709C">
            <w:pPr>
              <w:spacing w:after="0" w:line="240" w:lineRule="auto"/>
              <w:rPr>
                <w:rFonts w:ascii="Arial" w:eastAsia="Times New Roman" w:hAnsi="Arial" w:cs="Arial"/>
                <w:b/>
                <w:bCs/>
                <w:i/>
                <w:iCs/>
                <w:color w:val="000000"/>
                <w:kern w:val="0"/>
                <w:sz w:val="16"/>
                <w:szCs w:val="16"/>
                <w14:ligatures w14:val="none"/>
              </w:rPr>
            </w:pPr>
            <w:r w:rsidRPr="0081709C">
              <w:rPr>
                <w:rFonts w:ascii="Arial" w:eastAsia="Times New Roman" w:hAnsi="Arial" w:cs="Arial"/>
                <w:b/>
                <w:bCs/>
                <w:i/>
                <w:iCs/>
                <w:color w:val="000000"/>
                <w:kern w:val="0"/>
                <w:sz w:val="16"/>
                <w:szCs w:val="16"/>
                <w14:ligatures w14:val="none"/>
              </w:rPr>
              <w:t>Treated countries</w:t>
            </w:r>
          </w:p>
        </w:tc>
        <w:tc>
          <w:tcPr>
            <w:tcW w:w="1107" w:type="dxa"/>
            <w:tcBorders>
              <w:top w:val="single" w:sz="4" w:space="0" w:color="auto"/>
              <w:left w:val="nil"/>
              <w:bottom w:val="single" w:sz="4" w:space="0" w:color="auto"/>
              <w:right w:val="nil"/>
            </w:tcBorders>
            <w:vAlign w:val="center"/>
            <w:hideMark/>
          </w:tcPr>
          <w:p w14:paraId="6FFD39CA" w14:textId="77777777" w:rsidR="0081709C" w:rsidRPr="0081709C" w:rsidRDefault="0081709C" w:rsidP="0081709C">
            <w:pPr>
              <w:spacing w:after="0" w:line="240" w:lineRule="auto"/>
              <w:rPr>
                <w:rFonts w:ascii="Arial" w:eastAsia="Times New Roman" w:hAnsi="Arial" w:cs="Arial"/>
                <w:color w:val="000000"/>
                <w:kern w:val="0"/>
                <w:sz w:val="16"/>
                <w:szCs w:val="16"/>
                <w14:ligatures w14:val="none"/>
              </w:rPr>
            </w:pPr>
            <w:r w:rsidRPr="0081709C">
              <w:rPr>
                <w:rFonts w:ascii="Arial" w:eastAsia="Times New Roman" w:hAnsi="Arial" w:cs="Arial"/>
                <w:color w:val="000000"/>
                <w:kern w:val="0"/>
                <w:sz w:val="16"/>
                <w:szCs w:val="16"/>
                <w14:ligatures w14:val="none"/>
              </w:rPr>
              <w:t>Pre-reform</w:t>
            </w:r>
          </w:p>
        </w:tc>
        <w:tc>
          <w:tcPr>
            <w:tcW w:w="1134" w:type="dxa"/>
            <w:tcBorders>
              <w:top w:val="single" w:sz="4" w:space="0" w:color="auto"/>
              <w:left w:val="nil"/>
              <w:bottom w:val="single" w:sz="4" w:space="0" w:color="auto"/>
              <w:right w:val="nil"/>
            </w:tcBorders>
            <w:vAlign w:val="center"/>
            <w:hideMark/>
          </w:tcPr>
          <w:p w14:paraId="609EE71A" w14:textId="77777777" w:rsidR="0081709C" w:rsidRPr="0081709C" w:rsidRDefault="0081709C" w:rsidP="0081709C">
            <w:pPr>
              <w:spacing w:after="0" w:line="240" w:lineRule="auto"/>
              <w:rPr>
                <w:rFonts w:ascii="Arial" w:eastAsia="Times New Roman" w:hAnsi="Arial" w:cs="Arial"/>
                <w:color w:val="000000"/>
                <w:kern w:val="0"/>
                <w:sz w:val="16"/>
                <w:szCs w:val="16"/>
                <w14:ligatures w14:val="none"/>
              </w:rPr>
            </w:pPr>
            <w:r w:rsidRPr="0081709C">
              <w:rPr>
                <w:rFonts w:ascii="Arial" w:eastAsia="Times New Roman" w:hAnsi="Arial" w:cs="Arial"/>
                <w:color w:val="000000"/>
                <w:kern w:val="0"/>
                <w:sz w:val="16"/>
                <w:szCs w:val="16"/>
                <w14:ligatures w14:val="none"/>
              </w:rPr>
              <w:t>Post-reform</w:t>
            </w:r>
          </w:p>
        </w:tc>
      </w:tr>
      <w:tr w:rsidR="0081709C" w:rsidRPr="0081709C" w14:paraId="740D6C42" w14:textId="77777777" w:rsidTr="0081709C">
        <w:trPr>
          <w:trHeight w:val="285"/>
        </w:trPr>
        <w:tc>
          <w:tcPr>
            <w:tcW w:w="1020" w:type="dxa"/>
            <w:tcBorders>
              <w:top w:val="nil"/>
              <w:left w:val="nil"/>
              <w:bottom w:val="nil"/>
              <w:right w:val="nil"/>
            </w:tcBorders>
            <w:vAlign w:val="center"/>
            <w:hideMark/>
          </w:tcPr>
          <w:p w14:paraId="77CC0B07" w14:textId="77777777" w:rsidR="0081709C" w:rsidRPr="0081709C" w:rsidRDefault="0081709C" w:rsidP="0081709C">
            <w:pPr>
              <w:spacing w:after="0" w:line="240" w:lineRule="auto"/>
              <w:rPr>
                <w:rFonts w:ascii="Arial" w:eastAsia="Times New Roman" w:hAnsi="Arial" w:cs="Arial"/>
                <w:color w:val="000000"/>
                <w:kern w:val="0"/>
                <w:sz w:val="16"/>
                <w:szCs w:val="16"/>
                <w14:ligatures w14:val="none"/>
              </w:rPr>
            </w:pPr>
            <w:r w:rsidRPr="0081709C">
              <w:rPr>
                <w:rFonts w:ascii="Arial" w:eastAsia="Times New Roman" w:hAnsi="Arial" w:cs="Arial"/>
                <w:color w:val="000000"/>
                <w:kern w:val="0"/>
                <w:sz w:val="16"/>
                <w:szCs w:val="16"/>
                <w14:ligatures w14:val="none"/>
              </w:rPr>
              <w:t>Ethiopia</w:t>
            </w:r>
          </w:p>
        </w:tc>
        <w:tc>
          <w:tcPr>
            <w:tcW w:w="1107" w:type="dxa"/>
            <w:tcBorders>
              <w:top w:val="nil"/>
              <w:left w:val="nil"/>
              <w:bottom w:val="nil"/>
              <w:right w:val="nil"/>
            </w:tcBorders>
            <w:vAlign w:val="center"/>
            <w:hideMark/>
          </w:tcPr>
          <w:p w14:paraId="69CFF8DC" w14:textId="77777777" w:rsidR="0081709C" w:rsidRPr="0081709C" w:rsidRDefault="0081709C" w:rsidP="0081709C">
            <w:pPr>
              <w:spacing w:after="0" w:line="240" w:lineRule="auto"/>
              <w:jc w:val="right"/>
              <w:rPr>
                <w:rFonts w:ascii="Arial" w:eastAsia="Times New Roman" w:hAnsi="Arial" w:cs="Arial"/>
                <w:color w:val="000000"/>
                <w:kern w:val="0"/>
                <w:sz w:val="16"/>
                <w:szCs w:val="16"/>
                <w14:ligatures w14:val="none"/>
              </w:rPr>
            </w:pPr>
            <w:r w:rsidRPr="0081709C">
              <w:rPr>
                <w:rFonts w:ascii="Arial" w:eastAsia="Times New Roman" w:hAnsi="Arial" w:cs="Arial"/>
                <w:color w:val="000000"/>
                <w:kern w:val="0"/>
                <w:sz w:val="16"/>
                <w:szCs w:val="16"/>
                <w14:ligatures w14:val="none"/>
              </w:rPr>
              <w:t>30%</w:t>
            </w:r>
          </w:p>
        </w:tc>
        <w:tc>
          <w:tcPr>
            <w:tcW w:w="1134" w:type="dxa"/>
            <w:tcBorders>
              <w:top w:val="nil"/>
              <w:left w:val="nil"/>
              <w:bottom w:val="nil"/>
              <w:right w:val="nil"/>
            </w:tcBorders>
            <w:vAlign w:val="center"/>
            <w:hideMark/>
          </w:tcPr>
          <w:p w14:paraId="6A8B10B9" w14:textId="77777777" w:rsidR="0081709C" w:rsidRPr="0081709C" w:rsidRDefault="0081709C" w:rsidP="0081709C">
            <w:pPr>
              <w:spacing w:after="0" w:line="240" w:lineRule="auto"/>
              <w:jc w:val="right"/>
              <w:rPr>
                <w:rFonts w:ascii="Arial" w:eastAsia="Times New Roman" w:hAnsi="Arial" w:cs="Arial"/>
                <w:color w:val="000000"/>
                <w:kern w:val="0"/>
                <w:sz w:val="16"/>
                <w:szCs w:val="16"/>
                <w14:ligatures w14:val="none"/>
              </w:rPr>
            </w:pPr>
            <w:r w:rsidRPr="0081709C">
              <w:rPr>
                <w:rFonts w:ascii="Arial" w:eastAsia="Times New Roman" w:hAnsi="Arial" w:cs="Arial"/>
                <w:color w:val="000000"/>
                <w:kern w:val="0"/>
                <w:sz w:val="16"/>
                <w:szCs w:val="16"/>
                <w14:ligatures w14:val="none"/>
              </w:rPr>
              <w:t>62%</w:t>
            </w:r>
          </w:p>
        </w:tc>
      </w:tr>
      <w:tr w:rsidR="0081709C" w:rsidRPr="0081709C" w14:paraId="6729E3C5" w14:textId="77777777" w:rsidTr="0081709C">
        <w:trPr>
          <w:trHeight w:val="285"/>
        </w:trPr>
        <w:tc>
          <w:tcPr>
            <w:tcW w:w="1020" w:type="dxa"/>
            <w:tcBorders>
              <w:top w:val="nil"/>
              <w:left w:val="nil"/>
              <w:bottom w:val="nil"/>
              <w:right w:val="nil"/>
            </w:tcBorders>
            <w:vAlign w:val="center"/>
            <w:hideMark/>
          </w:tcPr>
          <w:p w14:paraId="41FF2520" w14:textId="77777777" w:rsidR="0081709C" w:rsidRPr="0081709C" w:rsidRDefault="0081709C" w:rsidP="0081709C">
            <w:pPr>
              <w:spacing w:after="0" w:line="240" w:lineRule="auto"/>
              <w:rPr>
                <w:rFonts w:ascii="Arial" w:eastAsia="Times New Roman" w:hAnsi="Arial" w:cs="Arial"/>
                <w:color w:val="000000"/>
                <w:kern w:val="0"/>
                <w:sz w:val="16"/>
                <w:szCs w:val="16"/>
                <w14:ligatures w14:val="none"/>
              </w:rPr>
            </w:pPr>
            <w:r w:rsidRPr="0081709C">
              <w:rPr>
                <w:rFonts w:ascii="Arial" w:eastAsia="Times New Roman" w:hAnsi="Arial" w:cs="Arial"/>
                <w:color w:val="000000"/>
                <w:kern w:val="0"/>
                <w:sz w:val="16"/>
                <w:szCs w:val="16"/>
                <w14:ligatures w14:val="none"/>
              </w:rPr>
              <w:t>Kenya</w:t>
            </w:r>
          </w:p>
        </w:tc>
        <w:tc>
          <w:tcPr>
            <w:tcW w:w="1107" w:type="dxa"/>
            <w:tcBorders>
              <w:top w:val="nil"/>
              <w:left w:val="nil"/>
              <w:bottom w:val="nil"/>
              <w:right w:val="nil"/>
            </w:tcBorders>
            <w:vAlign w:val="center"/>
            <w:hideMark/>
          </w:tcPr>
          <w:p w14:paraId="74400DEB" w14:textId="77777777" w:rsidR="0081709C" w:rsidRPr="0081709C" w:rsidRDefault="0081709C" w:rsidP="0081709C">
            <w:pPr>
              <w:spacing w:after="0" w:line="240" w:lineRule="auto"/>
              <w:jc w:val="right"/>
              <w:rPr>
                <w:rFonts w:ascii="Arial" w:eastAsia="Times New Roman" w:hAnsi="Arial" w:cs="Arial"/>
                <w:color w:val="000000"/>
                <w:kern w:val="0"/>
                <w:sz w:val="16"/>
                <w:szCs w:val="16"/>
                <w14:ligatures w14:val="none"/>
              </w:rPr>
            </w:pPr>
            <w:r w:rsidRPr="0081709C">
              <w:rPr>
                <w:rFonts w:ascii="Arial" w:eastAsia="Times New Roman" w:hAnsi="Arial" w:cs="Arial"/>
                <w:color w:val="000000"/>
                <w:kern w:val="0"/>
                <w:sz w:val="16"/>
                <w:szCs w:val="16"/>
                <w14:ligatures w14:val="none"/>
              </w:rPr>
              <w:t>88%</w:t>
            </w:r>
          </w:p>
        </w:tc>
        <w:tc>
          <w:tcPr>
            <w:tcW w:w="1134" w:type="dxa"/>
            <w:tcBorders>
              <w:top w:val="nil"/>
              <w:left w:val="nil"/>
              <w:bottom w:val="nil"/>
              <w:right w:val="nil"/>
            </w:tcBorders>
            <w:vAlign w:val="center"/>
            <w:hideMark/>
          </w:tcPr>
          <w:p w14:paraId="5862F3A5" w14:textId="77777777" w:rsidR="0081709C" w:rsidRPr="0081709C" w:rsidRDefault="0081709C" w:rsidP="0081709C">
            <w:pPr>
              <w:spacing w:after="0" w:line="240" w:lineRule="auto"/>
              <w:jc w:val="right"/>
              <w:rPr>
                <w:rFonts w:ascii="Arial" w:eastAsia="Times New Roman" w:hAnsi="Arial" w:cs="Arial"/>
                <w:color w:val="000000"/>
                <w:kern w:val="0"/>
                <w:sz w:val="16"/>
                <w:szCs w:val="16"/>
                <w14:ligatures w14:val="none"/>
              </w:rPr>
            </w:pPr>
            <w:r w:rsidRPr="0081709C">
              <w:rPr>
                <w:rFonts w:ascii="Arial" w:eastAsia="Times New Roman" w:hAnsi="Arial" w:cs="Arial"/>
                <w:color w:val="000000"/>
                <w:kern w:val="0"/>
                <w:sz w:val="16"/>
                <w:szCs w:val="16"/>
                <w14:ligatures w14:val="none"/>
              </w:rPr>
              <w:t>95%</w:t>
            </w:r>
          </w:p>
        </w:tc>
      </w:tr>
      <w:tr w:rsidR="0081709C" w:rsidRPr="0081709C" w14:paraId="48EB5842" w14:textId="77777777" w:rsidTr="0081709C">
        <w:trPr>
          <w:trHeight w:val="285"/>
        </w:trPr>
        <w:tc>
          <w:tcPr>
            <w:tcW w:w="1020" w:type="dxa"/>
            <w:tcBorders>
              <w:top w:val="nil"/>
              <w:left w:val="nil"/>
              <w:bottom w:val="nil"/>
              <w:right w:val="nil"/>
            </w:tcBorders>
            <w:vAlign w:val="center"/>
            <w:hideMark/>
          </w:tcPr>
          <w:p w14:paraId="4D13ECCF" w14:textId="77777777" w:rsidR="0081709C" w:rsidRPr="0081709C" w:rsidRDefault="0081709C" w:rsidP="0081709C">
            <w:pPr>
              <w:spacing w:after="0" w:line="240" w:lineRule="auto"/>
              <w:rPr>
                <w:rFonts w:ascii="Arial" w:eastAsia="Times New Roman" w:hAnsi="Arial" w:cs="Arial"/>
                <w:color w:val="000000"/>
                <w:kern w:val="0"/>
                <w:sz w:val="16"/>
                <w:szCs w:val="16"/>
                <w14:ligatures w14:val="none"/>
              </w:rPr>
            </w:pPr>
            <w:r w:rsidRPr="0081709C">
              <w:rPr>
                <w:rFonts w:ascii="Arial" w:eastAsia="Times New Roman" w:hAnsi="Arial" w:cs="Arial"/>
                <w:color w:val="000000"/>
                <w:kern w:val="0"/>
                <w:sz w:val="16"/>
                <w:szCs w:val="16"/>
                <w14:ligatures w14:val="none"/>
              </w:rPr>
              <w:t>Mali</w:t>
            </w:r>
          </w:p>
        </w:tc>
        <w:tc>
          <w:tcPr>
            <w:tcW w:w="1107" w:type="dxa"/>
            <w:tcBorders>
              <w:top w:val="nil"/>
              <w:left w:val="nil"/>
              <w:bottom w:val="nil"/>
              <w:right w:val="nil"/>
            </w:tcBorders>
            <w:vAlign w:val="center"/>
            <w:hideMark/>
          </w:tcPr>
          <w:p w14:paraId="10709ECA" w14:textId="77777777" w:rsidR="0081709C" w:rsidRPr="0081709C" w:rsidRDefault="0081709C" w:rsidP="0081709C">
            <w:pPr>
              <w:spacing w:after="0" w:line="240" w:lineRule="auto"/>
              <w:jc w:val="right"/>
              <w:rPr>
                <w:rFonts w:ascii="Arial" w:eastAsia="Times New Roman" w:hAnsi="Arial" w:cs="Arial"/>
                <w:color w:val="000000"/>
                <w:kern w:val="0"/>
                <w:sz w:val="16"/>
                <w:szCs w:val="16"/>
                <w14:ligatures w14:val="none"/>
              </w:rPr>
            </w:pPr>
            <w:r w:rsidRPr="0081709C">
              <w:rPr>
                <w:rFonts w:ascii="Arial" w:eastAsia="Times New Roman" w:hAnsi="Arial" w:cs="Arial"/>
                <w:color w:val="000000"/>
                <w:kern w:val="0"/>
                <w:sz w:val="16"/>
                <w:szCs w:val="16"/>
                <w14:ligatures w14:val="none"/>
              </w:rPr>
              <w:t>16%</w:t>
            </w:r>
          </w:p>
        </w:tc>
        <w:tc>
          <w:tcPr>
            <w:tcW w:w="1134" w:type="dxa"/>
            <w:tcBorders>
              <w:top w:val="nil"/>
              <w:left w:val="nil"/>
              <w:bottom w:val="nil"/>
              <w:right w:val="nil"/>
            </w:tcBorders>
            <w:vAlign w:val="center"/>
            <w:hideMark/>
          </w:tcPr>
          <w:p w14:paraId="4B8859D7" w14:textId="77777777" w:rsidR="0081709C" w:rsidRPr="0081709C" w:rsidRDefault="0081709C" w:rsidP="0081709C">
            <w:pPr>
              <w:spacing w:after="0" w:line="240" w:lineRule="auto"/>
              <w:jc w:val="right"/>
              <w:rPr>
                <w:rFonts w:ascii="Arial" w:eastAsia="Times New Roman" w:hAnsi="Arial" w:cs="Arial"/>
                <w:color w:val="000000"/>
                <w:kern w:val="0"/>
                <w:sz w:val="16"/>
                <w:szCs w:val="16"/>
                <w14:ligatures w14:val="none"/>
              </w:rPr>
            </w:pPr>
            <w:r w:rsidRPr="0081709C">
              <w:rPr>
                <w:rFonts w:ascii="Arial" w:eastAsia="Times New Roman" w:hAnsi="Arial" w:cs="Arial"/>
                <w:color w:val="000000"/>
                <w:kern w:val="0"/>
                <w:sz w:val="16"/>
                <w:szCs w:val="16"/>
                <w14:ligatures w14:val="none"/>
              </w:rPr>
              <w:t>34%</w:t>
            </w:r>
          </w:p>
        </w:tc>
      </w:tr>
      <w:tr w:rsidR="0081709C" w:rsidRPr="0081709C" w14:paraId="5309D3F2" w14:textId="77777777" w:rsidTr="0081709C">
        <w:trPr>
          <w:trHeight w:val="285"/>
        </w:trPr>
        <w:tc>
          <w:tcPr>
            <w:tcW w:w="1020" w:type="dxa"/>
            <w:tcBorders>
              <w:top w:val="nil"/>
              <w:left w:val="nil"/>
              <w:bottom w:val="nil"/>
              <w:right w:val="nil"/>
            </w:tcBorders>
            <w:vAlign w:val="center"/>
            <w:hideMark/>
          </w:tcPr>
          <w:p w14:paraId="07A5BCF0" w14:textId="77777777" w:rsidR="0081709C" w:rsidRPr="0081709C" w:rsidRDefault="0081709C" w:rsidP="0081709C">
            <w:pPr>
              <w:spacing w:after="0" w:line="240" w:lineRule="auto"/>
              <w:rPr>
                <w:rFonts w:ascii="Arial" w:eastAsia="Times New Roman" w:hAnsi="Arial" w:cs="Arial"/>
                <w:color w:val="000000"/>
                <w:kern w:val="0"/>
                <w:sz w:val="16"/>
                <w:szCs w:val="16"/>
                <w14:ligatures w14:val="none"/>
              </w:rPr>
            </w:pPr>
            <w:r w:rsidRPr="0081709C">
              <w:rPr>
                <w:rFonts w:ascii="Arial" w:eastAsia="Times New Roman" w:hAnsi="Arial" w:cs="Arial"/>
                <w:color w:val="000000"/>
                <w:kern w:val="0"/>
                <w:sz w:val="16"/>
                <w:szCs w:val="16"/>
                <w14:ligatures w14:val="none"/>
              </w:rPr>
              <w:t>Senegal</w:t>
            </w:r>
          </w:p>
        </w:tc>
        <w:tc>
          <w:tcPr>
            <w:tcW w:w="1107" w:type="dxa"/>
            <w:tcBorders>
              <w:top w:val="nil"/>
              <w:left w:val="nil"/>
              <w:bottom w:val="nil"/>
              <w:right w:val="nil"/>
            </w:tcBorders>
            <w:vAlign w:val="center"/>
            <w:hideMark/>
          </w:tcPr>
          <w:p w14:paraId="7C4DF84F" w14:textId="77777777" w:rsidR="0081709C" w:rsidRPr="0081709C" w:rsidRDefault="0081709C" w:rsidP="0081709C">
            <w:pPr>
              <w:spacing w:after="0" w:line="240" w:lineRule="auto"/>
              <w:jc w:val="right"/>
              <w:rPr>
                <w:rFonts w:ascii="Arial" w:eastAsia="Times New Roman" w:hAnsi="Arial" w:cs="Arial"/>
                <w:color w:val="000000"/>
                <w:kern w:val="0"/>
                <w:sz w:val="16"/>
                <w:szCs w:val="16"/>
                <w14:ligatures w14:val="none"/>
              </w:rPr>
            </w:pPr>
            <w:r w:rsidRPr="0081709C">
              <w:rPr>
                <w:rFonts w:ascii="Arial" w:eastAsia="Times New Roman" w:hAnsi="Arial" w:cs="Arial"/>
                <w:color w:val="000000"/>
                <w:kern w:val="0"/>
                <w:sz w:val="16"/>
                <w:szCs w:val="16"/>
                <w14:ligatures w14:val="none"/>
              </w:rPr>
              <w:t>37%</w:t>
            </w:r>
          </w:p>
        </w:tc>
        <w:tc>
          <w:tcPr>
            <w:tcW w:w="1134" w:type="dxa"/>
            <w:tcBorders>
              <w:top w:val="nil"/>
              <w:left w:val="nil"/>
              <w:bottom w:val="nil"/>
              <w:right w:val="nil"/>
            </w:tcBorders>
            <w:vAlign w:val="center"/>
            <w:hideMark/>
          </w:tcPr>
          <w:p w14:paraId="563BE695" w14:textId="77777777" w:rsidR="0081709C" w:rsidRPr="0081709C" w:rsidRDefault="0081709C" w:rsidP="0081709C">
            <w:pPr>
              <w:spacing w:after="0" w:line="240" w:lineRule="auto"/>
              <w:jc w:val="right"/>
              <w:rPr>
                <w:rFonts w:ascii="Arial" w:eastAsia="Times New Roman" w:hAnsi="Arial" w:cs="Arial"/>
                <w:color w:val="000000"/>
                <w:kern w:val="0"/>
                <w:sz w:val="16"/>
                <w:szCs w:val="16"/>
                <w14:ligatures w14:val="none"/>
              </w:rPr>
            </w:pPr>
            <w:r w:rsidRPr="0081709C">
              <w:rPr>
                <w:rFonts w:ascii="Arial" w:eastAsia="Times New Roman" w:hAnsi="Arial" w:cs="Arial"/>
                <w:color w:val="000000"/>
                <w:kern w:val="0"/>
                <w:sz w:val="16"/>
                <w:szCs w:val="16"/>
                <w14:ligatures w14:val="none"/>
              </w:rPr>
              <w:t>46%</w:t>
            </w:r>
          </w:p>
        </w:tc>
      </w:tr>
      <w:tr w:rsidR="0081709C" w:rsidRPr="0081709C" w14:paraId="59F4C23E" w14:textId="77777777" w:rsidTr="0081709C">
        <w:trPr>
          <w:trHeight w:val="285"/>
        </w:trPr>
        <w:tc>
          <w:tcPr>
            <w:tcW w:w="1020" w:type="dxa"/>
            <w:tcBorders>
              <w:top w:val="nil"/>
              <w:left w:val="nil"/>
              <w:bottom w:val="nil"/>
              <w:right w:val="nil"/>
            </w:tcBorders>
            <w:vAlign w:val="center"/>
            <w:hideMark/>
          </w:tcPr>
          <w:p w14:paraId="3B14C162" w14:textId="77777777" w:rsidR="0081709C" w:rsidRPr="0081709C" w:rsidRDefault="0081709C" w:rsidP="0081709C">
            <w:pPr>
              <w:spacing w:after="0" w:line="240" w:lineRule="auto"/>
              <w:rPr>
                <w:rFonts w:ascii="Arial" w:eastAsia="Times New Roman" w:hAnsi="Arial" w:cs="Arial"/>
                <w:color w:val="000000"/>
                <w:kern w:val="0"/>
                <w:sz w:val="16"/>
                <w:szCs w:val="16"/>
                <w14:ligatures w14:val="none"/>
              </w:rPr>
            </w:pPr>
            <w:r w:rsidRPr="0081709C">
              <w:rPr>
                <w:rFonts w:ascii="Arial" w:eastAsia="Times New Roman" w:hAnsi="Arial" w:cs="Arial"/>
                <w:color w:val="000000"/>
                <w:kern w:val="0"/>
                <w:sz w:val="16"/>
                <w:szCs w:val="16"/>
                <w14:ligatures w14:val="none"/>
              </w:rPr>
              <w:t>Tanzania</w:t>
            </w:r>
          </w:p>
        </w:tc>
        <w:tc>
          <w:tcPr>
            <w:tcW w:w="1107" w:type="dxa"/>
            <w:tcBorders>
              <w:top w:val="nil"/>
              <w:left w:val="nil"/>
              <w:bottom w:val="nil"/>
              <w:right w:val="nil"/>
            </w:tcBorders>
            <w:vAlign w:val="center"/>
            <w:hideMark/>
          </w:tcPr>
          <w:p w14:paraId="264B979B" w14:textId="77777777" w:rsidR="0081709C" w:rsidRPr="0081709C" w:rsidRDefault="0081709C" w:rsidP="0081709C">
            <w:pPr>
              <w:spacing w:after="0" w:line="240" w:lineRule="auto"/>
              <w:jc w:val="right"/>
              <w:rPr>
                <w:rFonts w:ascii="Arial" w:eastAsia="Times New Roman" w:hAnsi="Arial" w:cs="Arial"/>
                <w:color w:val="000000"/>
                <w:kern w:val="0"/>
                <w:sz w:val="16"/>
                <w:szCs w:val="16"/>
                <w14:ligatures w14:val="none"/>
              </w:rPr>
            </w:pPr>
            <w:r w:rsidRPr="0081709C">
              <w:rPr>
                <w:rFonts w:ascii="Arial" w:eastAsia="Times New Roman" w:hAnsi="Arial" w:cs="Arial"/>
                <w:color w:val="000000"/>
                <w:kern w:val="0"/>
                <w:sz w:val="16"/>
                <w:szCs w:val="16"/>
                <w14:ligatures w14:val="none"/>
              </w:rPr>
              <w:t>77%</w:t>
            </w:r>
          </w:p>
        </w:tc>
        <w:tc>
          <w:tcPr>
            <w:tcW w:w="1134" w:type="dxa"/>
            <w:tcBorders>
              <w:top w:val="nil"/>
              <w:left w:val="nil"/>
              <w:bottom w:val="nil"/>
              <w:right w:val="nil"/>
            </w:tcBorders>
            <w:vAlign w:val="center"/>
            <w:hideMark/>
          </w:tcPr>
          <w:p w14:paraId="3D03E854" w14:textId="77777777" w:rsidR="0081709C" w:rsidRPr="0081709C" w:rsidRDefault="0081709C" w:rsidP="0081709C">
            <w:pPr>
              <w:spacing w:after="0" w:line="240" w:lineRule="auto"/>
              <w:jc w:val="right"/>
              <w:rPr>
                <w:rFonts w:ascii="Arial" w:eastAsia="Times New Roman" w:hAnsi="Arial" w:cs="Arial"/>
                <w:color w:val="000000"/>
                <w:kern w:val="0"/>
                <w:sz w:val="16"/>
                <w:szCs w:val="16"/>
                <w14:ligatures w14:val="none"/>
              </w:rPr>
            </w:pPr>
            <w:r w:rsidRPr="0081709C">
              <w:rPr>
                <w:rFonts w:ascii="Arial" w:eastAsia="Times New Roman" w:hAnsi="Arial" w:cs="Arial"/>
                <w:color w:val="000000"/>
                <w:kern w:val="0"/>
                <w:sz w:val="16"/>
                <w:szCs w:val="16"/>
                <w14:ligatures w14:val="none"/>
              </w:rPr>
              <w:t>86%</w:t>
            </w:r>
          </w:p>
        </w:tc>
      </w:tr>
      <w:tr w:rsidR="0081709C" w:rsidRPr="0081709C" w14:paraId="331A7AB3" w14:textId="77777777" w:rsidTr="0081709C">
        <w:trPr>
          <w:trHeight w:val="285"/>
        </w:trPr>
        <w:tc>
          <w:tcPr>
            <w:tcW w:w="1020" w:type="dxa"/>
            <w:tcBorders>
              <w:top w:val="nil"/>
              <w:left w:val="nil"/>
              <w:bottom w:val="nil"/>
              <w:right w:val="nil"/>
            </w:tcBorders>
            <w:vAlign w:val="center"/>
            <w:hideMark/>
          </w:tcPr>
          <w:p w14:paraId="1DCCBBA9" w14:textId="77777777" w:rsidR="0081709C" w:rsidRPr="0081709C" w:rsidRDefault="0081709C" w:rsidP="0081709C">
            <w:pPr>
              <w:spacing w:after="0" w:line="240" w:lineRule="auto"/>
              <w:rPr>
                <w:rFonts w:ascii="Arial" w:eastAsia="Times New Roman" w:hAnsi="Arial" w:cs="Arial"/>
                <w:color w:val="000000"/>
                <w:kern w:val="0"/>
                <w:sz w:val="16"/>
                <w:szCs w:val="16"/>
                <w14:ligatures w14:val="none"/>
              </w:rPr>
            </w:pPr>
            <w:r w:rsidRPr="0081709C">
              <w:rPr>
                <w:rFonts w:ascii="Arial" w:eastAsia="Times New Roman" w:hAnsi="Arial" w:cs="Arial"/>
                <w:color w:val="000000"/>
                <w:kern w:val="0"/>
                <w:sz w:val="16"/>
                <w:szCs w:val="16"/>
                <w14:ligatures w14:val="none"/>
              </w:rPr>
              <w:t>Uganda</w:t>
            </w:r>
          </w:p>
        </w:tc>
        <w:tc>
          <w:tcPr>
            <w:tcW w:w="1107" w:type="dxa"/>
            <w:tcBorders>
              <w:top w:val="nil"/>
              <w:left w:val="nil"/>
              <w:bottom w:val="nil"/>
              <w:right w:val="nil"/>
            </w:tcBorders>
            <w:vAlign w:val="center"/>
            <w:hideMark/>
          </w:tcPr>
          <w:p w14:paraId="524814E4" w14:textId="77777777" w:rsidR="0081709C" w:rsidRPr="0081709C" w:rsidRDefault="0081709C" w:rsidP="0081709C">
            <w:pPr>
              <w:spacing w:after="0" w:line="240" w:lineRule="auto"/>
              <w:jc w:val="right"/>
              <w:rPr>
                <w:rFonts w:ascii="Arial" w:eastAsia="Times New Roman" w:hAnsi="Arial" w:cs="Arial"/>
                <w:color w:val="000000"/>
                <w:kern w:val="0"/>
                <w:sz w:val="16"/>
                <w:szCs w:val="16"/>
                <w14:ligatures w14:val="none"/>
              </w:rPr>
            </w:pPr>
            <w:r w:rsidRPr="0081709C">
              <w:rPr>
                <w:rFonts w:ascii="Arial" w:eastAsia="Times New Roman" w:hAnsi="Arial" w:cs="Arial"/>
                <w:color w:val="000000"/>
                <w:kern w:val="0"/>
                <w:sz w:val="16"/>
                <w:szCs w:val="16"/>
                <w14:ligatures w14:val="none"/>
              </w:rPr>
              <w:t>83%</w:t>
            </w:r>
          </w:p>
        </w:tc>
        <w:tc>
          <w:tcPr>
            <w:tcW w:w="1134" w:type="dxa"/>
            <w:tcBorders>
              <w:top w:val="nil"/>
              <w:left w:val="nil"/>
              <w:bottom w:val="nil"/>
              <w:right w:val="nil"/>
            </w:tcBorders>
            <w:vAlign w:val="center"/>
            <w:hideMark/>
          </w:tcPr>
          <w:p w14:paraId="32564825" w14:textId="77777777" w:rsidR="0081709C" w:rsidRPr="0081709C" w:rsidRDefault="0081709C" w:rsidP="0081709C">
            <w:pPr>
              <w:spacing w:after="0" w:line="240" w:lineRule="auto"/>
              <w:jc w:val="right"/>
              <w:rPr>
                <w:rFonts w:ascii="Arial" w:eastAsia="Times New Roman" w:hAnsi="Arial" w:cs="Arial"/>
                <w:color w:val="000000"/>
                <w:kern w:val="0"/>
                <w:sz w:val="16"/>
                <w:szCs w:val="16"/>
                <w14:ligatures w14:val="none"/>
              </w:rPr>
            </w:pPr>
            <w:r w:rsidRPr="0081709C">
              <w:rPr>
                <w:rFonts w:ascii="Arial" w:eastAsia="Times New Roman" w:hAnsi="Arial" w:cs="Arial"/>
                <w:color w:val="000000"/>
                <w:kern w:val="0"/>
                <w:sz w:val="16"/>
                <w:szCs w:val="16"/>
                <w14:ligatures w14:val="none"/>
              </w:rPr>
              <w:t>95%</w:t>
            </w:r>
          </w:p>
        </w:tc>
      </w:tr>
      <w:tr w:rsidR="0081709C" w:rsidRPr="0081709C" w14:paraId="2908FAF8" w14:textId="77777777" w:rsidTr="0081709C">
        <w:trPr>
          <w:trHeight w:val="285"/>
        </w:trPr>
        <w:tc>
          <w:tcPr>
            <w:tcW w:w="1020" w:type="dxa"/>
            <w:tcBorders>
              <w:top w:val="nil"/>
              <w:left w:val="nil"/>
              <w:bottom w:val="nil"/>
              <w:right w:val="nil"/>
            </w:tcBorders>
            <w:vAlign w:val="center"/>
            <w:hideMark/>
          </w:tcPr>
          <w:p w14:paraId="19E1F4E7" w14:textId="77777777" w:rsidR="0081709C" w:rsidRPr="0081709C" w:rsidRDefault="0081709C" w:rsidP="0081709C">
            <w:pPr>
              <w:spacing w:after="0" w:line="240" w:lineRule="auto"/>
              <w:jc w:val="right"/>
              <w:rPr>
                <w:rFonts w:ascii="Arial" w:eastAsia="Times New Roman" w:hAnsi="Arial" w:cs="Arial"/>
                <w:color w:val="000000"/>
                <w:kern w:val="0"/>
                <w:sz w:val="16"/>
                <w:szCs w:val="16"/>
                <w14:ligatures w14:val="none"/>
              </w:rPr>
            </w:pPr>
          </w:p>
        </w:tc>
        <w:tc>
          <w:tcPr>
            <w:tcW w:w="1107" w:type="dxa"/>
            <w:tcBorders>
              <w:top w:val="nil"/>
              <w:left w:val="nil"/>
              <w:bottom w:val="nil"/>
              <w:right w:val="nil"/>
            </w:tcBorders>
            <w:vAlign w:val="center"/>
            <w:hideMark/>
          </w:tcPr>
          <w:p w14:paraId="0C7D0D86" w14:textId="77777777" w:rsidR="0081709C" w:rsidRPr="0081709C" w:rsidRDefault="0081709C" w:rsidP="0081709C">
            <w:pPr>
              <w:spacing w:after="0" w:line="240" w:lineRule="auto"/>
              <w:rPr>
                <w:rFonts w:ascii="Times New Roman" w:eastAsia="Times New Roman" w:hAnsi="Times New Roman" w:cs="Times New Roman"/>
                <w:kern w:val="0"/>
                <w:sz w:val="20"/>
                <w:szCs w:val="20"/>
                <w14:ligatures w14:val="none"/>
              </w:rPr>
            </w:pPr>
          </w:p>
        </w:tc>
        <w:tc>
          <w:tcPr>
            <w:tcW w:w="1134" w:type="dxa"/>
            <w:tcBorders>
              <w:top w:val="nil"/>
              <w:left w:val="nil"/>
              <w:bottom w:val="nil"/>
              <w:right w:val="nil"/>
            </w:tcBorders>
            <w:vAlign w:val="center"/>
            <w:hideMark/>
          </w:tcPr>
          <w:p w14:paraId="347C8BB9" w14:textId="77777777" w:rsidR="0081709C" w:rsidRPr="0081709C" w:rsidRDefault="0081709C" w:rsidP="0081709C">
            <w:pPr>
              <w:spacing w:after="0" w:line="240" w:lineRule="auto"/>
              <w:rPr>
                <w:rFonts w:ascii="Times New Roman" w:eastAsia="Times New Roman" w:hAnsi="Times New Roman" w:cs="Times New Roman"/>
                <w:kern w:val="0"/>
                <w:sz w:val="20"/>
                <w:szCs w:val="20"/>
                <w14:ligatures w14:val="none"/>
              </w:rPr>
            </w:pPr>
          </w:p>
        </w:tc>
      </w:tr>
      <w:tr w:rsidR="0081709C" w:rsidRPr="0081709C" w14:paraId="34FBC0D8" w14:textId="77777777" w:rsidTr="0081709C">
        <w:trPr>
          <w:trHeight w:val="405"/>
        </w:trPr>
        <w:tc>
          <w:tcPr>
            <w:tcW w:w="1020" w:type="dxa"/>
            <w:tcBorders>
              <w:top w:val="nil"/>
              <w:left w:val="nil"/>
              <w:bottom w:val="nil"/>
              <w:right w:val="nil"/>
            </w:tcBorders>
            <w:vAlign w:val="center"/>
            <w:hideMark/>
          </w:tcPr>
          <w:p w14:paraId="5890CFDD" w14:textId="77777777" w:rsidR="0081709C" w:rsidRPr="0081709C" w:rsidRDefault="0081709C" w:rsidP="0081709C">
            <w:pPr>
              <w:spacing w:after="0" w:line="240" w:lineRule="auto"/>
              <w:rPr>
                <w:rFonts w:ascii="Arial" w:eastAsia="Times New Roman" w:hAnsi="Arial" w:cs="Arial"/>
                <w:b/>
                <w:bCs/>
                <w:i/>
                <w:iCs/>
                <w:color w:val="000000"/>
                <w:kern w:val="0"/>
                <w:sz w:val="16"/>
                <w:szCs w:val="16"/>
                <w14:ligatures w14:val="none"/>
              </w:rPr>
            </w:pPr>
            <w:r w:rsidRPr="0081709C">
              <w:rPr>
                <w:rFonts w:ascii="Arial" w:eastAsia="Times New Roman" w:hAnsi="Arial" w:cs="Arial"/>
                <w:b/>
                <w:bCs/>
                <w:i/>
                <w:iCs/>
                <w:color w:val="000000"/>
                <w:kern w:val="0"/>
                <w:sz w:val="16"/>
                <w:szCs w:val="16"/>
                <w14:ligatures w14:val="none"/>
              </w:rPr>
              <w:t>Control Countries</w:t>
            </w:r>
          </w:p>
        </w:tc>
        <w:tc>
          <w:tcPr>
            <w:tcW w:w="1107" w:type="dxa"/>
            <w:tcBorders>
              <w:top w:val="nil"/>
              <w:left w:val="nil"/>
              <w:bottom w:val="nil"/>
              <w:right w:val="nil"/>
            </w:tcBorders>
            <w:vAlign w:val="center"/>
            <w:hideMark/>
          </w:tcPr>
          <w:p w14:paraId="46832DF9" w14:textId="77777777" w:rsidR="0081709C" w:rsidRPr="0081709C" w:rsidRDefault="0081709C" w:rsidP="0081709C">
            <w:pPr>
              <w:spacing w:after="0" w:line="240" w:lineRule="auto"/>
              <w:rPr>
                <w:rFonts w:ascii="Arial" w:eastAsia="Times New Roman" w:hAnsi="Arial" w:cs="Arial"/>
                <w:b/>
                <w:bCs/>
                <w:i/>
                <w:iCs/>
                <w:color w:val="000000"/>
                <w:kern w:val="0"/>
                <w:sz w:val="16"/>
                <w:szCs w:val="16"/>
                <w14:ligatures w14:val="none"/>
              </w:rPr>
            </w:pPr>
          </w:p>
        </w:tc>
        <w:tc>
          <w:tcPr>
            <w:tcW w:w="1134" w:type="dxa"/>
            <w:tcBorders>
              <w:top w:val="nil"/>
              <w:left w:val="nil"/>
              <w:bottom w:val="nil"/>
              <w:right w:val="nil"/>
            </w:tcBorders>
            <w:vAlign w:val="center"/>
            <w:hideMark/>
          </w:tcPr>
          <w:p w14:paraId="31877762" w14:textId="77777777" w:rsidR="0081709C" w:rsidRPr="0081709C" w:rsidRDefault="0081709C" w:rsidP="0081709C">
            <w:pPr>
              <w:spacing w:after="0" w:line="240" w:lineRule="auto"/>
              <w:rPr>
                <w:rFonts w:ascii="Times New Roman" w:eastAsia="Times New Roman" w:hAnsi="Times New Roman" w:cs="Times New Roman"/>
                <w:kern w:val="0"/>
                <w:sz w:val="20"/>
                <w:szCs w:val="20"/>
                <w14:ligatures w14:val="none"/>
              </w:rPr>
            </w:pPr>
          </w:p>
        </w:tc>
      </w:tr>
      <w:tr w:rsidR="0081709C" w:rsidRPr="0081709C" w14:paraId="4E60C43D" w14:textId="77777777" w:rsidTr="0081709C">
        <w:trPr>
          <w:trHeight w:val="285"/>
        </w:trPr>
        <w:tc>
          <w:tcPr>
            <w:tcW w:w="1020" w:type="dxa"/>
            <w:tcBorders>
              <w:top w:val="nil"/>
              <w:left w:val="nil"/>
              <w:bottom w:val="nil"/>
              <w:right w:val="nil"/>
            </w:tcBorders>
            <w:vAlign w:val="center"/>
            <w:hideMark/>
          </w:tcPr>
          <w:p w14:paraId="3921FAEE" w14:textId="77777777" w:rsidR="0081709C" w:rsidRPr="0081709C" w:rsidRDefault="0081709C" w:rsidP="0081709C">
            <w:pPr>
              <w:spacing w:after="0" w:line="240" w:lineRule="auto"/>
              <w:rPr>
                <w:rFonts w:ascii="Arial" w:eastAsia="Times New Roman" w:hAnsi="Arial" w:cs="Arial"/>
                <w:color w:val="000000"/>
                <w:kern w:val="0"/>
                <w:sz w:val="16"/>
                <w:szCs w:val="16"/>
                <w14:ligatures w14:val="none"/>
              </w:rPr>
            </w:pPr>
            <w:r w:rsidRPr="0081709C">
              <w:rPr>
                <w:rFonts w:ascii="Arial" w:eastAsia="Times New Roman" w:hAnsi="Arial" w:cs="Arial"/>
                <w:color w:val="000000"/>
                <w:kern w:val="0"/>
                <w:sz w:val="16"/>
                <w:szCs w:val="16"/>
                <w14:ligatures w14:val="none"/>
              </w:rPr>
              <w:t>Burkina Faso</w:t>
            </w:r>
          </w:p>
        </w:tc>
        <w:tc>
          <w:tcPr>
            <w:tcW w:w="1107" w:type="dxa"/>
            <w:tcBorders>
              <w:top w:val="nil"/>
              <w:left w:val="nil"/>
              <w:bottom w:val="nil"/>
              <w:right w:val="nil"/>
            </w:tcBorders>
            <w:vAlign w:val="center"/>
            <w:hideMark/>
          </w:tcPr>
          <w:p w14:paraId="67A45BD8" w14:textId="77777777" w:rsidR="0081709C" w:rsidRPr="0081709C" w:rsidRDefault="0081709C" w:rsidP="0081709C">
            <w:pPr>
              <w:spacing w:after="0" w:line="240" w:lineRule="auto"/>
              <w:jc w:val="right"/>
              <w:rPr>
                <w:rFonts w:ascii="Arial" w:eastAsia="Times New Roman" w:hAnsi="Arial" w:cs="Arial"/>
                <w:color w:val="000000"/>
                <w:kern w:val="0"/>
                <w:sz w:val="16"/>
                <w:szCs w:val="16"/>
                <w14:ligatures w14:val="none"/>
              </w:rPr>
            </w:pPr>
            <w:r w:rsidRPr="0081709C">
              <w:rPr>
                <w:rFonts w:ascii="Arial" w:eastAsia="Times New Roman" w:hAnsi="Arial" w:cs="Arial"/>
                <w:color w:val="000000"/>
                <w:kern w:val="0"/>
                <w:sz w:val="16"/>
                <w:szCs w:val="16"/>
                <w14:ligatures w14:val="none"/>
              </w:rPr>
              <w:t>15%</w:t>
            </w:r>
          </w:p>
        </w:tc>
        <w:tc>
          <w:tcPr>
            <w:tcW w:w="1134" w:type="dxa"/>
            <w:tcBorders>
              <w:top w:val="nil"/>
              <w:left w:val="nil"/>
              <w:bottom w:val="nil"/>
              <w:right w:val="nil"/>
            </w:tcBorders>
            <w:vAlign w:val="center"/>
            <w:hideMark/>
          </w:tcPr>
          <w:p w14:paraId="27645014" w14:textId="77777777" w:rsidR="0081709C" w:rsidRPr="0081709C" w:rsidRDefault="0081709C" w:rsidP="0081709C">
            <w:pPr>
              <w:spacing w:after="0" w:line="240" w:lineRule="auto"/>
              <w:jc w:val="right"/>
              <w:rPr>
                <w:rFonts w:ascii="Arial" w:eastAsia="Times New Roman" w:hAnsi="Arial" w:cs="Arial"/>
                <w:color w:val="000000"/>
                <w:kern w:val="0"/>
                <w:sz w:val="16"/>
                <w:szCs w:val="16"/>
                <w14:ligatures w14:val="none"/>
              </w:rPr>
            </w:pPr>
          </w:p>
        </w:tc>
      </w:tr>
      <w:tr w:rsidR="0081709C" w:rsidRPr="0081709C" w14:paraId="17017125" w14:textId="77777777" w:rsidTr="0081709C">
        <w:trPr>
          <w:trHeight w:val="285"/>
        </w:trPr>
        <w:tc>
          <w:tcPr>
            <w:tcW w:w="1020" w:type="dxa"/>
            <w:tcBorders>
              <w:top w:val="nil"/>
              <w:left w:val="nil"/>
              <w:bottom w:val="nil"/>
              <w:right w:val="nil"/>
            </w:tcBorders>
            <w:vAlign w:val="center"/>
            <w:hideMark/>
          </w:tcPr>
          <w:p w14:paraId="7155421B" w14:textId="77777777" w:rsidR="0081709C" w:rsidRPr="0081709C" w:rsidRDefault="0081709C" w:rsidP="0081709C">
            <w:pPr>
              <w:spacing w:after="0" w:line="240" w:lineRule="auto"/>
              <w:rPr>
                <w:rFonts w:ascii="Arial" w:eastAsia="Times New Roman" w:hAnsi="Arial" w:cs="Arial"/>
                <w:color w:val="000000"/>
                <w:kern w:val="0"/>
                <w:sz w:val="16"/>
                <w:szCs w:val="16"/>
                <w14:ligatures w14:val="none"/>
              </w:rPr>
            </w:pPr>
            <w:r w:rsidRPr="0081709C">
              <w:rPr>
                <w:rFonts w:ascii="Arial" w:eastAsia="Times New Roman" w:hAnsi="Arial" w:cs="Arial"/>
                <w:color w:val="000000"/>
                <w:kern w:val="0"/>
                <w:sz w:val="16"/>
                <w:szCs w:val="16"/>
                <w14:ligatures w14:val="none"/>
              </w:rPr>
              <w:t>DRC</w:t>
            </w:r>
          </w:p>
        </w:tc>
        <w:tc>
          <w:tcPr>
            <w:tcW w:w="1107" w:type="dxa"/>
            <w:tcBorders>
              <w:top w:val="nil"/>
              <w:left w:val="nil"/>
              <w:bottom w:val="nil"/>
              <w:right w:val="nil"/>
            </w:tcBorders>
            <w:vAlign w:val="center"/>
            <w:hideMark/>
          </w:tcPr>
          <w:p w14:paraId="6ED5FFDD" w14:textId="77777777" w:rsidR="0081709C" w:rsidRPr="0081709C" w:rsidRDefault="0081709C" w:rsidP="0081709C">
            <w:pPr>
              <w:spacing w:after="0" w:line="240" w:lineRule="auto"/>
              <w:jc w:val="right"/>
              <w:rPr>
                <w:rFonts w:ascii="Arial" w:eastAsia="Times New Roman" w:hAnsi="Arial" w:cs="Arial"/>
                <w:color w:val="000000"/>
                <w:kern w:val="0"/>
                <w:sz w:val="16"/>
                <w:szCs w:val="16"/>
                <w14:ligatures w14:val="none"/>
              </w:rPr>
            </w:pPr>
            <w:r w:rsidRPr="0081709C">
              <w:rPr>
                <w:rFonts w:ascii="Arial" w:eastAsia="Times New Roman" w:hAnsi="Arial" w:cs="Arial"/>
                <w:color w:val="000000"/>
                <w:kern w:val="0"/>
                <w:sz w:val="16"/>
                <w:szCs w:val="16"/>
                <w14:ligatures w14:val="none"/>
              </w:rPr>
              <w:t>83%</w:t>
            </w:r>
          </w:p>
        </w:tc>
        <w:tc>
          <w:tcPr>
            <w:tcW w:w="1134" w:type="dxa"/>
            <w:tcBorders>
              <w:top w:val="nil"/>
              <w:left w:val="nil"/>
              <w:bottom w:val="nil"/>
              <w:right w:val="nil"/>
            </w:tcBorders>
            <w:vAlign w:val="center"/>
            <w:hideMark/>
          </w:tcPr>
          <w:p w14:paraId="22C5BD72" w14:textId="77777777" w:rsidR="0081709C" w:rsidRPr="0081709C" w:rsidRDefault="0081709C" w:rsidP="0081709C">
            <w:pPr>
              <w:spacing w:after="0" w:line="240" w:lineRule="auto"/>
              <w:jc w:val="right"/>
              <w:rPr>
                <w:rFonts w:ascii="Arial" w:eastAsia="Times New Roman" w:hAnsi="Arial" w:cs="Arial"/>
                <w:color w:val="000000"/>
                <w:kern w:val="0"/>
                <w:sz w:val="16"/>
                <w:szCs w:val="16"/>
                <w14:ligatures w14:val="none"/>
              </w:rPr>
            </w:pPr>
          </w:p>
        </w:tc>
      </w:tr>
      <w:tr w:rsidR="0081709C" w:rsidRPr="0081709C" w14:paraId="498C9C26" w14:textId="77777777" w:rsidTr="0081709C">
        <w:trPr>
          <w:trHeight w:val="285"/>
        </w:trPr>
        <w:tc>
          <w:tcPr>
            <w:tcW w:w="1020" w:type="dxa"/>
            <w:tcBorders>
              <w:top w:val="nil"/>
              <w:left w:val="nil"/>
              <w:bottom w:val="nil"/>
              <w:right w:val="nil"/>
            </w:tcBorders>
            <w:vAlign w:val="center"/>
            <w:hideMark/>
          </w:tcPr>
          <w:p w14:paraId="2D5E4ACB" w14:textId="77777777" w:rsidR="0081709C" w:rsidRPr="0081709C" w:rsidRDefault="0081709C" w:rsidP="0081709C">
            <w:pPr>
              <w:spacing w:after="0" w:line="240" w:lineRule="auto"/>
              <w:rPr>
                <w:rFonts w:ascii="Arial" w:eastAsia="Times New Roman" w:hAnsi="Arial" w:cs="Arial"/>
                <w:color w:val="000000"/>
                <w:kern w:val="0"/>
                <w:sz w:val="16"/>
                <w:szCs w:val="16"/>
                <w14:ligatures w14:val="none"/>
              </w:rPr>
            </w:pPr>
            <w:r w:rsidRPr="0081709C">
              <w:rPr>
                <w:rFonts w:ascii="Arial" w:eastAsia="Times New Roman" w:hAnsi="Arial" w:cs="Arial"/>
                <w:color w:val="000000"/>
                <w:kern w:val="0"/>
                <w:sz w:val="16"/>
                <w:szCs w:val="16"/>
                <w14:ligatures w14:val="none"/>
              </w:rPr>
              <w:t>Lesotho</w:t>
            </w:r>
          </w:p>
        </w:tc>
        <w:tc>
          <w:tcPr>
            <w:tcW w:w="1107" w:type="dxa"/>
            <w:tcBorders>
              <w:top w:val="nil"/>
              <w:left w:val="nil"/>
              <w:bottom w:val="nil"/>
              <w:right w:val="nil"/>
            </w:tcBorders>
            <w:vAlign w:val="center"/>
            <w:hideMark/>
          </w:tcPr>
          <w:p w14:paraId="156829FC" w14:textId="77777777" w:rsidR="0081709C" w:rsidRPr="0081709C" w:rsidRDefault="0081709C" w:rsidP="0081709C">
            <w:pPr>
              <w:spacing w:after="0" w:line="240" w:lineRule="auto"/>
              <w:jc w:val="right"/>
              <w:rPr>
                <w:rFonts w:ascii="Arial" w:eastAsia="Times New Roman" w:hAnsi="Arial" w:cs="Arial"/>
                <w:color w:val="000000"/>
                <w:kern w:val="0"/>
                <w:sz w:val="16"/>
                <w:szCs w:val="16"/>
                <w14:ligatures w14:val="none"/>
              </w:rPr>
            </w:pPr>
            <w:r w:rsidRPr="0081709C">
              <w:rPr>
                <w:rFonts w:ascii="Arial" w:eastAsia="Times New Roman" w:hAnsi="Arial" w:cs="Arial"/>
                <w:color w:val="000000"/>
                <w:kern w:val="0"/>
                <w:sz w:val="16"/>
                <w:szCs w:val="16"/>
                <w14:ligatures w14:val="none"/>
              </w:rPr>
              <w:t>99%</w:t>
            </w:r>
          </w:p>
        </w:tc>
        <w:tc>
          <w:tcPr>
            <w:tcW w:w="1134" w:type="dxa"/>
            <w:tcBorders>
              <w:top w:val="nil"/>
              <w:left w:val="nil"/>
              <w:bottom w:val="nil"/>
              <w:right w:val="nil"/>
            </w:tcBorders>
            <w:vAlign w:val="center"/>
            <w:hideMark/>
          </w:tcPr>
          <w:p w14:paraId="581F7306" w14:textId="77777777" w:rsidR="0081709C" w:rsidRPr="0081709C" w:rsidRDefault="0081709C" w:rsidP="0081709C">
            <w:pPr>
              <w:spacing w:after="0" w:line="240" w:lineRule="auto"/>
              <w:jc w:val="right"/>
              <w:rPr>
                <w:rFonts w:ascii="Arial" w:eastAsia="Times New Roman" w:hAnsi="Arial" w:cs="Arial"/>
                <w:color w:val="000000"/>
                <w:kern w:val="0"/>
                <w:sz w:val="16"/>
                <w:szCs w:val="16"/>
                <w14:ligatures w14:val="none"/>
              </w:rPr>
            </w:pPr>
          </w:p>
        </w:tc>
      </w:tr>
      <w:tr w:rsidR="0081709C" w:rsidRPr="0081709C" w14:paraId="5EAECAD6" w14:textId="77777777" w:rsidTr="0081709C">
        <w:trPr>
          <w:trHeight w:val="285"/>
        </w:trPr>
        <w:tc>
          <w:tcPr>
            <w:tcW w:w="1020" w:type="dxa"/>
            <w:tcBorders>
              <w:top w:val="nil"/>
              <w:left w:val="nil"/>
              <w:bottom w:val="nil"/>
              <w:right w:val="nil"/>
            </w:tcBorders>
            <w:vAlign w:val="center"/>
            <w:hideMark/>
          </w:tcPr>
          <w:p w14:paraId="324F3805" w14:textId="77777777" w:rsidR="0081709C" w:rsidRPr="0081709C" w:rsidRDefault="0081709C" w:rsidP="0081709C">
            <w:pPr>
              <w:spacing w:after="0" w:line="240" w:lineRule="auto"/>
              <w:rPr>
                <w:rFonts w:ascii="Arial" w:eastAsia="Times New Roman" w:hAnsi="Arial" w:cs="Arial"/>
                <w:color w:val="000000"/>
                <w:kern w:val="0"/>
                <w:sz w:val="16"/>
                <w:szCs w:val="16"/>
                <w14:ligatures w14:val="none"/>
              </w:rPr>
            </w:pPr>
            <w:r w:rsidRPr="0081709C">
              <w:rPr>
                <w:rFonts w:ascii="Arial" w:eastAsia="Times New Roman" w:hAnsi="Arial" w:cs="Arial"/>
                <w:color w:val="000000"/>
                <w:kern w:val="0"/>
                <w:sz w:val="16"/>
                <w:szCs w:val="16"/>
                <w14:ligatures w14:val="none"/>
              </w:rPr>
              <w:t>Liberia</w:t>
            </w:r>
          </w:p>
        </w:tc>
        <w:tc>
          <w:tcPr>
            <w:tcW w:w="1107" w:type="dxa"/>
            <w:tcBorders>
              <w:top w:val="nil"/>
              <w:left w:val="nil"/>
              <w:bottom w:val="nil"/>
              <w:right w:val="nil"/>
            </w:tcBorders>
            <w:vAlign w:val="center"/>
            <w:hideMark/>
          </w:tcPr>
          <w:p w14:paraId="2424E5F8" w14:textId="77777777" w:rsidR="0081709C" w:rsidRPr="0081709C" w:rsidRDefault="0081709C" w:rsidP="0081709C">
            <w:pPr>
              <w:spacing w:after="0" w:line="240" w:lineRule="auto"/>
              <w:jc w:val="right"/>
              <w:rPr>
                <w:rFonts w:ascii="Arial" w:eastAsia="Times New Roman" w:hAnsi="Arial" w:cs="Arial"/>
                <w:color w:val="000000"/>
                <w:kern w:val="0"/>
                <w:sz w:val="16"/>
                <w:szCs w:val="16"/>
                <w14:ligatures w14:val="none"/>
              </w:rPr>
            </w:pPr>
            <w:r w:rsidRPr="0081709C">
              <w:rPr>
                <w:rFonts w:ascii="Arial" w:eastAsia="Times New Roman" w:hAnsi="Arial" w:cs="Arial"/>
                <w:color w:val="000000"/>
                <w:kern w:val="0"/>
                <w:sz w:val="16"/>
                <w:szCs w:val="16"/>
                <w14:ligatures w14:val="none"/>
              </w:rPr>
              <w:t>61%</w:t>
            </w:r>
          </w:p>
        </w:tc>
        <w:tc>
          <w:tcPr>
            <w:tcW w:w="1134" w:type="dxa"/>
            <w:tcBorders>
              <w:top w:val="nil"/>
              <w:left w:val="nil"/>
              <w:bottom w:val="nil"/>
              <w:right w:val="nil"/>
            </w:tcBorders>
            <w:vAlign w:val="center"/>
            <w:hideMark/>
          </w:tcPr>
          <w:p w14:paraId="36971FE1" w14:textId="77777777" w:rsidR="0081709C" w:rsidRPr="0081709C" w:rsidRDefault="0081709C" w:rsidP="0081709C">
            <w:pPr>
              <w:spacing w:after="0" w:line="240" w:lineRule="auto"/>
              <w:jc w:val="right"/>
              <w:rPr>
                <w:rFonts w:ascii="Arial" w:eastAsia="Times New Roman" w:hAnsi="Arial" w:cs="Arial"/>
                <w:color w:val="000000"/>
                <w:kern w:val="0"/>
                <w:sz w:val="16"/>
                <w:szCs w:val="16"/>
                <w14:ligatures w14:val="none"/>
              </w:rPr>
            </w:pPr>
          </w:p>
        </w:tc>
      </w:tr>
      <w:tr w:rsidR="0081709C" w:rsidRPr="0081709C" w14:paraId="236CE96E" w14:textId="77777777" w:rsidTr="0081709C">
        <w:trPr>
          <w:trHeight w:val="285"/>
        </w:trPr>
        <w:tc>
          <w:tcPr>
            <w:tcW w:w="1020" w:type="dxa"/>
            <w:tcBorders>
              <w:top w:val="nil"/>
              <w:left w:val="nil"/>
              <w:bottom w:val="single" w:sz="4" w:space="0" w:color="auto"/>
              <w:right w:val="nil"/>
            </w:tcBorders>
            <w:vAlign w:val="center"/>
            <w:hideMark/>
          </w:tcPr>
          <w:p w14:paraId="72A8543F" w14:textId="77777777" w:rsidR="0081709C" w:rsidRPr="0081709C" w:rsidRDefault="0081709C" w:rsidP="0081709C">
            <w:pPr>
              <w:spacing w:after="0" w:line="240" w:lineRule="auto"/>
              <w:rPr>
                <w:rFonts w:ascii="Arial" w:eastAsia="Times New Roman" w:hAnsi="Arial" w:cs="Arial"/>
                <w:color w:val="000000"/>
                <w:kern w:val="0"/>
                <w:sz w:val="16"/>
                <w:szCs w:val="16"/>
                <w14:ligatures w14:val="none"/>
              </w:rPr>
            </w:pPr>
            <w:r w:rsidRPr="0081709C">
              <w:rPr>
                <w:rFonts w:ascii="Arial" w:eastAsia="Times New Roman" w:hAnsi="Arial" w:cs="Arial"/>
                <w:color w:val="000000"/>
                <w:kern w:val="0"/>
                <w:sz w:val="16"/>
                <w:szCs w:val="16"/>
                <w14:ligatures w14:val="none"/>
              </w:rPr>
              <w:t>Zimbabwe</w:t>
            </w:r>
          </w:p>
        </w:tc>
        <w:tc>
          <w:tcPr>
            <w:tcW w:w="1107" w:type="dxa"/>
            <w:tcBorders>
              <w:top w:val="nil"/>
              <w:left w:val="nil"/>
              <w:bottom w:val="single" w:sz="4" w:space="0" w:color="auto"/>
              <w:right w:val="nil"/>
            </w:tcBorders>
            <w:vAlign w:val="center"/>
            <w:hideMark/>
          </w:tcPr>
          <w:p w14:paraId="3EB4F34B" w14:textId="77777777" w:rsidR="0081709C" w:rsidRPr="0081709C" w:rsidRDefault="0081709C" w:rsidP="0081709C">
            <w:pPr>
              <w:spacing w:after="0" w:line="240" w:lineRule="auto"/>
              <w:jc w:val="right"/>
              <w:rPr>
                <w:rFonts w:ascii="Arial" w:eastAsia="Times New Roman" w:hAnsi="Arial" w:cs="Arial"/>
                <w:color w:val="000000"/>
                <w:kern w:val="0"/>
                <w:sz w:val="16"/>
                <w:szCs w:val="16"/>
                <w14:ligatures w14:val="none"/>
              </w:rPr>
            </w:pPr>
            <w:r w:rsidRPr="0081709C">
              <w:rPr>
                <w:rFonts w:ascii="Arial" w:eastAsia="Times New Roman" w:hAnsi="Arial" w:cs="Arial"/>
                <w:color w:val="000000"/>
                <w:kern w:val="0"/>
                <w:sz w:val="16"/>
                <w:szCs w:val="16"/>
                <w14:ligatures w14:val="none"/>
              </w:rPr>
              <w:t>99%</w:t>
            </w:r>
          </w:p>
        </w:tc>
        <w:tc>
          <w:tcPr>
            <w:tcW w:w="1134" w:type="dxa"/>
            <w:tcBorders>
              <w:top w:val="nil"/>
              <w:left w:val="nil"/>
              <w:bottom w:val="single" w:sz="4" w:space="0" w:color="auto"/>
              <w:right w:val="nil"/>
            </w:tcBorders>
            <w:vAlign w:val="center"/>
            <w:hideMark/>
          </w:tcPr>
          <w:p w14:paraId="3EE64835" w14:textId="77777777" w:rsidR="0081709C" w:rsidRPr="0081709C" w:rsidRDefault="0081709C" w:rsidP="0081709C">
            <w:pPr>
              <w:spacing w:after="0" w:line="240" w:lineRule="auto"/>
              <w:rPr>
                <w:rFonts w:ascii="Arial" w:eastAsia="Times New Roman" w:hAnsi="Arial" w:cs="Arial"/>
                <w:color w:val="000000"/>
                <w:kern w:val="0"/>
                <w:sz w:val="16"/>
                <w:szCs w:val="16"/>
                <w14:ligatures w14:val="none"/>
              </w:rPr>
            </w:pPr>
            <w:r w:rsidRPr="0081709C">
              <w:rPr>
                <w:rFonts w:ascii="Arial" w:eastAsia="Times New Roman" w:hAnsi="Arial" w:cs="Arial"/>
                <w:color w:val="000000"/>
                <w:kern w:val="0"/>
                <w:sz w:val="16"/>
                <w:szCs w:val="16"/>
                <w14:ligatures w14:val="none"/>
              </w:rPr>
              <w:t> </w:t>
            </w:r>
          </w:p>
        </w:tc>
      </w:tr>
    </w:tbl>
    <w:p w14:paraId="6BC502E3" w14:textId="673EB384" w:rsidR="00F44ADD" w:rsidRDefault="00F44ADD">
      <w:r>
        <w:br w:type="page"/>
      </w:r>
    </w:p>
    <w:p w14:paraId="10A38570" w14:textId="4AA7BE32" w:rsidR="00C20211" w:rsidRDefault="00C20211"/>
    <w:p w14:paraId="4EA9A08F" w14:textId="37B58DFB" w:rsidR="00C20211" w:rsidRDefault="00B10C28" w:rsidP="00C20211">
      <w:pPr>
        <w:jc w:val="both"/>
      </w:pPr>
      <w:r>
        <w:rPr>
          <w:noProof/>
        </w:rPr>
        <w:drawing>
          <wp:inline distT="0" distB="0" distL="0" distR="0" wp14:anchorId="0AAC74AE" wp14:editId="2CAB9279">
            <wp:extent cx="5943600" cy="4754880"/>
            <wp:effectExtent l="0" t="0" r="0" b="7620"/>
            <wp:docPr id="873552414" name="Picture 7" descr="A map of africa with black and whit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552414" name="Picture 7" descr="A map of africa with black and white lines&#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4754880"/>
                    </a:xfrm>
                    <a:prstGeom prst="rect">
                      <a:avLst/>
                    </a:prstGeom>
                    <a:noFill/>
                    <a:ln>
                      <a:noFill/>
                    </a:ln>
                  </pic:spPr>
                </pic:pic>
              </a:graphicData>
            </a:graphic>
          </wp:inline>
        </w:drawing>
      </w:r>
    </w:p>
    <w:p w14:paraId="004627A3" w14:textId="1D9B71E3" w:rsidR="000E45BF" w:rsidRDefault="000E45BF" w:rsidP="000E45BF">
      <w:r>
        <w:t>Figure S</w:t>
      </w:r>
      <w:r w:rsidR="00D8677E">
        <w:t>1</w:t>
      </w:r>
      <w:r>
        <w:t>. Location of primary sampling units (PSUs).</w:t>
      </w:r>
    </w:p>
    <w:p w14:paraId="33D2F38C" w14:textId="77777777" w:rsidR="008B6340" w:rsidRDefault="008B6340"/>
    <w:p w14:paraId="04C74C28" w14:textId="6FD82020" w:rsidR="008B6340" w:rsidRDefault="00F13188">
      <w:r>
        <w:rPr>
          <w:noProof/>
        </w:rPr>
        <w:lastRenderedPageBreak/>
        <w:drawing>
          <wp:inline distT="0" distB="0" distL="0" distR="0" wp14:anchorId="47A2E60E" wp14:editId="77996FD7">
            <wp:extent cx="5943600" cy="5943600"/>
            <wp:effectExtent l="0" t="0" r="0" b="0"/>
            <wp:docPr id="527468940" name="Picture 6" descr="A screenshot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468940" name="Picture 6" descr="A screenshot of a map&#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6BF4CFFA" w14:textId="3A1CCB1D" w:rsidR="000C10FF" w:rsidRDefault="008B6340">
      <w:r>
        <w:t>Figure S</w:t>
      </w:r>
      <w:r w:rsidR="00D8677E">
        <w:t>2</w:t>
      </w:r>
      <w:r>
        <w:t xml:space="preserve">. </w:t>
      </w:r>
      <w:r w:rsidR="00DF79E2">
        <w:t>Number of c</w:t>
      </w:r>
      <w:r w:rsidRPr="008B6340">
        <w:t>limate</w:t>
      </w:r>
      <w:r w:rsidR="00DF79E2">
        <w:t>-related</w:t>
      </w:r>
      <w:r w:rsidRPr="008B6340">
        <w:t xml:space="preserve"> </w:t>
      </w:r>
      <w:r>
        <w:t>d</w:t>
      </w:r>
      <w:r w:rsidRPr="008B6340">
        <w:t xml:space="preserve">isasters by </w:t>
      </w:r>
      <w:r>
        <w:t>t</w:t>
      </w:r>
      <w:r w:rsidRPr="008B6340">
        <w:t xml:space="preserve">ype and </w:t>
      </w:r>
      <w:r w:rsidR="00DF79E2">
        <w:t>administrative level 2 area, 199</w:t>
      </w:r>
      <w:r w:rsidR="00356789">
        <w:t>3</w:t>
      </w:r>
      <w:r w:rsidR="00DF79E2">
        <w:t>-2018</w:t>
      </w:r>
      <w:r>
        <w:t xml:space="preserve">. </w:t>
      </w:r>
    </w:p>
    <w:p w14:paraId="695EADC9" w14:textId="77777777" w:rsidR="000C10FF" w:rsidRDefault="000C10FF">
      <w:r>
        <w:br w:type="page"/>
      </w:r>
    </w:p>
    <w:p w14:paraId="22C3460A" w14:textId="639C3F05" w:rsidR="006B4B38" w:rsidRDefault="009E0FF5" w:rsidP="002F703D">
      <w:pPr>
        <w:rPr>
          <w:rFonts w:asciiTheme="majorHAnsi" w:eastAsiaTheme="majorEastAsia" w:hAnsiTheme="majorHAnsi" w:cstheme="majorBidi"/>
          <w:color w:val="0F4761" w:themeColor="accent1" w:themeShade="BF"/>
          <w:sz w:val="32"/>
          <w:szCs w:val="32"/>
        </w:rPr>
      </w:pPr>
      <w:r w:rsidRPr="009E0FF5">
        <w:rPr>
          <w:rFonts w:asciiTheme="majorHAnsi" w:eastAsiaTheme="majorEastAsia" w:hAnsiTheme="majorHAnsi" w:cstheme="majorBidi"/>
          <w:color w:val="0F4761" w:themeColor="accent1" w:themeShade="BF"/>
          <w:sz w:val="32"/>
          <w:szCs w:val="32"/>
        </w:rPr>
        <w:lastRenderedPageBreak/>
        <w:t xml:space="preserve">Estimation of </w:t>
      </w:r>
      <w:r w:rsidR="006B4B38">
        <w:rPr>
          <w:rFonts w:asciiTheme="majorHAnsi" w:eastAsiaTheme="majorEastAsia" w:hAnsiTheme="majorHAnsi" w:cstheme="majorBidi"/>
          <w:color w:val="0F4761" w:themeColor="accent1" w:themeShade="BF"/>
          <w:sz w:val="32"/>
          <w:szCs w:val="32"/>
        </w:rPr>
        <w:t xml:space="preserve">Baseline and </w:t>
      </w:r>
      <w:r w:rsidRPr="009E0FF5">
        <w:rPr>
          <w:rFonts w:asciiTheme="majorHAnsi" w:eastAsiaTheme="majorEastAsia" w:hAnsiTheme="majorHAnsi" w:cstheme="majorBidi"/>
          <w:color w:val="0F4761" w:themeColor="accent1" w:themeShade="BF"/>
          <w:sz w:val="32"/>
          <w:szCs w:val="32"/>
        </w:rPr>
        <w:t>Predicted Probabilities of Wasting</w:t>
      </w:r>
    </w:p>
    <w:p w14:paraId="625BFCAA" w14:textId="513FCD6D" w:rsidR="002F703D" w:rsidRPr="00AD2961" w:rsidRDefault="002F703D" w:rsidP="002F703D">
      <w:pPr>
        <w:rPr>
          <w:rFonts w:cs="Arial"/>
        </w:rPr>
      </w:pPr>
      <w:r w:rsidRPr="00AD2961">
        <w:rPr>
          <w:rFonts w:cs="Arial"/>
        </w:rPr>
        <w:t>To estimate the impact of disaster exposure on the probability of child wasting under different education-policy scenarios, we used a two-step procedure grounded in G-computation and meta-analytic risk ratios. All computations were conducted using the treated countries (Ethiopia, Kenya, Mali, Senegal, Tanzania, and Uganda), consistent with the quasi-experimental design described in the main manuscript. The code implementing these procedures is available in the project repository (</w:t>
      </w:r>
      <w:hyperlink r:id="rId8" w:history="1">
        <w:r w:rsidRPr="00AD2961">
          <w:rPr>
            <w:rStyle w:val="Hyperlink"/>
            <w:rFonts w:cs="Arial"/>
          </w:rPr>
          <w:t>https://github.com/benmarhnia-lab/EduReforms_DisasterNutrition</w:t>
        </w:r>
      </w:hyperlink>
      <w:r w:rsidRPr="00AD2961">
        <w:rPr>
          <w:rFonts w:cs="Arial"/>
        </w:rPr>
        <w:t>).</w:t>
      </w:r>
    </w:p>
    <w:p w14:paraId="72CD4AE0" w14:textId="0B7466E6" w:rsidR="002F703D" w:rsidRPr="00AD2961" w:rsidRDefault="002F703D" w:rsidP="00D35790">
      <w:pPr>
        <w:pStyle w:val="ListParagraph"/>
        <w:numPr>
          <w:ilvl w:val="0"/>
          <w:numId w:val="7"/>
        </w:numPr>
        <w:rPr>
          <w:rFonts w:cs="Arial"/>
          <w:b/>
          <w:bCs/>
        </w:rPr>
      </w:pPr>
      <w:r w:rsidRPr="00AD2961">
        <w:rPr>
          <w:rFonts w:cs="Arial"/>
          <w:b/>
          <w:bCs/>
        </w:rPr>
        <w:t xml:space="preserve">Baseline </w:t>
      </w:r>
      <w:r w:rsidR="00D35790" w:rsidRPr="00AD2961">
        <w:rPr>
          <w:rFonts w:cs="Arial"/>
          <w:b/>
          <w:bCs/>
        </w:rPr>
        <w:t>p</w:t>
      </w:r>
      <w:r w:rsidRPr="00AD2961">
        <w:rPr>
          <w:rFonts w:cs="Arial"/>
          <w:b/>
          <w:bCs/>
        </w:rPr>
        <w:t xml:space="preserve">robability of </w:t>
      </w:r>
      <w:r w:rsidR="00D35790" w:rsidRPr="00AD2961">
        <w:rPr>
          <w:rFonts w:cs="Arial"/>
          <w:b/>
          <w:bCs/>
        </w:rPr>
        <w:t>w</w:t>
      </w:r>
      <w:r w:rsidRPr="00AD2961">
        <w:rPr>
          <w:rFonts w:cs="Arial"/>
          <w:b/>
          <w:bCs/>
        </w:rPr>
        <w:t xml:space="preserve">asting via </w:t>
      </w:r>
      <w:r w:rsidR="00D35790" w:rsidRPr="00AD2961">
        <w:rPr>
          <w:rFonts w:cs="Arial"/>
          <w:b/>
          <w:bCs/>
        </w:rPr>
        <w:t>g</w:t>
      </w:r>
      <w:r w:rsidRPr="00AD2961">
        <w:rPr>
          <w:rFonts w:cs="Arial"/>
          <w:b/>
          <w:bCs/>
        </w:rPr>
        <w:t>-</w:t>
      </w:r>
      <w:r w:rsidR="00D35790" w:rsidRPr="00AD2961">
        <w:rPr>
          <w:rFonts w:cs="Arial"/>
          <w:b/>
          <w:bCs/>
        </w:rPr>
        <w:t>c</w:t>
      </w:r>
      <w:r w:rsidRPr="00AD2961">
        <w:rPr>
          <w:rFonts w:cs="Arial"/>
          <w:b/>
          <w:bCs/>
        </w:rPr>
        <w:t>omputation</w:t>
      </w:r>
    </w:p>
    <w:p w14:paraId="3595EACB" w14:textId="0024FFD8" w:rsidR="00AD2961" w:rsidRPr="00AD2961" w:rsidRDefault="00AD2961" w:rsidP="002F703D">
      <w:pPr>
        <w:rPr>
          <w:rFonts w:cs="Arial"/>
        </w:rPr>
      </w:pPr>
      <w:r w:rsidRPr="00AD2961">
        <w:rPr>
          <w:rFonts w:cs="Arial"/>
        </w:rPr>
        <w:t>G-computation is well suited to this quasi-experimental setting because it allows us to estimate population-level counterfactual risks under clearly defined exposure scenarios. By setting disaster exposure and education-reform status to fixed values for all individuals while retaining their observed covariates, G-computation provides predicted probabilities that align directly with the identification strategy of the staggered reform design. This approach avoids extrapolation, preserves the empirical distribution of confounders, and yields interpretable absolute risk estimates that complement the pooled relative risks from the meta-regression.</w:t>
      </w:r>
    </w:p>
    <w:p w14:paraId="6701AF11" w14:textId="74D8A098" w:rsidR="002F703D" w:rsidRPr="00AD2961" w:rsidRDefault="002F703D" w:rsidP="002F703D">
      <w:pPr>
        <w:rPr>
          <w:rFonts w:cs="Arial"/>
          <w:b/>
          <w:bCs/>
        </w:rPr>
      </w:pPr>
      <w:r w:rsidRPr="00AD2961">
        <w:rPr>
          <w:rFonts w:cs="Arial"/>
          <w:b/>
          <w:bCs/>
        </w:rPr>
        <w:t>Step 1: Constructing a counterfactual dataset</w:t>
      </w:r>
    </w:p>
    <w:p w14:paraId="4088E495" w14:textId="77777777" w:rsidR="002F703D" w:rsidRPr="00AD2961" w:rsidRDefault="002F703D" w:rsidP="002F703D">
      <w:pPr>
        <w:rPr>
          <w:rFonts w:cs="Arial"/>
        </w:rPr>
      </w:pPr>
      <w:r w:rsidRPr="00AD2961">
        <w:rPr>
          <w:rFonts w:cs="Arial"/>
        </w:rPr>
        <w:t>Following standard G-computation, we generated a counterfactual dataset in which all observations were set to “no disaster exposure”, while preserving the observed covariate structure:</w:t>
      </w:r>
    </w:p>
    <w:p w14:paraId="5EB60231" w14:textId="77777777" w:rsidR="002F703D" w:rsidRPr="00AD2961" w:rsidRDefault="002F703D" w:rsidP="002F703D">
      <w:pPr>
        <w:numPr>
          <w:ilvl w:val="0"/>
          <w:numId w:val="4"/>
        </w:numPr>
        <w:rPr>
          <w:rFonts w:cs="Arial"/>
        </w:rPr>
      </w:pPr>
      <w:r w:rsidRPr="00AD2961">
        <w:rPr>
          <w:rFonts w:cs="Arial"/>
        </w:rPr>
        <w:t xml:space="preserve">For the </w:t>
      </w:r>
      <w:r w:rsidRPr="00AD2961">
        <w:rPr>
          <w:rFonts w:cs="Arial"/>
          <w:i/>
          <w:iCs/>
        </w:rPr>
        <w:t>no reform</w:t>
      </w:r>
      <w:r w:rsidRPr="00AD2961">
        <w:rPr>
          <w:rFonts w:cs="Arial"/>
        </w:rPr>
        <w:t xml:space="preserve"> scenario,</w:t>
      </w:r>
    </w:p>
    <w:p w14:paraId="077EF862" w14:textId="30A67AA7" w:rsidR="002F703D" w:rsidRPr="00AD2961" w:rsidRDefault="00000000" w:rsidP="002F703D">
      <w:pPr>
        <w:rPr>
          <w:rFonts w:cs="Arial"/>
        </w:rPr>
      </w:pPr>
      <m:oMathPara>
        <m:oMath>
          <m:sSub>
            <m:sSubPr>
              <m:ctrlPr>
                <w:rPr>
                  <w:rFonts w:ascii="Cambria Math" w:hAnsi="Cambria Math" w:cs="Arial"/>
                </w:rPr>
              </m:ctrlPr>
            </m:sSubPr>
            <m:e>
              <m:r>
                <m:rPr>
                  <m:nor/>
                </m:rPr>
                <w:rPr>
                  <w:rFonts w:cs="Arial"/>
                </w:rPr>
                <m:t>disaster</m:t>
              </m:r>
            </m:e>
            <m:sub>
              <m:r>
                <w:rPr>
                  <w:rFonts w:ascii="Cambria Math" w:hAnsi="Cambria Math" w:cs="Arial"/>
                </w:rPr>
                <m:t>i</m:t>
              </m:r>
            </m:sub>
          </m:sSub>
          <m:r>
            <w:rPr>
              <w:rFonts w:ascii="Cambria Math" w:hAnsi="Cambria Math" w:cs="Arial"/>
            </w:rPr>
            <m:t>=0,</m:t>
          </m:r>
          <m:sSub>
            <m:sSubPr>
              <m:ctrlPr>
                <w:rPr>
                  <w:rFonts w:ascii="Cambria Math" w:hAnsi="Cambria Math" w:cs="Arial"/>
                </w:rPr>
              </m:ctrlPr>
            </m:sSubPr>
            <m:e>
              <m:r>
                <m:rPr>
                  <m:nor/>
                </m:rPr>
                <w:rPr>
                  <w:rFonts w:cs="Arial"/>
                </w:rPr>
                <m:t>reform</m:t>
              </m:r>
            </m:e>
            <m:sub>
              <m:r>
                <w:rPr>
                  <w:rFonts w:ascii="Cambria Math" w:hAnsi="Cambria Math" w:cs="Arial"/>
                </w:rPr>
                <m:t>i</m:t>
              </m:r>
            </m:sub>
          </m:sSub>
          <m:r>
            <w:rPr>
              <w:rFonts w:ascii="Cambria Math" w:hAnsi="Cambria Math" w:cs="Arial"/>
            </w:rPr>
            <m:t>=0</m:t>
          </m:r>
        </m:oMath>
      </m:oMathPara>
    </w:p>
    <w:p w14:paraId="2D0B6E44" w14:textId="77777777" w:rsidR="002F703D" w:rsidRPr="00AD2961" w:rsidRDefault="002F703D" w:rsidP="002F703D">
      <w:pPr>
        <w:numPr>
          <w:ilvl w:val="0"/>
          <w:numId w:val="4"/>
        </w:numPr>
        <w:rPr>
          <w:rFonts w:cs="Arial"/>
        </w:rPr>
      </w:pPr>
      <w:r w:rsidRPr="00AD2961">
        <w:rPr>
          <w:rFonts w:cs="Arial"/>
        </w:rPr>
        <w:t xml:space="preserve">For the </w:t>
      </w:r>
      <w:r w:rsidRPr="00AD2961">
        <w:rPr>
          <w:rFonts w:cs="Arial"/>
          <w:i/>
          <w:iCs/>
        </w:rPr>
        <w:t>reform</w:t>
      </w:r>
      <w:r w:rsidRPr="00AD2961">
        <w:rPr>
          <w:rFonts w:cs="Arial"/>
        </w:rPr>
        <w:t xml:space="preserve"> scenario,</w:t>
      </w:r>
    </w:p>
    <w:p w14:paraId="2A91F60E" w14:textId="597AF19A" w:rsidR="002F703D" w:rsidRPr="00AD2961" w:rsidRDefault="00000000" w:rsidP="002F703D">
      <w:pPr>
        <w:rPr>
          <w:rFonts w:cs="Arial"/>
        </w:rPr>
      </w:pPr>
      <m:oMathPara>
        <m:oMath>
          <m:sSub>
            <m:sSubPr>
              <m:ctrlPr>
                <w:rPr>
                  <w:rFonts w:ascii="Cambria Math" w:hAnsi="Cambria Math" w:cs="Arial"/>
                </w:rPr>
              </m:ctrlPr>
            </m:sSubPr>
            <m:e>
              <m:r>
                <m:rPr>
                  <m:nor/>
                </m:rPr>
                <w:rPr>
                  <w:rFonts w:cs="Arial"/>
                </w:rPr>
                <m:t>disaster</m:t>
              </m:r>
            </m:e>
            <m:sub>
              <m:r>
                <w:rPr>
                  <w:rFonts w:ascii="Cambria Math" w:hAnsi="Cambria Math" w:cs="Arial"/>
                </w:rPr>
                <m:t>i</m:t>
              </m:r>
            </m:sub>
          </m:sSub>
          <m:r>
            <w:rPr>
              <w:rFonts w:ascii="Cambria Math" w:hAnsi="Cambria Math" w:cs="Arial"/>
            </w:rPr>
            <m:t>=0,</m:t>
          </m:r>
          <m:sSub>
            <m:sSubPr>
              <m:ctrlPr>
                <w:rPr>
                  <w:rFonts w:ascii="Cambria Math" w:hAnsi="Cambria Math" w:cs="Arial"/>
                </w:rPr>
              </m:ctrlPr>
            </m:sSubPr>
            <m:e>
              <m:r>
                <m:rPr>
                  <m:nor/>
                </m:rPr>
                <w:rPr>
                  <w:rFonts w:cs="Arial"/>
                </w:rPr>
                <m:t>reform</m:t>
              </m:r>
            </m:e>
            <m:sub>
              <m:r>
                <w:rPr>
                  <w:rFonts w:ascii="Cambria Math" w:hAnsi="Cambria Math" w:cs="Arial"/>
                </w:rPr>
                <m:t>i</m:t>
              </m:r>
            </m:sub>
          </m:sSub>
          <m:r>
            <w:rPr>
              <w:rFonts w:ascii="Cambria Math" w:hAnsi="Cambria Math" w:cs="Arial"/>
            </w:rPr>
            <m:t>=1</m:t>
          </m:r>
          <m:r>
            <m:rPr>
              <m:sty m:val="p"/>
            </m:rPr>
            <w:rPr>
              <w:rFonts w:cs="Arial"/>
            </w:rPr>
            <w:br/>
          </m:r>
        </m:oMath>
      </m:oMathPara>
    </w:p>
    <w:p w14:paraId="3C993846" w14:textId="79DCC3B7" w:rsidR="002F703D" w:rsidRPr="00AD2961" w:rsidRDefault="002F703D" w:rsidP="002F703D">
      <w:pPr>
        <w:rPr>
          <w:rFonts w:cs="Arial"/>
        </w:rPr>
      </w:pPr>
      <w:r w:rsidRPr="00AD2961">
        <w:rPr>
          <w:rFonts w:cs="Arial"/>
        </w:rPr>
        <w:t xml:space="preserve">The Poisson model described in the main text was used to obtain predicted probabilities </w:t>
      </w:r>
      <m:oMath>
        <m:sSub>
          <m:sSubPr>
            <m:ctrlPr>
              <w:rPr>
                <w:rFonts w:ascii="Cambria Math" w:hAnsi="Cambria Math" w:cs="Arial"/>
              </w:rPr>
            </m:ctrlPr>
          </m:sSubPr>
          <m:e>
            <m:acc>
              <m:accPr>
                <m:ctrlPr>
                  <w:rPr>
                    <w:rFonts w:ascii="Cambria Math" w:hAnsi="Cambria Math" w:cs="Arial"/>
                  </w:rPr>
                </m:ctrlPr>
              </m:accPr>
              <m:e>
                <m:r>
                  <w:rPr>
                    <w:rFonts w:ascii="Cambria Math" w:hAnsi="Cambria Math" w:cs="Arial"/>
                  </w:rPr>
                  <m:t>P</m:t>
                </m:r>
              </m:e>
            </m:acc>
          </m:e>
          <m:sub>
            <m:r>
              <w:rPr>
                <w:rFonts w:ascii="Cambria Math" w:hAnsi="Cambria Math" w:cs="Arial"/>
              </w:rPr>
              <m:t>0i</m:t>
            </m:r>
          </m:sub>
        </m:sSub>
      </m:oMath>
      <w:r w:rsidRPr="00AD2961">
        <w:rPr>
          <w:rFonts w:cs="Arial"/>
        </w:rPr>
        <w:t>for each child under this counterfactual.</w:t>
      </w:r>
    </w:p>
    <w:p w14:paraId="6A7C5428" w14:textId="77777777" w:rsidR="002F703D" w:rsidRPr="00AD2961" w:rsidRDefault="002F703D" w:rsidP="002F703D">
      <w:pPr>
        <w:rPr>
          <w:rFonts w:cs="Arial"/>
          <w:b/>
          <w:bCs/>
        </w:rPr>
      </w:pPr>
      <w:r w:rsidRPr="00AD2961">
        <w:rPr>
          <w:rFonts w:cs="Arial"/>
          <w:b/>
          <w:bCs/>
        </w:rPr>
        <w:t>Step 2: Computing the baseline probability</w:t>
      </w:r>
    </w:p>
    <w:p w14:paraId="3EB576AC" w14:textId="77777777" w:rsidR="002F703D" w:rsidRPr="00AD2961" w:rsidRDefault="002F703D" w:rsidP="002F703D">
      <w:pPr>
        <w:rPr>
          <w:rFonts w:cs="Arial"/>
        </w:rPr>
      </w:pPr>
      <w:r w:rsidRPr="00AD2961">
        <w:rPr>
          <w:rFonts w:cs="Arial"/>
        </w:rPr>
        <w:t>We computed the baseline probability of wasting as a normalized weighted mean across individuals:</w:t>
      </w:r>
    </w:p>
    <w:p w14:paraId="52966CCA" w14:textId="0A8A1477" w:rsidR="002F703D" w:rsidRPr="00AD2961" w:rsidRDefault="00000000" w:rsidP="002F703D">
      <w:pPr>
        <w:rPr>
          <w:rFonts w:cs="Arial"/>
        </w:rPr>
      </w:pPr>
      <m:oMathPara>
        <m:oMath>
          <m:sSub>
            <m:sSubPr>
              <m:ctrlPr>
                <w:rPr>
                  <w:rFonts w:ascii="Cambria Math" w:hAnsi="Cambria Math" w:cs="Arial"/>
                </w:rPr>
              </m:ctrlPr>
            </m:sSubPr>
            <m:e>
              <m:r>
                <w:rPr>
                  <w:rFonts w:ascii="Cambria Math" w:hAnsi="Cambria Math" w:cs="Arial"/>
                </w:rPr>
                <m:t>P</m:t>
              </m:r>
            </m:e>
            <m:sub>
              <m:r>
                <w:rPr>
                  <w:rFonts w:ascii="Cambria Math" w:hAnsi="Cambria Math" w:cs="Arial"/>
                </w:rPr>
                <m:t>0</m:t>
              </m:r>
            </m:sub>
          </m:sSub>
          <m:r>
            <w:rPr>
              <w:rFonts w:ascii="Cambria Math" w:hAnsi="Cambria Math" w:cs="Arial"/>
            </w:rPr>
            <m:t>=</m:t>
          </m:r>
          <m:f>
            <m:fPr>
              <m:ctrlPr>
                <w:rPr>
                  <w:rFonts w:ascii="Cambria Math" w:hAnsi="Cambria Math" w:cs="Arial"/>
                </w:rPr>
              </m:ctrlPr>
            </m:fPr>
            <m:num>
              <m:nary>
                <m:naryPr>
                  <m:chr m:val="∑"/>
                  <m:limLoc m:val="undOvr"/>
                  <m:grow m:val="1"/>
                  <m:ctrlPr>
                    <w:rPr>
                      <w:rFonts w:ascii="Cambria Math" w:hAnsi="Cambria Math" w:cs="Arial"/>
                    </w:rPr>
                  </m:ctrlPr>
                </m:naryPr>
                <m:sub>
                  <m:r>
                    <w:rPr>
                      <w:rFonts w:ascii="Cambria Math" w:hAnsi="Cambria Math" w:cs="Arial"/>
                    </w:rPr>
                    <m:t>i=1</m:t>
                  </m:r>
                </m:sub>
                <m:sup>
                  <m:r>
                    <w:rPr>
                      <w:rFonts w:ascii="Cambria Math" w:hAnsi="Cambria Math" w:cs="Arial"/>
                    </w:rPr>
                    <m:t>N</m:t>
                  </m:r>
                </m:sup>
                <m:e>
                  <m:sSub>
                    <m:sSubPr>
                      <m:ctrlPr>
                        <w:rPr>
                          <w:rFonts w:ascii="Cambria Math" w:hAnsi="Cambria Math" w:cs="Arial"/>
                        </w:rPr>
                      </m:ctrlPr>
                    </m:sSubPr>
                    <m:e>
                      <m:r>
                        <w:rPr>
                          <w:rFonts w:ascii="Cambria Math" w:hAnsi="Cambria Math" w:cs="Arial"/>
                        </w:rPr>
                        <m:t>w</m:t>
                      </m:r>
                    </m:e>
                    <m:sub>
                      <m:r>
                        <w:rPr>
                          <w:rFonts w:ascii="Cambria Math" w:hAnsi="Cambria Math" w:cs="Arial"/>
                        </w:rPr>
                        <m:t>i</m:t>
                      </m:r>
                    </m:sub>
                  </m:sSub>
                </m:e>
              </m:nary>
              <m:r>
                <m:rPr>
                  <m:nor/>
                </m:rPr>
                <w:rPr>
                  <w:rFonts w:ascii="Arial" w:hAnsi="Arial" w:cs="Arial"/>
                </w:rPr>
                <m:t> </m:t>
              </m:r>
              <m:sSub>
                <m:sSubPr>
                  <m:ctrlPr>
                    <w:rPr>
                      <w:rFonts w:ascii="Cambria Math" w:hAnsi="Cambria Math" w:cs="Arial"/>
                    </w:rPr>
                  </m:ctrlPr>
                </m:sSubPr>
                <m:e>
                  <m:acc>
                    <m:accPr>
                      <m:ctrlPr>
                        <w:rPr>
                          <w:rFonts w:ascii="Cambria Math" w:hAnsi="Cambria Math" w:cs="Arial"/>
                        </w:rPr>
                      </m:ctrlPr>
                    </m:accPr>
                    <m:e>
                      <m:r>
                        <w:rPr>
                          <w:rFonts w:ascii="Cambria Math" w:hAnsi="Cambria Math" w:cs="Arial"/>
                        </w:rPr>
                        <m:t>P</m:t>
                      </m:r>
                    </m:e>
                  </m:acc>
                </m:e>
                <m:sub>
                  <m:r>
                    <w:rPr>
                      <w:rFonts w:ascii="Cambria Math" w:hAnsi="Cambria Math" w:cs="Arial"/>
                    </w:rPr>
                    <m:t>0i</m:t>
                  </m:r>
                </m:sub>
              </m:sSub>
            </m:num>
            <m:den>
              <m:nary>
                <m:naryPr>
                  <m:chr m:val="∑"/>
                  <m:limLoc m:val="undOvr"/>
                  <m:grow m:val="1"/>
                  <m:ctrlPr>
                    <w:rPr>
                      <w:rFonts w:ascii="Cambria Math" w:hAnsi="Cambria Math" w:cs="Arial"/>
                    </w:rPr>
                  </m:ctrlPr>
                </m:naryPr>
                <m:sub>
                  <m:r>
                    <w:rPr>
                      <w:rFonts w:ascii="Cambria Math" w:hAnsi="Cambria Math" w:cs="Arial"/>
                    </w:rPr>
                    <m:t>i=1</m:t>
                  </m:r>
                </m:sub>
                <m:sup>
                  <m:r>
                    <w:rPr>
                      <w:rFonts w:ascii="Cambria Math" w:hAnsi="Cambria Math" w:cs="Arial"/>
                    </w:rPr>
                    <m:t>N</m:t>
                  </m:r>
                </m:sup>
                <m:e>
                  <m:sSub>
                    <m:sSubPr>
                      <m:ctrlPr>
                        <w:rPr>
                          <w:rFonts w:ascii="Cambria Math" w:hAnsi="Cambria Math" w:cs="Arial"/>
                        </w:rPr>
                      </m:ctrlPr>
                    </m:sSubPr>
                    <m:e>
                      <m:r>
                        <w:rPr>
                          <w:rFonts w:ascii="Cambria Math" w:hAnsi="Cambria Math" w:cs="Arial"/>
                        </w:rPr>
                        <m:t>w</m:t>
                      </m:r>
                    </m:e>
                    <m:sub>
                      <m:r>
                        <w:rPr>
                          <w:rFonts w:ascii="Cambria Math" w:hAnsi="Cambria Math" w:cs="Arial"/>
                        </w:rPr>
                        <m:t>i</m:t>
                      </m:r>
                    </m:sub>
                  </m:sSub>
                </m:e>
              </m:nary>
            </m:den>
          </m:f>
          <m:r>
            <m:rPr>
              <m:sty m:val="p"/>
            </m:rPr>
            <w:rPr>
              <w:rFonts w:cs="Arial"/>
            </w:rPr>
            <w:br/>
          </m:r>
        </m:oMath>
      </m:oMathPara>
    </w:p>
    <w:p w14:paraId="6FD86615" w14:textId="3CD2867D" w:rsidR="002F703D" w:rsidRPr="00AD2961" w:rsidRDefault="002F703D" w:rsidP="002F703D">
      <w:pPr>
        <w:rPr>
          <w:rFonts w:cs="Arial"/>
        </w:rPr>
      </w:pPr>
      <w:r w:rsidRPr="00AD2961">
        <w:rPr>
          <w:rFonts w:cs="Arial"/>
        </w:rPr>
        <w:t xml:space="preserve">where </w:t>
      </w:r>
      <m:oMath>
        <m:sSub>
          <m:sSubPr>
            <m:ctrlPr>
              <w:rPr>
                <w:rFonts w:ascii="Cambria Math" w:hAnsi="Cambria Math" w:cs="Arial"/>
              </w:rPr>
            </m:ctrlPr>
          </m:sSubPr>
          <m:e>
            <m:r>
              <w:rPr>
                <w:rFonts w:ascii="Cambria Math" w:hAnsi="Cambria Math" w:cs="Arial"/>
              </w:rPr>
              <m:t>w</m:t>
            </m:r>
          </m:e>
          <m:sub>
            <m:r>
              <w:rPr>
                <w:rFonts w:ascii="Cambria Math" w:hAnsi="Cambria Math" w:cs="Arial"/>
              </w:rPr>
              <m:t>i</m:t>
            </m:r>
          </m:sub>
        </m:sSub>
      </m:oMath>
      <w:r w:rsidRPr="00AD2961">
        <w:rPr>
          <w:rFonts w:cs="Arial"/>
        </w:rPr>
        <w:t>are survey weights re-normalized within country–survey rounds so that each survey contributes equally to the pooled estimate.</w:t>
      </w:r>
    </w:p>
    <w:p w14:paraId="5BD138A0" w14:textId="77777777" w:rsidR="002F703D" w:rsidRPr="00AD2961" w:rsidRDefault="002F703D" w:rsidP="002F703D">
      <w:pPr>
        <w:rPr>
          <w:rFonts w:cs="Arial"/>
          <w:b/>
          <w:bCs/>
        </w:rPr>
      </w:pPr>
      <w:r w:rsidRPr="00AD2961">
        <w:rPr>
          <w:rFonts w:cs="Arial"/>
          <w:b/>
          <w:bCs/>
        </w:rPr>
        <w:t>Step 3: Baseline uncertainty</w:t>
      </w:r>
    </w:p>
    <w:p w14:paraId="04763BDA" w14:textId="77B027FA" w:rsidR="002F703D" w:rsidRPr="00AD2961" w:rsidRDefault="002F703D" w:rsidP="002F703D">
      <w:pPr>
        <w:rPr>
          <w:rFonts w:cs="Arial"/>
        </w:rPr>
      </w:pPr>
      <w:r w:rsidRPr="00AD2961">
        <w:rPr>
          <w:rFonts w:cs="Arial"/>
        </w:rPr>
        <w:t xml:space="preserve">Sampling uncertainty for </w:t>
      </w:r>
      <m:oMath>
        <m:sSub>
          <m:sSubPr>
            <m:ctrlPr>
              <w:rPr>
                <w:rFonts w:ascii="Cambria Math" w:hAnsi="Cambria Math" w:cs="Arial"/>
              </w:rPr>
            </m:ctrlPr>
          </m:sSubPr>
          <m:e>
            <m:r>
              <w:rPr>
                <w:rFonts w:ascii="Cambria Math" w:hAnsi="Cambria Math" w:cs="Arial"/>
              </w:rPr>
              <m:t>P</m:t>
            </m:r>
          </m:e>
          <m:sub>
            <m:r>
              <w:rPr>
                <w:rFonts w:ascii="Cambria Math" w:hAnsi="Cambria Math" w:cs="Arial"/>
              </w:rPr>
              <m:t>0</m:t>
            </m:r>
          </m:sub>
        </m:sSub>
      </m:oMath>
      <w:r w:rsidRPr="00AD2961">
        <w:rPr>
          <w:rFonts w:cs="Arial"/>
        </w:rPr>
        <w:t>was approximated using:</w:t>
      </w:r>
    </w:p>
    <w:p w14:paraId="46E2D8FC" w14:textId="02D0D36C" w:rsidR="002F703D" w:rsidRPr="00AD2961" w:rsidRDefault="002F703D" w:rsidP="002F703D">
      <w:pPr>
        <w:rPr>
          <w:rFonts w:cs="Arial"/>
        </w:rPr>
      </w:pPr>
      <m:oMathPara>
        <m:oMath>
          <m:r>
            <w:rPr>
              <w:rFonts w:ascii="Cambria Math" w:hAnsi="Cambria Math" w:cs="Arial"/>
            </w:rPr>
            <w:lastRenderedPageBreak/>
            <m:t>SE(</m:t>
          </m:r>
          <m:sSub>
            <m:sSubPr>
              <m:ctrlPr>
                <w:rPr>
                  <w:rFonts w:ascii="Cambria Math" w:hAnsi="Cambria Math" w:cs="Arial"/>
                </w:rPr>
              </m:ctrlPr>
            </m:sSubPr>
            <m:e>
              <m:r>
                <w:rPr>
                  <w:rFonts w:ascii="Cambria Math" w:hAnsi="Cambria Math" w:cs="Arial"/>
                </w:rPr>
                <m:t>P</m:t>
              </m:r>
            </m:e>
            <m:sub>
              <m:r>
                <w:rPr>
                  <w:rFonts w:ascii="Cambria Math" w:hAnsi="Cambria Math" w:cs="Arial"/>
                </w:rPr>
                <m:t>0</m:t>
              </m:r>
            </m:sub>
          </m:sSub>
          <m:r>
            <w:rPr>
              <w:rFonts w:ascii="Cambria Math" w:hAnsi="Cambria Math" w:cs="Arial"/>
            </w:rPr>
            <m:t>)=</m:t>
          </m:r>
          <m:f>
            <m:fPr>
              <m:ctrlPr>
                <w:rPr>
                  <w:rFonts w:ascii="Cambria Math" w:hAnsi="Cambria Math" w:cs="Arial"/>
                </w:rPr>
              </m:ctrlPr>
            </m:fPr>
            <m:num>
              <m:r>
                <m:rPr>
                  <m:nor/>
                </m:rPr>
                <w:rPr>
                  <w:rFonts w:cs="Arial"/>
                </w:rPr>
                <m:t>SD</m:t>
              </m:r>
              <m:r>
                <w:rPr>
                  <w:rFonts w:ascii="Cambria Math" w:hAnsi="Cambria Math" w:cs="Arial"/>
                </w:rPr>
                <m:t>(</m:t>
              </m:r>
              <m:sSub>
                <m:sSubPr>
                  <m:ctrlPr>
                    <w:rPr>
                      <w:rFonts w:ascii="Cambria Math" w:hAnsi="Cambria Math" w:cs="Arial"/>
                    </w:rPr>
                  </m:ctrlPr>
                </m:sSubPr>
                <m:e>
                  <m:acc>
                    <m:accPr>
                      <m:ctrlPr>
                        <w:rPr>
                          <w:rFonts w:ascii="Cambria Math" w:hAnsi="Cambria Math" w:cs="Arial"/>
                        </w:rPr>
                      </m:ctrlPr>
                    </m:accPr>
                    <m:e>
                      <m:r>
                        <w:rPr>
                          <w:rFonts w:ascii="Cambria Math" w:hAnsi="Cambria Math" w:cs="Arial"/>
                        </w:rPr>
                        <m:t>P</m:t>
                      </m:r>
                    </m:e>
                  </m:acc>
                </m:e>
                <m:sub>
                  <m:r>
                    <w:rPr>
                      <w:rFonts w:ascii="Cambria Math" w:hAnsi="Cambria Math" w:cs="Arial"/>
                    </w:rPr>
                    <m:t>0i</m:t>
                  </m:r>
                </m:sub>
              </m:sSub>
              <m:r>
                <w:rPr>
                  <w:rFonts w:ascii="Cambria Math" w:hAnsi="Cambria Math" w:cs="Arial"/>
                </w:rPr>
                <m:t>)</m:t>
              </m:r>
            </m:num>
            <m:den>
              <m:rad>
                <m:radPr>
                  <m:degHide m:val="1"/>
                  <m:ctrlPr>
                    <w:rPr>
                      <w:rFonts w:ascii="Cambria Math" w:hAnsi="Cambria Math" w:cs="Arial"/>
                    </w:rPr>
                  </m:ctrlPr>
                </m:radPr>
                <m:deg/>
                <m:e>
                  <m:r>
                    <w:rPr>
                      <w:rFonts w:ascii="Cambria Math" w:hAnsi="Cambria Math" w:cs="Arial"/>
                    </w:rPr>
                    <m:t>N</m:t>
                  </m:r>
                </m:e>
              </m:rad>
            </m:den>
          </m:f>
          <m:r>
            <m:rPr>
              <m:sty m:val="p"/>
            </m:rPr>
            <w:rPr>
              <w:rFonts w:cs="Arial"/>
            </w:rPr>
            <w:br/>
          </m:r>
        </m:oMath>
      </m:oMathPara>
    </w:p>
    <w:p w14:paraId="07AB1DA2" w14:textId="77777777" w:rsidR="002F703D" w:rsidRPr="00AD2961" w:rsidRDefault="002F703D" w:rsidP="002F703D">
      <w:pPr>
        <w:rPr>
          <w:rFonts w:cs="Arial"/>
        </w:rPr>
      </w:pPr>
      <w:r w:rsidRPr="00AD2961">
        <w:rPr>
          <w:rFonts w:cs="Arial"/>
        </w:rPr>
        <w:t>and 95% CIs were computed assuming a normal distribution:</w:t>
      </w:r>
    </w:p>
    <w:p w14:paraId="1C420F54" w14:textId="028E3EE1" w:rsidR="002F703D" w:rsidRPr="00AD2961" w:rsidRDefault="00000000" w:rsidP="002F703D">
      <w:pPr>
        <w:rPr>
          <w:rFonts w:cs="Arial"/>
        </w:rPr>
      </w:pPr>
      <m:oMathPara>
        <m:oMath>
          <m:sSubSup>
            <m:sSubSupPr>
              <m:ctrlPr>
                <w:rPr>
                  <w:rFonts w:ascii="Cambria Math" w:hAnsi="Cambria Math" w:cs="Arial"/>
                </w:rPr>
              </m:ctrlPr>
            </m:sSubSupPr>
            <m:e>
              <m:r>
                <w:rPr>
                  <w:rFonts w:ascii="Cambria Math" w:hAnsi="Cambria Math" w:cs="Arial"/>
                </w:rPr>
                <m:t>P</m:t>
              </m:r>
            </m:e>
            <m:sub>
              <m:r>
                <w:rPr>
                  <w:rFonts w:ascii="Cambria Math" w:hAnsi="Cambria Math" w:cs="Arial"/>
                </w:rPr>
                <m:t>0</m:t>
              </m:r>
            </m:sub>
            <m:sup>
              <m:r>
                <w:rPr>
                  <w:rFonts w:ascii="Cambria Math" w:hAnsi="Cambria Math" w:cs="Arial"/>
                </w:rPr>
                <m:t>LCL</m:t>
              </m:r>
            </m:sup>
          </m:sSubSup>
          <m:r>
            <w:rPr>
              <w:rFonts w:ascii="Cambria Math" w:hAnsi="Cambria Math" w:cs="Arial"/>
            </w:rPr>
            <m:t>=</m:t>
          </m:r>
          <m:sSub>
            <m:sSubPr>
              <m:ctrlPr>
                <w:rPr>
                  <w:rFonts w:ascii="Cambria Math" w:hAnsi="Cambria Math" w:cs="Arial"/>
                </w:rPr>
              </m:ctrlPr>
            </m:sSubPr>
            <m:e>
              <m:r>
                <w:rPr>
                  <w:rFonts w:ascii="Cambria Math" w:hAnsi="Cambria Math" w:cs="Arial"/>
                </w:rPr>
                <m:t>P</m:t>
              </m:r>
            </m:e>
            <m:sub>
              <m:r>
                <w:rPr>
                  <w:rFonts w:ascii="Cambria Math" w:hAnsi="Cambria Math" w:cs="Arial"/>
                </w:rPr>
                <m:t>0</m:t>
              </m:r>
            </m:sub>
          </m:sSub>
          <m:r>
            <w:rPr>
              <w:rFonts w:ascii="Cambria Math" w:hAnsi="Cambria Math" w:cs="Arial"/>
            </w:rPr>
            <m:t>-1.96×SE(</m:t>
          </m:r>
          <m:sSub>
            <m:sSubPr>
              <m:ctrlPr>
                <w:rPr>
                  <w:rFonts w:ascii="Cambria Math" w:hAnsi="Cambria Math" w:cs="Arial"/>
                </w:rPr>
              </m:ctrlPr>
            </m:sSubPr>
            <m:e>
              <m:r>
                <w:rPr>
                  <w:rFonts w:ascii="Cambria Math" w:hAnsi="Cambria Math" w:cs="Arial"/>
                </w:rPr>
                <m:t>P</m:t>
              </m:r>
            </m:e>
            <m:sub>
              <m:r>
                <w:rPr>
                  <w:rFonts w:ascii="Cambria Math" w:hAnsi="Cambria Math" w:cs="Arial"/>
                </w:rPr>
                <m:t>0</m:t>
              </m:r>
            </m:sub>
          </m:sSub>
          <m:r>
            <w:rPr>
              <w:rFonts w:ascii="Cambria Math" w:hAnsi="Cambria Math" w:cs="Arial"/>
            </w:rPr>
            <m:t>),</m:t>
          </m:r>
          <m:sSubSup>
            <m:sSubSupPr>
              <m:ctrlPr>
                <w:rPr>
                  <w:rFonts w:ascii="Cambria Math" w:hAnsi="Cambria Math" w:cs="Arial"/>
                </w:rPr>
              </m:ctrlPr>
            </m:sSubSupPr>
            <m:e>
              <m:r>
                <w:rPr>
                  <w:rFonts w:ascii="Cambria Math" w:hAnsi="Cambria Math" w:cs="Arial"/>
                </w:rPr>
                <m:t>P</m:t>
              </m:r>
            </m:e>
            <m:sub>
              <m:r>
                <w:rPr>
                  <w:rFonts w:ascii="Cambria Math" w:hAnsi="Cambria Math" w:cs="Arial"/>
                </w:rPr>
                <m:t>0</m:t>
              </m:r>
            </m:sub>
            <m:sup>
              <m:r>
                <w:rPr>
                  <w:rFonts w:ascii="Cambria Math" w:hAnsi="Cambria Math" w:cs="Arial"/>
                </w:rPr>
                <m:t>UCL</m:t>
              </m:r>
            </m:sup>
          </m:sSubSup>
          <m:r>
            <w:rPr>
              <w:rFonts w:ascii="Cambria Math" w:hAnsi="Cambria Math" w:cs="Arial"/>
            </w:rPr>
            <m:t>=</m:t>
          </m:r>
          <m:sSub>
            <m:sSubPr>
              <m:ctrlPr>
                <w:rPr>
                  <w:rFonts w:ascii="Cambria Math" w:hAnsi="Cambria Math" w:cs="Arial"/>
                </w:rPr>
              </m:ctrlPr>
            </m:sSubPr>
            <m:e>
              <m:r>
                <w:rPr>
                  <w:rFonts w:ascii="Cambria Math" w:hAnsi="Cambria Math" w:cs="Arial"/>
                </w:rPr>
                <m:t>P</m:t>
              </m:r>
            </m:e>
            <m:sub>
              <m:r>
                <w:rPr>
                  <w:rFonts w:ascii="Cambria Math" w:hAnsi="Cambria Math" w:cs="Arial"/>
                </w:rPr>
                <m:t>0</m:t>
              </m:r>
            </m:sub>
          </m:sSub>
          <m:r>
            <w:rPr>
              <w:rFonts w:ascii="Cambria Math" w:hAnsi="Cambria Math" w:cs="Arial"/>
            </w:rPr>
            <m:t>+1.96×SE(</m:t>
          </m:r>
          <m:sSub>
            <m:sSubPr>
              <m:ctrlPr>
                <w:rPr>
                  <w:rFonts w:ascii="Cambria Math" w:hAnsi="Cambria Math" w:cs="Arial"/>
                </w:rPr>
              </m:ctrlPr>
            </m:sSubPr>
            <m:e>
              <m:r>
                <w:rPr>
                  <w:rFonts w:ascii="Cambria Math" w:hAnsi="Cambria Math" w:cs="Arial"/>
                </w:rPr>
                <m:t>P</m:t>
              </m:r>
            </m:e>
            <m:sub>
              <m:r>
                <w:rPr>
                  <w:rFonts w:ascii="Cambria Math" w:hAnsi="Cambria Math" w:cs="Arial"/>
                </w:rPr>
                <m:t>0</m:t>
              </m:r>
            </m:sub>
          </m:sSub>
          <m:r>
            <w:rPr>
              <w:rFonts w:ascii="Cambria Math" w:hAnsi="Cambria Math" w:cs="Arial"/>
            </w:rPr>
            <m:t>)</m:t>
          </m:r>
          <m:r>
            <m:rPr>
              <m:sty m:val="p"/>
            </m:rPr>
            <w:rPr>
              <w:rFonts w:cs="Arial"/>
            </w:rPr>
            <w:br/>
          </m:r>
        </m:oMath>
      </m:oMathPara>
    </w:p>
    <w:p w14:paraId="6BA3964A" w14:textId="676787D0" w:rsidR="00D35790" w:rsidRPr="00AD2961" w:rsidRDefault="00D35790" w:rsidP="00D35790">
      <w:pPr>
        <w:pStyle w:val="ListParagraph"/>
        <w:numPr>
          <w:ilvl w:val="0"/>
          <w:numId w:val="7"/>
        </w:numPr>
        <w:rPr>
          <w:rFonts w:cs="Arial"/>
          <w:b/>
          <w:bCs/>
        </w:rPr>
      </w:pPr>
      <w:r w:rsidRPr="00AD2961">
        <w:rPr>
          <w:rFonts w:cs="Arial"/>
          <w:b/>
          <w:bCs/>
        </w:rPr>
        <w:t>Predicted probability of wasting under disaster exposure</w:t>
      </w:r>
    </w:p>
    <w:p w14:paraId="7DC97889" w14:textId="77777777" w:rsidR="00D35790" w:rsidRPr="00AD2961" w:rsidRDefault="00D35790" w:rsidP="00D35790">
      <w:pPr>
        <w:rPr>
          <w:rFonts w:cs="Arial"/>
        </w:rPr>
      </w:pPr>
      <w:r w:rsidRPr="00AD2961">
        <w:rPr>
          <w:rFonts w:cs="Arial"/>
        </w:rPr>
        <w:t>The next step was to estimate the probability of wasting under a disaster exposure scenario using the pooled relative risk (RR) from the meta-analysis.</w:t>
      </w:r>
    </w:p>
    <w:p w14:paraId="35221017" w14:textId="77777777" w:rsidR="00D35790" w:rsidRPr="00AD2961" w:rsidRDefault="00D35790" w:rsidP="00D35790">
      <w:pPr>
        <w:rPr>
          <w:rFonts w:cs="Arial"/>
        </w:rPr>
      </w:pPr>
      <w:r w:rsidRPr="00AD2961">
        <w:rPr>
          <w:rFonts w:cs="Arial"/>
        </w:rPr>
        <w:t>Let:</w:t>
      </w:r>
    </w:p>
    <w:p w14:paraId="76D0009E" w14:textId="004A13CB" w:rsidR="00D35790" w:rsidRPr="00AD2961" w:rsidRDefault="00000000" w:rsidP="00D35790">
      <w:pPr>
        <w:numPr>
          <w:ilvl w:val="0"/>
          <w:numId w:val="6"/>
        </w:numPr>
        <w:rPr>
          <w:rFonts w:cs="Arial"/>
        </w:rPr>
      </w:pPr>
      <m:oMath>
        <m:sSub>
          <m:sSubPr>
            <m:ctrlPr>
              <w:rPr>
                <w:rFonts w:ascii="Cambria Math" w:hAnsi="Cambria Math" w:cs="Arial"/>
              </w:rPr>
            </m:ctrlPr>
          </m:sSubPr>
          <m:e>
            <m:r>
              <w:rPr>
                <w:rFonts w:ascii="Cambria Math" w:hAnsi="Cambria Math" w:cs="Arial"/>
              </w:rPr>
              <m:t>P</m:t>
            </m:r>
          </m:e>
          <m:sub>
            <m:r>
              <w:rPr>
                <w:rFonts w:ascii="Cambria Math" w:hAnsi="Cambria Math" w:cs="Arial"/>
              </w:rPr>
              <m:t>0</m:t>
            </m:r>
          </m:sub>
        </m:sSub>
      </m:oMath>
      <w:r w:rsidR="00D35790" w:rsidRPr="00AD2961">
        <w:rPr>
          <w:rFonts w:cs="Arial"/>
        </w:rPr>
        <w:t>= baseline probability of wasting (no disaster),</w:t>
      </w:r>
    </w:p>
    <w:p w14:paraId="24B4AB6E" w14:textId="76EB717D" w:rsidR="00D35790" w:rsidRPr="00AD2961" w:rsidRDefault="00D35790" w:rsidP="00D35790">
      <w:pPr>
        <w:numPr>
          <w:ilvl w:val="0"/>
          <w:numId w:val="6"/>
        </w:numPr>
        <w:rPr>
          <w:rFonts w:cs="Arial"/>
        </w:rPr>
      </w:pPr>
      <m:oMath>
        <m:r>
          <w:rPr>
            <w:rFonts w:ascii="Cambria Math" w:hAnsi="Cambria Math" w:cs="Arial"/>
          </w:rPr>
          <m:t>RR</m:t>
        </m:r>
      </m:oMath>
      <w:r w:rsidRPr="00AD2961">
        <w:rPr>
          <w:rFonts w:cs="Arial"/>
        </w:rPr>
        <w:t>= pooled meta-analytic risk ratio for disaster exposure for each education subgroup.</w:t>
      </w:r>
    </w:p>
    <w:p w14:paraId="42216285" w14:textId="77777777" w:rsidR="00D35790" w:rsidRPr="00AD2961" w:rsidRDefault="00D35790" w:rsidP="00D35790">
      <w:pPr>
        <w:rPr>
          <w:rFonts w:cs="Arial"/>
        </w:rPr>
      </w:pPr>
      <w:r w:rsidRPr="00AD2961">
        <w:rPr>
          <w:rFonts w:cs="Arial"/>
        </w:rPr>
        <w:t>We computed the probability under exposure using the standard risk-transfer formula:</w:t>
      </w:r>
    </w:p>
    <w:p w14:paraId="15CD4DB4" w14:textId="08286656" w:rsidR="00D35790" w:rsidRPr="00AD2961" w:rsidRDefault="00000000" w:rsidP="00D35790">
      <w:pPr>
        <w:rPr>
          <w:rFonts w:cs="Arial"/>
        </w:rPr>
      </w:pPr>
      <m:oMathPara>
        <m:oMath>
          <m:sSub>
            <m:sSubPr>
              <m:ctrlPr>
                <w:rPr>
                  <w:rFonts w:ascii="Cambria Math" w:hAnsi="Cambria Math" w:cs="Arial"/>
                </w:rPr>
              </m:ctrlPr>
            </m:sSubPr>
            <m:e>
              <m:r>
                <w:rPr>
                  <w:rFonts w:ascii="Cambria Math" w:hAnsi="Cambria Math" w:cs="Arial"/>
                </w:rPr>
                <m:t>P</m:t>
              </m:r>
            </m:e>
            <m:sub>
              <m:r>
                <w:rPr>
                  <w:rFonts w:ascii="Cambria Math" w:hAnsi="Cambria Math" w:cs="Arial"/>
                </w:rPr>
                <m:t>1</m:t>
              </m:r>
            </m:sub>
          </m:sSub>
          <m:r>
            <w:rPr>
              <w:rFonts w:ascii="Cambria Math" w:hAnsi="Cambria Math" w:cs="Arial"/>
            </w:rPr>
            <m:t>=</m:t>
          </m:r>
          <m:f>
            <m:fPr>
              <m:ctrlPr>
                <w:rPr>
                  <w:rFonts w:ascii="Cambria Math" w:hAnsi="Cambria Math" w:cs="Arial"/>
                </w:rPr>
              </m:ctrlPr>
            </m:fPr>
            <m:num>
              <m:r>
                <w:rPr>
                  <w:rFonts w:ascii="Cambria Math" w:hAnsi="Cambria Math" w:cs="Arial"/>
                </w:rPr>
                <m:t>RR×</m:t>
              </m:r>
              <m:sSub>
                <m:sSubPr>
                  <m:ctrlPr>
                    <w:rPr>
                      <w:rFonts w:ascii="Cambria Math" w:hAnsi="Cambria Math" w:cs="Arial"/>
                    </w:rPr>
                  </m:ctrlPr>
                </m:sSubPr>
                <m:e>
                  <m:r>
                    <w:rPr>
                      <w:rFonts w:ascii="Cambria Math" w:hAnsi="Cambria Math" w:cs="Arial"/>
                    </w:rPr>
                    <m:t>P</m:t>
                  </m:r>
                </m:e>
                <m:sub>
                  <m:r>
                    <w:rPr>
                      <w:rFonts w:ascii="Cambria Math" w:hAnsi="Cambria Math" w:cs="Arial"/>
                    </w:rPr>
                    <m:t>0</m:t>
                  </m:r>
                </m:sub>
              </m:sSub>
            </m:num>
            <m:den>
              <m:r>
                <w:rPr>
                  <w:rFonts w:ascii="Cambria Math" w:hAnsi="Cambria Math" w:cs="Arial"/>
                </w:rPr>
                <m:t>1-</m:t>
              </m:r>
              <m:sSub>
                <m:sSubPr>
                  <m:ctrlPr>
                    <w:rPr>
                      <w:rFonts w:ascii="Cambria Math" w:hAnsi="Cambria Math" w:cs="Arial"/>
                    </w:rPr>
                  </m:ctrlPr>
                </m:sSubPr>
                <m:e>
                  <m:r>
                    <w:rPr>
                      <w:rFonts w:ascii="Cambria Math" w:hAnsi="Cambria Math" w:cs="Arial"/>
                    </w:rPr>
                    <m:t>P</m:t>
                  </m:r>
                </m:e>
                <m:sub>
                  <m:r>
                    <w:rPr>
                      <w:rFonts w:ascii="Cambria Math" w:hAnsi="Cambria Math" w:cs="Arial"/>
                    </w:rPr>
                    <m:t>0</m:t>
                  </m:r>
                </m:sub>
              </m:sSub>
              <m:r>
                <w:rPr>
                  <w:rFonts w:ascii="Cambria Math" w:hAnsi="Cambria Math" w:cs="Arial"/>
                </w:rPr>
                <m:t>+RR×</m:t>
              </m:r>
              <m:sSub>
                <m:sSubPr>
                  <m:ctrlPr>
                    <w:rPr>
                      <w:rFonts w:ascii="Cambria Math" w:hAnsi="Cambria Math" w:cs="Arial"/>
                    </w:rPr>
                  </m:ctrlPr>
                </m:sSubPr>
                <m:e>
                  <m:r>
                    <w:rPr>
                      <w:rFonts w:ascii="Cambria Math" w:hAnsi="Cambria Math" w:cs="Arial"/>
                    </w:rPr>
                    <m:t>P</m:t>
                  </m:r>
                </m:e>
                <m:sub>
                  <m:r>
                    <w:rPr>
                      <w:rFonts w:ascii="Cambria Math" w:hAnsi="Cambria Math" w:cs="Arial"/>
                    </w:rPr>
                    <m:t>0</m:t>
                  </m:r>
                </m:sub>
              </m:sSub>
            </m:den>
          </m:f>
          <m:r>
            <m:rPr>
              <m:sty m:val="p"/>
            </m:rPr>
            <w:rPr>
              <w:rFonts w:cs="Arial"/>
            </w:rPr>
            <w:br/>
          </m:r>
        </m:oMath>
      </m:oMathPara>
    </w:p>
    <w:p w14:paraId="7A75DF06" w14:textId="07B4960C" w:rsidR="00D35790" w:rsidRPr="00AD2961" w:rsidRDefault="00D35790" w:rsidP="00D35790">
      <w:pPr>
        <w:rPr>
          <w:rFonts w:cs="Arial"/>
          <w:b/>
          <w:bCs/>
        </w:rPr>
      </w:pPr>
      <w:r w:rsidRPr="00AD2961">
        <w:rPr>
          <w:rFonts w:cs="Arial"/>
          <w:b/>
          <w:bCs/>
        </w:rPr>
        <w:t xml:space="preserve">Confidence Intervals for </w:t>
      </w:r>
      <m:oMath>
        <m:sSub>
          <m:sSubPr>
            <m:ctrlPr>
              <w:rPr>
                <w:rFonts w:ascii="Cambria Math" w:hAnsi="Cambria Math" w:cs="Arial"/>
                <w:b/>
                <w:bCs/>
              </w:rPr>
            </m:ctrlPr>
          </m:sSubPr>
          <m:e>
            <m:r>
              <m:rPr>
                <m:sty m:val="bi"/>
              </m:rPr>
              <w:rPr>
                <w:rFonts w:ascii="Cambria Math" w:hAnsi="Cambria Math" w:cs="Arial"/>
              </w:rPr>
              <m:t>P</m:t>
            </m:r>
          </m:e>
          <m:sub>
            <m:r>
              <m:rPr>
                <m:sty m:val="bi"/>
              </m:rPr>
              <w:rPr>
                <w:rFonts w:ascii="Cambria Math" w:hAnsi="Cambria Math" w:cs="Arial"/>
              </w:rPr>
              <m:t>1</m:t>
            </m:r>
          </m:sub>
        </m:sSub>
      </m:oMath>
      <w:r w:rsidRPr="00AD2961">
        <w:rPr>
          <w:rFonts w:cs="Arial"/>
          <w:b/>
          <w:bCs/>
        </w:rPr>
        <w:t>and Absolute Differences</w:t>
      </w:r>
    </w:p>
    <w:p w14:paraId="16F9EBFF" w14:textId="635DB363" w:rsidR="00D35790" w:rsidRPr="00AD2961" w:rsidRDefault="00D35790" w:rsidP="00D35790">
      <w:pPr>
        <w:rPr>
          <w:rFonts w:cs="Arial"/>
        </w:rPr>
      </w:pPr>
      <w:r w:rsidRPr="00AD2961">
        <w:rPr>
          <w:rFonts w:cs="Arial"/>
        </w:rPr>
        <w:t xml:space="preserve">To propagate uncertainty in the pooled RRs, we simulated the distribution of </w:t>
      </w:r>
      <m:oMath>
        <m:sSub>
          <m:sSubPr>
            <m:ctrlPr>
              <w:rPr>
                <w:rFonts w:ascii="Cambria Math" w:hAnsi="Cambria Math" w:cs="Arial"/>
              </w:rPr>
            </m:ctrlPr>
          </m:sSubPr>
          <m:e>
            <m:r>
              <w:rPr>
                <w:rFonts w:ascii="Cambria Math" w:hAnsi="Cambria Math" w:cs="Arial"/>
              </w:rPr>
              <m:t>P</m:t>
            </m:r>
          </m:e>
          <m:sub>
            <m:r>
              <w:rPr>
                <w:rFonts w:ascii="Cambria Math" w:hAnsi="Cambria Math" w:cs="Arial"/>
              </w:rPr>
              <m:t>1</m:t>
            </m:r>
          </m:sub>
        </m:sSub>
      </m:oMath>
      <w:r w:rsidRPr="00AD2961">
        <w:rPr>
          <w:rFonts w:cs="Arial"/>
        </w:rPr>
        <w:t xml:space="preserve">using </w:t>
      </w:r>
      <w:r w:rsidRPr="009E0FF5">
        <w:rPr>
          <w:rFonts w:cs="Arial"/>
        </w:rPr>
        <w:t>10,000 draws</w:t>
      </w:r>
      <w:r w:rsidRPr="00AD2961">
        <w:rPr>
          <w:rFonts w:cs="Arial"/>
        </w:rPr>
        <w:t xml:space="preserve"> from the log-normal distribution of the RR:</w:t>
      </w:r>
    </w:p>
    <w:p w14:paraId="0CDF491E" w14:textId="77777777" w:rsidR="00D35790" w:rsidRPr="00AD2961" w:rsidRDefault="00D35790" w:rsidP="00D35790">
      <w:pPr>
        <w:rPr>
          <w:rFonts w:cs="Arial"/>
          <w:b/>
          <w:bCs/>
        </w:rPr>
      </w:pPr>
      <w:r w:rsidRPr="00AD2961">
        <w:rPr>
          <w:rFonts w:cs="Arial"/>
          <w:b/>
          <w:bCs/>
        </w:rPr>
        <w:t>Step 1: Estimate standard error of log(RR)</w:t>
      </w:r>
    </w:p>
    <w:p w14:paraId="6D04AF34" w14:textId="67138838" w:rsidR="00D35790" w:rsidRPr="00AD2961" w:rsidRDefault="00D35790" w:rsidP="00D35790">
      <w:pPr>
        <w:rPr>
          <w:rFonts w:cs="Arial"/>
        </w:rPr>
      </w:pPr>
      <m:oMathPara>
        <m:oMath>
          <m:r>
            <w:rPr>
              <w:rFonts w:ascii="Cambria Math" w:hAnsi="Cambria Math" w:cs="Arial"/>
            </w:rPr>
            <m:t>S</m:t>
          </m:r>
          <m:sSub>
            <m:sSubPr>
              <m:ctrlPr>
                <w:rPr>
                  <w:rFonts w:ascii="Cambria Math" w:hAnsi="Cambria Math" w:cs="Arial"/>
                </w:rPr>
              </m:ctrlPr>
            </m:sSubPr>
            <m:e>
              <m:r>
                <w:rPr>
                  <w:rFonts w:ascii="Cambria Math" w:hAnsi="Cambria Math" w:cs="Arial"/>
                </w:rPr>
                <m:t>E</m:t>
              </m:r>
            </m:e>
            <m:sub>
              <m:r>
                <m:rPr>
                  <m:sty m:val="p"/>
                </m:rPr>
                <w:rPr>
                  <w:rFonts w:ascii="Cambria Math" w:hAnsi="Cambria Math" w:cs="Arial"/>
                </w:rPr>
                <m:t>log</m:t>
              </m:r>
              <m:r>
                <w:rPr>
                  <w:rFonts w:ascii="Cambria Math" w:hAnsi="Cambria Math" w:cs="Arial"/>
                </w:rPr>
                <m:t>⁡RR</m:t>
              </m:r>
            </m:sub>
          </m:sSub>
          <m:r>
            <w:rPr>
              <w:rFonts w:ascii="Cambria Math" w:hAnsi="Cambria Math" w:cs="Arial"/>
            </w:rPr>
            <m:t>=</m:t>
          </m:r>
          <m:f>
            <m:fPr>
              <m:ctrlPr>
                <w:rPr>
                  <w:rFonts w:ascii="Cambria Math" w:hAnsi="Cambria Math" w:cs="Arial"/>
                </w:rPr>
              </m:ctrlPr>
            </m:fPr>
            <m:num>
              <m:r>
                <m:rPr>
                  <m:sty m:val="p"/>
                </m:rPr>
                <w:rPr>
                  <w:rFonts w:ascii="Cambria Math" w:hAnsi="Cambria Math" w:cs="Arial"/>
                </w:rPr>
                <m:t>log</m:t>
              </m:r>
              <m:r>
                <w:rPr>
                  <w:rFonts w:ascii="Cambria Math" w:hAnsi="Cambria Math" w:cs="Arial"/>
                </w:rPr>
                <m:t>⁡(R</m:t>
              </m:r>
              <m:sSub>
                <m:sSubPr>
                  <m:ctrlPr>
                    <w:rPr>
                      <w:rFonts w:ascii="Cambria Math" w:hAnsi="Cambria Math" w:cs="Arial"/>
                    </w:rPr>
                  </m:ctrlPr>
                </m:sSubPr>
                <m:e>
                  <m:r>
                    <w:rPr>
                      <w:rFonts w:ascii="Cambria Math" w:hAnsi="Cambria Math" w:cs="Arial"/>
                    </w:rPr>
                    <m:t>R</m:t>
                  </m:r>
                </m:e>
                <m:sub>
                  <m:r>
                    <w:rPr>
                      <w:rFonts w:ascii="Cambria Math" w:hAnsi="Cambria Math" w:cs="Arial"/>
                    </w:rPr>
                    <m:t>U</m:t>
                  </m:r>
                </m:sub>
              </m:sSub>
              <m:r>
                <w:rPr>
                  <w:rFonts w:ascii="Cambria Math" w:hAnsi="Cambria Math" w:cs="Arial"/>
                </w:rPr>
                <m:t>)-</m:t>
              </m:r>
              <m:r>
                <m:rPr>
                  <m:sty m:val="p"/>
                </m:rPr>
                <w:rPr>
                  <w:rFonts w:ascii="Cambria Math" w:hAnsi="Cambria Math" w:cs="Arial"/>
                </w:rPr>
                <m:t>log</m:t>
              </m:r>
              <m:r>
                <w:rPr>
                  <w:rFonts w:ascii="Cambria Math" w:hAnsi="Cambria Math" w:cs="Arial"/>
                </w:rPr>
                <m:t>⁡(R</m:t>
              </m:r>
              <m:sSub>
                <m:sSubPr>
                  <m:ctrlPr>
                    <w:rPr>
                      <w:rFonts w:ascii="Cambria Math" w:hAnsi="Cambria Math" w:cs="Arial"/>
                    </w:rPr>
                  </m:ctrlPr>
                </m:sSubPr>
                <m:e>
                  <m:r>
                    <w:rPr>
                      <w:rFonts w:ascii="Cambria Math" w:hAnsi="Cambria Math" w:cs="Arial"/>
                    </w:rPr>
                    <m:t>R</m:t>
                  </m:r>
                </m:e>
                <m:sub>
                  <m:r>
                    <w:rPr>
                      <w:rFonts w:ascii="Cambria Math" w:hAnsi="Cambria Math" w:cs="Arial"/>
                    </w:rPr>
                    <m:t>L</m:t>
                  </m:r>
                </m:sub>
              </m:sSub>
              <m:r>
                <w:rPr>
                  <w:rFonts w:ascii="Cambria Math" w:hAnsi="Cambria Math" w:cs="Arial"/>
                </w:rPr>
                <m:t>)</m:t>
              </m:r>
            </m:num>
            <m:den>
              <m:r>
                <w:rPr>
                  <w:rFonts w:ascii="Cambria Math" w:hAnsi="Cambria Math" w:cs="Arial"/>
                </w:rPr>
                <m:t>2×1.96</m:t>
              </m:r>
            </m:den>
          </m:f>
          <m:r>
            <m:rPr>
              <m:sty m:val="p"/>
            </m:rPr>
            <w:rPr>
              <w:rFonts w:cs="Arial"/>
            </w:rPr>
            <w:br/>
          </m:r>
        </m:oMath>
      </m:oMathPara>
    </w:p>
    <w:p w14:paraId="67C25DA4" w14:textId="77777777" w:rsidR="00D35790" w:rsidRPr="00AD2961" w:rsidRDefault="00D35790" w:rsidP="00D35790">
      <w:pPr>
        <w:rPr>
          <w:rFonts w:cs="Arial"/>
          <w:b/>
          <w:bCs/>
        </w:rPr>
      </w:pPr>
      <w:r w:rsidRPr="00AD2961">
        <w:rPr>
          <w:rFonts w:cs="Arial"/>
          <w:b/>
          <w:bCs/>
        </w:rPr>
        <w:t>Step 2: Draw 10,000 simulated RRs</w:t>
      </w:r>
    </w:p>
    <w:p w14:paraId="268F513E" w14:textId="2599CAC8" w:rsidR="00D35790" w:rsidRPr="00AD2961" w:rsidRDefault="00D35790" w:rsidP="00D35790">
      <w:pPr>
        <w:rPr>
          <w:rFonts w:cs="Arial"/>
        </w:rPr>
      </w:pPr>
      <m:oMathPara>
        <m:oMath>
          <m:r>
            <w:rPr>
              <w:rFonts w:ascii="Cambria Math" w:hAnsi="Cambria Math" w:cs="Arial"/>
            </w:rPr>
            <m:t>R</m:t>
          </m:r>
          <m:sSup>
            <m:sSupPr>
              <m:ctrlPr>
                <w:rPr>
                  <w:rFonts w:ascii="Cambria Math" w:hAnsi="Cambria Math" w:cs="Arial"/>
                </w:rPr>
              </m:ctrlPr>
            </m:sSupPr>
            <m:e>
              <m:r>
                <w:rPr>
                  <w:rFonts w:ascii="Cambria Math" w:hAnsi="Cambria Math" w:cs="Arial"/>
                </w:rPr>
                <m:t>R</m:t>
              </m:r>
            </m:e>
            <m:sup>
              <m:d>
                <m:dPr>
                  <m:ctrlPr>
                    <w:rPr>
                      <w:rFonts w:ascii="Cambria Math" w:hAnsi="Cambria Math" w:cs="Arial"/>
                    </w:rPr>
                  </m:ctrlPr>
                </m:dPr>
                <m:e>
                  <m:r>
                    <w:rPr>
                      <w:rFonts w:ascii="Cambria Math" w:hAnsi="Cambria Math" w:cs="Arial"/>
                    </w:rPr>
                    <m:t>b</m:t>
                  </m:r>
                </m:e>
              </m:d>
            </m:sup>
          </m:sSup>
          <m:r>
            <w:rPr>
              <w:rFonts w:ascii="Cambria Math" w:hAnsi="Cambria Math" w:cs="Arial"/>
            </w:rPr>
            <m:t>=</m:t>
          </m:r>
          <m:r>
            <m:rPr>
              <m:sty m:val="p"/>
            </m:rPr>
            <w:rPr>
              <w:rFonts w:ascii="Cambria Math" w:hAnsi="Cambria Math" w:cs="Arial"/>
            </w:rPr>
            <m:t>exp</m:t>
          </m:r>
          <m:r>
            <m:rPr>
              <m:scr m:val="script"/>
            </m:rPr>
            <w:rPr>
              <w:rFonts w:ascii="Cambria Math" w:hAnsi="Cambria Math" w:cs="Arial"/>
            </w:rPr>
            <m:t>⁡(N(</m:t>
          </m:r>
          <m:r>
            <m:rPr>
              <m:sty m:val="p"/>
            </m:rPr>
            <w:rPr>
              <w:rFonts w:ascii="Cambria Math" w:hAnsi="Cambria Math" w:cs="Arial"/>
            </w:rPr>
            <m:t>log</m:t>
          </m:r>
          <m:r>
            <w:rPr>
              <w:rFonts w:ascii="Cambria Math" w:hAnsi="Cambria Math" w:cs="Arial"/>
            </w:rPr>
            <m:t>⁡RR,</m:t>
          </m:r>
          <m:r>
            <m:rPr>
              <m:nor/>
            </m:rPr>
            <w:rPr>
              <w:rFonts w:ascii="Arial" w:hAnsi="Arial" w:cs="Arial"/>
            </w:rPr>
            <m:t>  </m:t>
          </m:r>
          <m:r>
            <w:rPr>
              <w:rFonts w:ascii="Cambria Math" w:hAnsi="Cambria Math" w:cs="Arial"/>
            </w:rPr>
            <m:t>S</m:t>
          </m:r>
          <m:sSubSup>
            <m:sSubSupPr>
              <m:ctrlPr>
                <w:rPr>
                  <w:rFonts w:ascii="Cambria Math" w:hAnsi="Cambria Math" w:cs="Arial"/>
                </w:rPr>
              </m:ctrlPr>
            </m:sSubSupPr>
            <m:e>
              <m:r>
                <w:rPr>
                  <w:rFonts w:ascii="Cambria Math" w:hAnsi="Cambria Math" w:cs="Arial"/>
                </w:rPr>
                <m:t>E</m:t>
              </m:r>
            </m:e>
            <m:sub>
              <m:r>
                <m:rPr>
                  <m:sty m:val="p"/>
                </m:rPr>
                <w:rPr>
                  <w:rFonts w:ascii="Cambria Math" w:hAnsi="Cambria Math" w:cs="Arial"/>
                </w:rPr>
                <m:t>log</m:t>
              </m:r>
              <m:r>
                <w:rPr>
                  <w:rFonts w:ascii="Cambria Math" w:hAnsi="Cambria Math" w:cs="Arial"/>
                </w:rPr>
                <m:t>⁡RR</m:t>
              </m:r>
            </m:sub>
            <m:sup>
              <m:r>
                <w:rPr>
                  <w:rFonts w:ascii="Cambria Math" w:hAnsi="Cambria Math" w:cs="Arial"/>
                </w:rPr>
                <m:t>2</m:t>
              </m:r>
            </m:sup>
          </m:sSubSup>
          <m:r>
            <w:rPr>
              <w:rFonts w:ascii="Cambria Math" w:hAnsi="Cambria Math" w:cs="Arial"/>
            </w:rPr>
            <m:t>)),b=1,…,</m:t>
          </m:r>
          <m:r>
            <m:rPr>
              <m:sty m:val="p"/>
            </m:rPr>
            <w:rPr>
              <w:rFonts w:ascii="Cambria Math" w:hAnsi="Cambria Math" w:cs="Arial"/>
            </w:rPr>
            <m:t>10,000</m:t>
          </m:r>
          <m:r>
            <m:rPr>
              <m:sty m:val="p"/>
            </m:rPr>
            <w:rPr>
              <w:rFonts w:cs="Arial"/>
            </w:rPr>
            <w:br/>
          </m:r>
        </m:oMath>
      </m:oMathPara>
    </w:p>
    <w:p w14:paraId="632C8A3E" w14:textId="77777777" w:rsidR="00D35790" w:rsidRPr="00AD2961" w:rsidRDefault="00D35790" w:rsidP="00D35790">
      <w:pPr>
        <w:rPr>
          <w:rFonts w:cs="Arial"/>
          <w:b/>
          <w:bCs/>
        </w:rPr>
      </w:pPr>
      <w:r w:rsidRPr="00AD2961">
        <w:rPr>
          <w:rFonts w:cs="Arial"/>
          <w:b/>
          <w:bCs/>
        </w:rPr>
        <w:t>Step 3: Compute corresponding predicted probabilities</w:t>
      </w:r>
    </w:p>
    <w:p w14:paraId="3EC05ABE" w14:textId="45A540BD" w:rsidR="00D35790" w:rsidRPr="00AD2961" w:rsidRDefault="00000000" w:rsidP="00D35790">
      <w:pPr>
        <w:rPr>
          <w:rFonts w:cs="Arial"/>
        </w:rPr>
      </w:pPr>
      <m:oMathPara>
        <m:oMath>
          <m:sSubSup>
            <m:sSubSupPr>
              <m:ctrlPr>
                <w:rPr>
                  <w:rFonts w:ascii="Cambria Math" w:hAnsi="Cambria Math" w:cs="Arial"/>
                </w:rPr>
              </m:ctrlPr>
            </m:sSubSupPr>
            <m:e>
              <m:r>
                <w:rPr>
                  <w:rFonts w:ascii="Cambria Math" w:hAnsi="Cambria Math" w:cs="Arial"/>
                </w:rPr>
                <m:t>P</m:t>
              </m:r>
            </m:e>
            <m:sub>
              <m:r>
                <w:rPr>
                  <w:rFonts w:ascii="Cambria Math" w:hAnsi="Cambria Math" w:cs="Arial"/>
                </w:rPr>
                <m:t>1</m:t>
              </m:r>
            </m:sub>
            <m:sup>
              <m:d>
                <m:dPr>
                  <m:ctrlPr>
                    <w:rPr>
                      <w:rFonts w:ascii="Cambria Math" w:hAnsi="Cambria Math" w:cs="Arial"/>
                    </w:rPr>
                  </m:ctrlPr>
                </m:dPr>
                <m:e>
                  <m:r>
                    <w:rPr>
                      <w:rFonts w:ascii="Cambria Math" w:hAnsi="Cambria Math" w:cs="Arial"/>
                    </w:rPr>
                    <m:t>b</m:t>
                  </m:r>
                </m:e>
              </m:d>
            </m:sup>
          </m:sSubSup>
          <m:r>
            <w:rPr>
              <w:rFonts w:ascii="Cambria Math" w:hAnsi="Cambria Math" w:cs="Arial"/>
            </w:rPr>
            <m:t>=</m:t>
          </m:r>
          <m:f>
            <m:fPr>
              <m:ctrlPr>
                <w:rPr>
                  <w:rFonts w:ascii="Cambria Math" w:hAnsi="Cambria Math" w:cs="Arial"/>
                </w:rPr>
              </m:ctrlPr>
            </m:fPr>
            <m:num>
              <m:r>
                <w:rPr>
                  <w:rFonts w:ascii="Cambria Math" w:hAnsi="Cambria Math" w:cs="Arial"/>
                </w:rPr>
                <m:t>R</m:t>
              </m:r>
              <m:sSup>
                <m:sSupPr>
                  <m:ctrlPr>
                    <w:rPr>
                      <w:rFonts w:ascii="Cambria Math" w:hAnsi="Cambria Math" w:cs="Arial"/>
                    </w:rPr>
                  </m:ctrlPr>
                </m:sSupPr>
                <m:e>
                  <m:r>
                    <w:rPr>
                      <w:rFonts w:ascii="Cambria Math" w:hAnsi="Cambria Math" w:cs="Arial"/>
                    </w:rPr>
                    <m:t>R</m:t>
                  </m:r>
                </m:e>
                <m:sup>
                  <m:d>
                    <m:dPr>
                      <m:ctrlPr>
                        <w:rPr>
                          <w:rFonts w:ascii="Cambria Math" w:hAnsi="Cambria Math" w:cs="Arial"/>
                        </w:rPr>
                      </m:ctrlPr>
                    </m:dPr>
                    <m:e>
                      <m:r>
                        <w:rPr>
                          <w:rFonts w:ascii="Cambria Math" w:hAnsi="Cambria Math" w:cs="Arial"/>
                        </w:rPr>
                        <m:t>b</m:t>
                      </m:r>
                    </m:e>
                  </m:d>
                </m:sup>
              </m:sSup>
              <m:r>
                <w:rPr>
                  <w:rFonts w:ascii="Cambria Math" w:hAnsi="Cambria Math" w:cs="Arial"/>
                </w:rPr>
                <m:t>×</m:t>
              </m:r>
              <m:sSub>
                <m:sSubPr>
                  <m:ctrlPr>
                    <w:rPr>
                      <w:rFonts w:ascii="Cambria Math" w:hAnsi="Cambria Math" w:cs="Arial"/>
                    </w:rPr>
                  </m:ctrlPr>
                </m:sSubPr>
                <m:e>
                  <m:r>
                    <w:rPr>
                      <w:rFonts w:ascii="Cambria Math" w:hAnsi="Cambria Math" w:cs="Arial"/>
                    </w:rPr>
                    <m:t>P</m:t>
                  </m:r>
                </m:e>
                <m:sub>
                  <m:r>
                    <w:rPr>
                      <w:rFonts w:ascii="Cambria Math" w:hAnsi="Cambria Math" w:cs="Arial"/>
                    </w:rPr>
                    <m:t>0</m:t>
                  </m:r>
                </m:sub>
              </m:sSub>
            </m:num>
            <m:den>
              <m:r>
                <w:rPr>
                  <w:rFonts w:ascii="Cambria Math" w:hAnsi="Cambria Math" w:cs="Arial"/>
                </w:rPr>
                <m:t>1-</m:t>
              </m:r>
              <m:sSub>
                <m:sSubPr>
                  <m:ctrlPr>
                    <w:rPr>
                      <w:rFonts w:ascii="Cambria Math" w:hAnsi="Cambria Math" w:cs="Arial"/>
                    </w:rPr>
                  </m:ctrlPr>
                </m:sSubPr>
                <m:e>
                  <m:r>
                    <w:rPr>
                      <w:rFonts w:ascii="Cambria Math" w:hAnsi="Cambria Math" w:cs="Arial"/>
                    </w:rPr>
                    <m:t>P</m:t>
                  </m:r>
                </m:e>
                <m:sub>
                  <m:r>
                    <w:rPr>
                      <w:rFonts w:ascii="Cambria Math" w:hAnsi="Cambria Math" w:cs="Arial"/>
                    </w:rPr>
                    <m:t>0</m:t>
                  </m:r>
                </m:sub>
              </m:sSub>
              <m:r>
                <w:rPr>
                  <w:rFonts w:ascii="Cambria Math" w:hAnsi="Cambria Math" w:cs="Arial"/>
                </w:rPr>
                <m:t>+R</m:t>
              </m:r>
              <m:sSup>
                <m:sSupPr>
                  <m:ctrlPr>
                    <w:rPr>
                      <w:rFonts w:ascii="Cambria Math" w:hAnsi="Cambria Math" w:cs="Arial"/>
                    </w:rPr>
                  </m:ctrlPr>
                </m:sSupPr>
                <m:e>
                  <m:r>
                    <w:rPr>
                      <w:rFonts w:ascii="Cambria Math" w:hAnsi="Cambria Math" w:cs="Arial"/>
                    </w:rPr>
                    <m:t>R</m:t>
                  </m:r>
                </m:e>
                <m:sup>
                  <m:d>
                    <m:dPr>
                      <m:ctrlPr>
                        <w:rPr>
                          <w:rFonts w:ascii="Cambria Math" w:hAnsi="Cambria Math" w:cs="Arial"/>
                        </w:rPr>
                      </m:ctrlPr>
                    </m:dPr>
                    <m:e>
                      <m:r>
                        <w:rPr>
                          <w:rFonts w:ascii="Cambria Math" w:hAnsi="Cambria Math" w:cs="Arial"/>
                        </w:rPr>
                        <m:t>b</m:t>
                      </m:r>
                    </m:e>
                  </m:d>
                </m:sup>
              </m:sSup>
              <m:r>
                <w:rPr>
                  <w:rFonts w:ascii="Cambria Math" w:hAnsi="Cambria Math" w:cs="Arial"/>
                </w:rPr>
                <m:t>×</m:t>
              </m:r>
              <m:sSub>
                <m:sSubPr>
                  <m:ctrlPr>
                    <w:rPr>
                      <w:rFonts w:ascii="Cambria Math" w:hAnsi="Cambria Math" w:cs="Arial"/>
                    </w:rPr>
                  </m:ctrlPr>
                </m:sSubPr>
                <m:e>
                  <m:r>
                    <w:rPr>
                      <w:rFonts w:ascii="Cambria Math" w:hAnsi="Cambria Math" w:cs="Arial"/>
                    </w:rPr>
                    <m:t>P</m:t>
                  </m:r>
                </m:e>
                <m:sub>
                  <m:r>
                    <w:rPr>
                      <w:rFonts w:ascii="Cambria Math" w:hAnsi="Cambria Math" w:cs="Arial"/>
                    </w:rPr>
                    <m:t>0</m:t>
                  </m:r>
                </m:sub>
              </m:sSub>
            </m:den>
          </m:f>
          <m:r>
            <m:rPr>
              <m:sty m:val="p"/>
            </m:rPr>
            <w:rPr>
              <w:rFonts w:cs="Arial"/>
            </w:rPr>
            <w:br/>
          </m:r>
        </m:oMath>
      </m:oMathPara>
    </w:p>
    <w:p w14:paraId="74660C47" w14:textId="77777777" w:rsidR="00D35790" w:rsidRPr="00AD2961" w:rsidRDefault="00D35790" w:rsidP="00D35790">
      <w:pPr>
        <w:rPr>
          <w:rFonts w:cs="Arial"/>
        </w:rPr>
      </w:pPr>
      <w:r w:rsidRPr="00AD2961">
        <w:rPr>
          <w:rFonts w:cs="Arial"/>
        </w:rPr>
        <w:t>The 2.5th and 97.5th percentiles of the simulated distribution yielded the 95% CIs:</w:t>
      </w:r>
    </w:p>
    <w:p w14:paraId="09F1F728" w14:textId="01A543F9" w:rsidR="00D35790" w:rsidRPr="00AD2961" w:rsidRDefault="00000000" w:rsidP="00D35790">
      <w:pPr>
        <w:rPr>
          <w:rFonts w:cs="Arial"/>
        </w:rPr>
      </w:pPr>
      <m:oMathPara>
        <m:oMath>
          <m:sSubSup>
            <m:sSubSupPr>
              <m:ctrlPr>
                <w:rPr>
                  <w:rFonts w:ascii="Cambria Math" w:hAnsi="Cambria Math" w:cs="Arial"/>
                </w:rPr>
              </m:ctrlPr>
            </m:sSubSupPr>
            <m:e>
              <m:r>
                <w:rPr>
                  <w:rFonts w:ascii="Cambria Math" w:hAnsi="Cambria Math" w:cs="Arial"/>
                </w:rPr>
                <m:t>P</m:t>
              </m:r>
            </m:e>
            <m:sub>
              <m:r>
                <w:rPr>
                  <w:rFonts w:ascii="Cambria Math" w:hAnsi="Cambria Math" w:cs="Arial"/>
                </w:rPr>
                <m:t>1</m:t>
              </m:r>
            </m:sub>
            <m:sup>
              <m:r>
                <w:rPr>
                  <w:rFonts w:ascii="Cambria Math" w:hAnsi="Cambria Math" w:cs="Arial"/>
                </w:rPr>
                <m:t>LCL</m:t>
              </m:r>
            </m:sup>
          </m:sSubSup>
          <m:r>
            <w:rPr>
              <w:rFonts w:ascii="Cambria Math" w:hAnsi="Cambria Math" w:cs="Arial"/>
            </w:rPr>
            <m:t>=</m:t>
          </m:r>
          <m:r>
            <m:rPr>
              <m:nor/>
            </m:rPr>
            <w:rPr>
              <w:rFonts w:cs="Arial"/>
            </w:rPr>
            <m:t>quantile</m:t>
          </m:r>
          <m:r>
            <w:rPr>
              <w:rFonts w:ascii="Cambria Math" w:hAnsi="Cambria Math" w:cs="Arial"/>
            </w:rPr>
            <m:t>(</m:t>
          </m:r>
          <m:sSubSup>
            <m:sSubSupPr>
              <m:ctrlPr>
                <w:rPr>
                  <w:rFonts w:ascii="Cambria Math" w:hAnsi="Cambria Math" w:cs="Arial"/>
                </w:rPr>
              </m:ctrlPr>
            </m:sSubSupPr>
            <m:e>
              <m:r>
                <w:rPr>
                  <w:rFonts w:ascii="Cambria Math" w:hAnsi="Cambria Math" w:cs="Arial"/>
                </w:rPr>
                <m:t>P</m:t>
              </m:r>
            </m:e>
            <m:sub>
              <m:r>
                <w:rPr>
                  <w:rFonts w:ascii="Cambria Math" w:hAnsi="Cambria Math" w:cs="Arial"/>
                </w:rPr>
                <m:t>1</m:t>
              </m:r>
            </m:sub>
            <m:sup>
              <m:d>
                <m:dPr>
                  <m:ctrlPr>
                    <w:rPr>
                      <w:rFonts w:ascii="Cambria Math" w:hAnsi="Cambria Math" w:cs="Arial"/>
                    </w:rPr>
                  </m:ctrlPr>
                </m:dPr>
                <m:e>
                  <m:r>
                    <w:rPr>
                      <w:rFonts w:ascii="Cambria Math" w:hAnsi="Cambria Math" w:cs="Arial"/>
                    </w:rPr>
                    <m:t>b</m:t>
                  </m:r>
                </m:e>
              </m:d>
            </m:sup>
          </m:sSubSup>
          <m:r>
            <w:rPr>
              <w:rFonts w:ascii="Cambria Math" w:hAnsi="Cambria Math" w:cs="Arial"/>
            </w:rPr>
            <m:t>,0.025),</m:t>
          </m:r>
          <m:sSubSup>
            <m:sSubSupPr>
              <m:ctrlPr>
                <w:rPr>
                  <w:rFonts w:ascii="Cambria Math" w:hAnsi="Cambria Math" w:cs="Arial"/>
                </w:rPr>
              </m:ctrlPr>
            </m:sSubSupPr>
            <m:e>
              <m:r>
                <w:rPr>
                  <w:rFonts w:ascii="Cambria Math" w:hAnsi="Cambria Math" w:cs="Arial"/>
                </w:rPr>
                <m:t>P</m:t>
              </m:r>
            </m:e>
            <m:sub>
              <m:r>
                <w:rPr>
                  <w:rFonts w:ascii="Cambria Math" w:hAnsi="Cambria Math" w:cs="Arial"/>
                </w:rPr>
                <m:t>1</m:t>
              </m:r>
            </m:sub>
            <m:sup>
              <m:r>
                <w:rPr>
                  <w:rFonts w:ascii="Cambria Math" w:hAnsi="Cambria Math" w:cs="Arial"/>
                </w:rPr>
                <m:t>UCL</m:t>
              </m:r>
            </m:sup>
          </m:sSubSup>
          <m:r>
            <w:rPr>
              <w:rFonts w:ascii="Cambria Math" w:hAnsi="Cambria Math" w:cs="Arial"/>
            </w:rPr>
            <m:t>=</m:t>
          </m:r>
          <m:r>
            <m:rPr>
              <m:nor/>
            </m:rPr>
            <w:rPr>
              <w:rFonts w:cs="Arial"/>
            </w:rPr>
            <m:t>quantile</m:t>
          </m:r>
          <m:r>
            <w:rPr>
              <w:rFonts w:ascii="Cambria Math" w:hAnsi="Cambria Math" w:cs="Arial"/>
            </w:rPr>
            <m:t>(</m:t>
          </m:r>
          <m:sSubSup>
            <m:sSubSupPr>
              <m:ctrlPr>
                <w:rPr>
                  <w:rFonts w:ascii="Cambria Math" w:hAnsi="Cambria Math" w:cs="Arial"/>
                </w:rPr>
              </m:ctrlPr>
            </m:sSubSupPr>
            <m:e>
              <m:r>
                <w:rPr>
                  <w:rFonts w:ascii="Cambria Math" w:hAnsi="Cambria Math" w:cs="Arial"/>
                </w:rPr>
                <m:t>P</m:t>
              </m:r>
            </m:e>
            <m:sub>
              <m:r>
                <w:rPr>
                  <w:rFonts w:ascii="Cambria Math" w:hAnsi="Cambria Math" w:cs="Arial"/>
                </w:rPr>
                <m:t>1</m:t>
              </m:r>
            </m:sub>
            <m:sup>
              <m:d>
                <m:dPr>
                  <m:ctrlPr>
                    <w:rPr>
                      <w:rFonts w:ascii="Cambria Math" w:hAnsi="Cambria Math" w:cs="Arial"/>
                    </w:rPr>
                  </m:ctrlPr>
                </m:dPr>
                <m:e>
                  <m:r>
                    <w:rPr>
                      <w:rFonts w:ascii="Cambria Math" w:hAnsi="Cambria Math" w:cs="Arial"/>
                    </w:rPr>
                    <m:t>b</m:t>
                  </m:r>
                </m:e>
              </m:d>
            </m:sup>
          </m:sSubSup>
          <m:r>
            <w:rPr>
              <w:rFonts w:ascii="Cambria Math" w:hAnsi="Cambria Math" w:cs="Arial"/>
            </w:rPr>
            <m:t>,0.975)</m:t>
          </m:r>
          <m:r>
            <m:rPr>
              <m:sty m:val="p"/>
            </m:rPr>
            <w:rPr>
              <w:rFonts w:cs="Arial"/>
            </w:rPr>
            <w:br/>
          </m:r>
        </m:oMath>
      </m:oMathPara>
    </w:p>
    <w:p w14:paraId="22A37AA5" w14:textId="77777777" w:rsidR="00D35790" w:rsidRPr="00AD2961" w:rsidRDefault="00D35790" w:rsidP="00D35790">
      <w:pPr>
        <w:rPr>
          <w:rFonts w:cs="Arial"/>
        </w:rPr>
      </w:pPr>
      <w:r w:rsidRPr="00AD2961">
        <w:rPr>
          <w:rFonts w:cs="Arial"/>
        </w:rPr>
        <w:lastRenderedPageBreak/>
        <w:t xml:space="preserve">We additionally computed the </w:t>
      </w:r>
      <w:r w:rsidRPr="00AD2961">
        <w:rPr>
          <w:rFonts w:cs="Arial"/>
          <w:b/>
          <w:bCs/>
        </w:rPr>
        <w:t>absolute disaster-attributable change</w:t>
      </w:r>
      <w:r w:rsidRPr="00AD2961">
        <w:rPr>
          <w:rFonts w:cs="Arial"/>
        </w:rPr>
        <w:t>:</w:t>
      </w:r>
    </w:p>
    <w:p w14:paraId="74A4DFDC" w14:textId="65AA4027" w:rsidR="00D35790" w:rsidRPr="00AD2961" w:rsidRDefault="00D35790" w:rsidP="00D35790">
      <w:pPr>
        <w:rPr>
          <w:rFonts w:cs="Arial"/>
        </w:rPr>
      </w:pPr>
      <m:oMathPara>
        <m:oMath>
          <m:r>
            <m:rPr>
              <m:sty m:val="p"/>
            </m:rPr>
            <w:rPr>
              <w:rFonts w:ascii="Cambria Math" w:hAnsi="Cambria Math" w:cs="Arial"/>
            </w:rPr>
            <m:t>Δ</m:t>
          </m:r>
          <m:r>
            <w:rPr>
              <w:rFonts w:ascii="Cambria Math" w:hAnsi="Cambria Math" w:cs="Arial"/>
            </w:rPr>
            <m:t>=</m:t>
          </m:r>
          <m:sSub>
            <m:sSubPr>
              <m:ctrlPr>
                <w:rPr>
                  <w:rFonts w:ascii="Cambria Math" w:hAnsi="Cambria Math" w:cs="Arial"/>
                </w:rPr>
              </m:ctrlPr>
            </m:sSubPr>
            <m:e>
              <m:r>
                <w:rPr>
                  <w:rFonts w:ascii="Cambria Math" w:hAnsi="Cambria Math" w:cs="Arial"/>
                </w:rPr>
                <m:t>P</m:t>
              </m:r>
            </m:e>
            <m:sub>
              <m:r>
                <w:rPr>
                  <w:rFonts w:ascii="Cambria Math" w:hAnsi="Cambria Math" w:cs="Arial"/>
                </w:rPr>
                <m:t>1</m:t>
              </m:r>
            </m:sub>
          </m:sSub>
          <m:r>
            <w:rPr>
              <w:rFonts w:ascii="Cambria Math" w:hAnsi="Cambria Math" w:cs="Arial"/>
            </w:rPr>
            <m:t>-</m:t>
          </m:r>
          <m:sSub>
            <m:sSubPr>
              <m:ctrlPr>
                <w:rPr>
                  <w:rFonts w:ascii="Cambria Math" w:hAnsi="Cambria Math" w:cs="Arial"/>
                </w:rPr>
              </m:ctrlPr>
            </m:sSubPr>
            <m:e>
              <m:r>
                <w:rPr>
                  <w:rFonts w:ascii="Cambria Math" w:hAnsi="Cambria Math" w:cs="Arial"/>
                </w:rPr>
                <m:t>P</m:t>
              </m:r>
            </m:e>
            <m:sub>
              <m:r>
                <w:rPr>
                  <w:rFonts w:ascii="Cambria Math" w:hAnsi="Cambria Math" w:cs="Arial"/>
                </w:rPr>
                <m:t>0</m:t>
              </m:r>
            </m:sub>
          </m:sSub>
          <m:r>
            <m:rPr>
              <m:sty m:val="p"/>
            </m:rPr>
            <w:rPr>
              <w:rFonts w:cs="Arial"/>
            </w:rPr>
            <w:br/>
          </m:r>
        </m:oMath>
      </m:oMathPara>
    </w:p>
    <w:p w14:paraId="742CE58B" w14:textId="77777777" w:rsidR="00D35790" w:rsidRPr="00AD2961" w:rsidRDefault="00D35790" w:rsidP="00D35790">
      <w:pPr>
        <w:rPr>
          <w:rFonts w:cs="Arial"/>
        </w:rPr>
      </w:pPr>
      <w:r w:rsidRPr="00AD2961">
        <w:rPr>
          <w:rFonts w:cs="Arial"/>
        </w:rPr>
        <w:t>with corresponding simulation-based uncertainty:</w:t>
      </w:r>
    </w:p>
    <w:p w14:paraId="1F889EFF" w14:textId="567217C9" w:rsidR="002F703D" w:rsidRPr="00AD2961" w:rsidRDefault="00000000" w:rsidP="00D35790">
      <w:pPr>
        <w:rPr>
          <w:rFonts w:cs="Arial"/>
        </w:rPr>
      </w:pPr>
      <m:oMathPara>
        <m:oMath>
          <m:sSup>
            <m:sSupPr>
              <m:ctrlPr>
                <w:rPr>
                  <w:rFonts w:ascii="Cambria Math" w:hAnsi="Cambria Math" w:cs="Arial"/>
                </w:rPr>
              </m:ctrlPr>
            </m:sSupPr>
            <m:e>
              <m:r>
                <m:rPr>
                  <m:sty m:val="p"/>
                </m:rPr>
                <w:rPr>
                  <w:rFonts w:ascii="Cambria Math" w:hAnsi="Cambria Math" w:cs="Arial"/>
                </w:rPr>
                <m:t>Δ</m:t>
              </m:r>
            </m:e>
            <m:sup>
              <m:d>
                <m:dPr>
                  <m:ctrlPr>
                    <w:rPr>
                      <w:rFonts w:ascii="Cambria Math" w:hAnsi="Cambria Math" w:cs="Arial"/>
                    </w:rPr>
                  </m:ctrlPr>
                </m:dPr>
                <m:e>
                  <m:r>
                    <w:rPr>
                      <w:rFonts w:ascii="Cambria Math" w:hAnsi="Cambria Math" w:cs="Arial"/>
                    </w:rPr>
                    <m:t>b</m:t>
                  </m:r>
                </m:e>
              </m:d>
            </m:sup>
          </m:sSup>
          <m:r>
            <w:rPr>
              <w:rFonts w:ascii="Cambria Math" w:hAnsi="Cambria Math" w:cs="Arial"/>
            </w:rPr>
            <m:t>=</m:t>
          </m:r>
          <m:sSubSup>
            <m:sSubSupPr>
              <m:ctrlPr>
                <w:rPr>
                  <w:rFonts w:ascii="Cambria Math" w:hAnsi="Cambria Math" w:cs="Arial"/>
                </w:rPr>
              </m:ctrlPr>
            </m:sSubSupPr>
            <m:e>
              <m:r>
                <w:rPr>
                  <w:rFonts w:ascii="Cambria Math" w:hAnsi="Cambria Math" w:cs="Arial"/>
                </w:rPr>
                <m:t>P</m:t>
              </m:r>
            </m:e>
            <m:sub>
              <m:r>
                <w:rPr>
                  <w:rFonts w:ascii="Cambria Math" w:hAnsi="Cambria Math" w:cs="Arial"/>
                </w:rPr>
                <m:t>1</m:t>
              </m:r>
            </m:sub>
            <m:sup>
              <m:d>
                <m:dPr>
                  <m:ctrlPr>
                    <w:rPr>
                      <w:rFonts w:ascii="Cambria Math" w:hAnsi="Cambria Math" w:cs="Arial"/>
                    </w:rPr>
                  </m:ctrlPr>
                </m:dPr>
                <m:e>
                  <m:r>
                    <w:rPr>
                      <w:rFonts w:ascii="Cambria Math" w:hAnsi="Cambria Math" w:cs="Arial"/>
                    </w:rPr>
                    <m:t>b</m:t>
                  </m:r>
                </m:e>
              </m:d>
            </m:sup>
          </m:sSubSup>
          <m:r>
            <w:rPr>
              <w:rFonts w:ascii="Cambria Math" w:hAnsi="Cambria Math" w:cs="Arial"/>
            </w:rPr>
            <m:t>-</m:t>
          </m:r>
          <m:sSub>
            <m:sSubPr>
              <m:ctrlPr>
                <w:rPr>
                  <w:rFonts w:ascii="Cambria Math" w:hAnsi="Cambria Math" w:cs="Arial"/>
                </w:rPr>
              </m:ctrlPr>
            </m:sSubPr>
            <m:e>
              <m:r>
                <w:rPr>
                  <w:rFonts w:ascii="Cambria Math" w:hAnsi="Cambria Math" w:cs="Arial"/>
                </w:rPr>
                <m:t>P</m:t>
              </m:r>
            </m:e>
            <m:sub>
              <m:r>
                <w:rPr>
                  <w:rFonts w:ascii="Cambria Math" w:hAnsi="Cambria Math" w:cs="Arial"/>
                </w:rPr>
                <m:t>0</m:t>
              </m:r>
            </m:sub>
          </m:sSub>
          <m:r>
            <m:rPr>
              <m:sty m:val="p"/>
            </m:rPr>
            <w:rPr>
              <w:rFonts w:cs="Arial"/>
            </w:rPr>
            <w:br/>
          </m:r>
        </m:oMath>
      </m:oMathPara>
    </w:p>
    <w:p w14:paraId="1F430487" w14:textId="5A3277DB" w:rsidR="00AD2961" w:rsidRPr="00E1710A" w:rsidRDefault="00AD2961" w:rsidP="00E1710A">
      <w:pPr>
        <w:pStyle w:val="ListParagraph"/>
        <w:numPr>
          <w:ilvl w:val="0"/>
          <w:numId w:val="7"/>
        </w:numPr>
        <w:rPr>
          <w:rFonts w:cs="Arial"/>
          <w:b/>
          <w:bCs/>
        </w:rPr>
      </w:pPr>
      <w:r w:rsidRPr="00E1710A">
        <w:rPr>
          <w:rFonts w:cs="Arial"/>
          <w:b/>
          <w:bCs/>
        </w:rPr>
        <w:t>Results</w:t>
      </w:r>
    </w:p>
    <w:p w14:paraId="69116584" w14:textId="77777777" w:rsidR="00AD2961" w:rsidRPr="00AD2961" w:rsidRDefault="00AD2961" w:rsidP="00AD2961">
      <w:pPr>
        <w:rPr>
          <w:rFonts w:cs="Arial"/>
          <w:b/>
          <w:bCs/>
        </w:rPr>
      </w:pPr>
      <w:r w:rsidRPr="00AD2961">
        <w:rPr>
          <w:rFonts w:cs="Arial"/>
          <w:b/>
          <w:bCs/>
        </w:rPr>
        <w:t>Scenario 1: Mothers without access to free primary education</w:t>
      </w:r>
    </w:p>
    <w:p w14:paraId="5B706BD1" w14:textId="77777777" w:rsidR="00AD2961" w:rsidRPr="00AD2961" w:rsidRDefault="00AD2961" w:rsidP="00AD2961">
      <w:pPr>
        <w:numPr>
          <w:ilvl w:val="0"/>
          <w:numId w:val="8"/>
        </w:numPr>
        <w:rPr>
          <w:rFonts w:cs="Arial"/>
        </w:rPr>
      </w:pPr>
      <w:r w:rsidRPr="00AD2961">
        <w:rPr>
          <w:rFonts w:cs="Arial"/>
        </w:rPr>
        <w:t>Baseline probability (no disaster):</w:t>
      </w:r>
    </w:p>
    <w:p w14:paraId="02E51C3A" w14:textId="4C662EC9" w:rsidR="00AD2961" w:rsidRPr="00AD2961" w:rsidRDefault="00000000" w:rsidP="00AD2961">
      <w:pPr>
        <w:rPr>
          <w:rFonts w:cs="Arial"/>
        </w:rPr>
      </w:pPr>
      <m:oMathPara>
        <m:oMath>
          <m:sSub>
            <m:sSubPr>
              <m:ctrlPr>
                <w:rPr>
                  <w:rFonts w:ascii="Cambria Math" w:hAnsi="Cambria Math" w:cs="Arial"/>
                </w:rPr>
              </m:ctrlPr>
            </m:sSubPr>
            <m:e>
              <m:r>
                <w:rPr>
                  <w:rFonts w:ascii="Cambria Math" w:hAnsi="Cambria Math" w:cs="Arial"/>
                </w:rPr>
                <m:t>P</m:t>
              </m:r>
            </m:e>
            <m:sub>
              <m:r>
                <w:rPr>
                  <w:rFonts w:ascii="Cambria Math" w:hAnsi="Cambria Math" w:cs="Arial"/>
                </w:rPr>
                <m:t>0</m:t>
              </m:r>
            </m:sub>
          </m:sSub>
          <m:r>
            <w:rPr>
              <w:rFonts w:ascii="Cambria Math" w:hAnsi="Cambria Math" w:cs="Arial"/>
            </w:rPr>
            <m:t>=9.08</m:t>
          </m:r>
          <m:r>
            <m:rPr>
              <m:sty m:val="p"/>
            </m:rPr>
            <w:rPr>
              <w:rFonts w:ascii="Cambria Math" w:hAnsi="Cambria Math" w:cs="Arial"/>
            </w:rPr>
            <m:t>%</m:t>
          </m:r>
          <m:r>
            <m:rPr>
              <m:nor/>
            </m:rPr>
            <w:rPr>
              <w:rFonts w:ascii="Arial" w:hAnsi="Arial" w:cs="Arial"/>
            </w:rPr>
            <m:t>  </m:t>
          </m:r>
          <m:r>
            <w:rPr>
              <w:rFonts w:ascii="Cambria Math" w:hAnsi="Cambria Math" w:cs="Arial"/>
            </w:rPr>
            <m:t>(95</m:t>
          </m:r>
          <m:r>
            <m:rPr>
              <m:sty m:val="p"/>
            </m:rPr>
            <w:rPr>
              <w:rFonts w:ascii="Cambria Math" w:hAnsi="Cambria Math" w:cs="Arial"/>
            </w:rPr>
            <m:t>%</m:t>
          </m:r>
          <m:r>
            <m:rPr>
              <m:nor/>
            </m:rPr>
            <w:rPr>
              <w:rFonts w:ascii="Arial" w:hAnsi="Arial" w:cs="Arial"/>
            </w:rPr>
            <m:t> </m:t>
          </m:r>
          <m:r>
            <w:rPr>
              <w:rFonts w:ascii="Cambria Math" w:hAnsi="Cambria Math" w:cs="Arial"/>
            </w:rPr>
            <m:t>CI:9.04,9.12)</m:t>
          </m:r>
          <m:r>
            <m:rPr>
              <m:sty m:val="p"/>
            </m:rPr>
            <w:rPr>
              <w:rFonts w:cs="Arial"/>
            </w:rPr>
            <w:br/>
          </m:r>
        </m:oMath>
      </m:oMathPara>
    </w:p>
    <w:p w14:paraId="2A7894BE" w14:textId="77777777" w:rsidR="00AD2961" w:rsidRPr="00AD2961" w:rsidRDefault="00AD2961" w:rsidP="00AD2961">
      <w:pPr>
        <w:numPr>
          <w:ilvl w:val="0"/>
          <w:numId w:val="8"/>
        </w:numPr>
        <w:rPr>
          <w:rFonts w:cs="Arial"/>
        </w:rPr>
      </w:pPr>
      <w:r w:rsidRPr="00AD2961">
        <w:rPr>
          <w:rFonts w:cs="Arial"/>
        </w:rPr>
        <w:t>Disaster-exposed probability applying pooled RR = 1.17 (95% CI: 1.12–1.22):</w:t>
      </w:r>
    </w:p>
    <w:p w14:paraId="6EEF154A" w14:textId="094C9EAC" w:rsidR="00AD2961" w:rsidRPr="00AD2961" w:rsidRDefault="00000000" w:rsidP="00AD2961">
      <w:pPr>
        <w:rPr>
          <w:rFonts w:cs="Arial"/>
        </w:rPr>
      </w:pPr>
      <m:oMathPara>
        <m:oMath>
          <m:sSub>
            <m:sSubPr>
              <m:ctrlPr>
                <w:rPr>
                  <w:rFonts w:ascii="Cambria Math" w:hAnsi="Cambria Math" w:cs="Arial"/>
                </w:rPr>
              </m:ctrlPr>
            </m:sSubPr>
            <m:e>
              <m:r>
                <w:rPr>
                  <w:rFonts w:ascii="Cambria Math" w:hAnsi="Cambria Math" w:cs="Arial"/>
                </w:rPr>
                <m:t>P</m:t>
              </m:r>
            </m:e>
            <m:sub>
              <m:r>
                <w:rPr>
                  <w:rFonts w:ascii="Cambria Math" w:hAnsi="Cambria Math" w:cs="Arial"/>
                </w:rPr>
                <m:t>1</m:t>
              </m:r>
            </m:sub>
          </m:sSub>
          <m:r>
            <w:rPr>
              <w:rFonts w:ascii="Cambria Math" w:hAnsi="Cambria Math" w:cs="Arial"/>
            </w:rPr>
            <m:t>=10.38</m:t>
          </m:r>
          <m:r>
            <m:rPr>
              <m:sty m:val="p"/>
            </m:rPr>
            <w:rPr>
              <w:rFonts w:ascii="Cambria Math" w:hAnsi="Cambria Math" w:cs="Arial"/>
            </w:rPr>
            <m:t>%</m:t>
          </m:r>
          <m:r>
            <m:rPr>
              <m:nor/>
            </m:rPr>
            <w:rPr>
              <w:rFonts w:ascii="Arial" w:hAnsi="Arial" w:cs="Arial"/>
            </w:rPr>
            <m:t>  </m:t>
          </m:r>
          <m:r>
            <w:rPr>
              <w:rFonts w:ascii="Cambria Math" w:hAnsi="Cambria Math" w:cs="Arial"/>
            </w:rPr>
            <m:t>(95</m:t>
          </m:r>
          <m:r>
            <m:rPr>
              <m:sty m:val="p"/>
            </m:rPr>
            <w:rPr>
              <w:rFonts w:ascii="Cambria Math" w:hAnsi="Cambria Math" w:cs="Arial"/>
            </w:rPr>
            <m:t>%</m:t>
          </m:r>
          <m:r>
            <m:rPr>
              <m:nor/>
            </m:rPr>
            <w:rPr>
              <w:rFonts w:ascii="Arial" w:hAnsi="Arial" w:cs="Arial"/>
            </w:rPr>
            <m:t> </m:t>
          </m:r>
          <m:r>
            <w:rPr>
              <w:rFonts w:ascii="Cambria Math" w:hAnsi="Cambria Math" w:cs="Arial"/>
            </w:rPr>
            <m:t>CI:9.97,10.79)</m:t>
          </m:r>
          <m:r>
            <m:rPr>
              <m:sty m:val="p"/>
            </m:rPr>
            <w:rPr>
              <w:rFonts w:cs="Arial"/>
            </w:rPr>
            <w:br/>
          </m:r>
        </m:oMath>
      </m:oMathPara>
    </w:p>
    <w:p w14:paraId="6510A7AD" w14:textId="77777777" w:rsidR="00AD2961" w:rsidRPr="00AD2961" w:rsidRDefault="00AD2961" w:rsidP="00AD2961">
      <w:pPr>
        <w:numPr>
          <w:ilvl w:val="0"/>
          <w:numId w:val="8"/>
        </w:numPr>
        <w:rPr>
          <w:rFonts w:cs="Arial"/>
        </w:rPr>
      </w:pPr>
      <w:r w:rsidRPr="00AD2961">
        <w:rPr>
          <w:rFonts w:cs="Arial"/>
        </w:rPr>
        <w:t>Absolute increase:</w:t>
      </w:r>
      <w:r w:rsidRPr="001D3EAF">
        <w:rPr>
          <w:rFonts w:cs="Arial"/>
        </w:rPr>
        <w:t xml:space="preserve"> +1.3 percentage points</w:t>
      </w:r>
    </w:p>
    <w:p w14:paraId="4AFD71FC" w14:textId="77777777" w:rsidR="00AD2961" w:rsidRPr="00AD2961" w:rsidRDefault="00AD2961" w:rsidP="00AD2961">
      <w:pPr>
        <w:rPr>
          <w:rFonts w:cs="Arial"/>
          <w:b/>
          <w:bCs/>
        </w:rPr>
      </w:pPr>
      <w:r w:rsidRPr="00AD2961">
        <w:rPr>
          <w:rFonts w:cs="Arial"/>
          <w:b/>
          <w:bCs/>
        </w:rPr>
        <w:t>Scenario 2: Mothers with access to free primary education</w:t>
      </w:r>
    </w:p>
    <w:p w14:paraId="780ABE17" w14:textId="77777777" w:rsidR="00AD2961" w:rsidRPr="00AD2961" w:rsidRDefault="00AD2961" w:rsidP="00AD2961">
      <w:pPr>
        <w:numPr>
          <w:ilvl w:val="0"/>
          <w:numId w:val="9"/>
        </w:numPr>
        <w:rPr>
          <w:rFonts w:cs="Arial"/>
        </w:rPr>
      </w:pPr>
      <w:r w:rsidRPr="00AD2961">
        <w:rPr>
          <w:rFonts w:cs="Arial"/>
        </w:rPr>
        <w:t>Baseline probability (no disaster):</w:t>
      </w:r>
    </w:p>
    <w:p w14:paraId="4F2B67A0" w14:textId="70A7D2D0" w:rsidR="00AD2961" w:rsidRPr="00AD2961" w:rsidRDefault="00000000" w:rsidP="00AD2961">
      <w:pPr>
        <w:rPr>
          <w:rFonts w:cs="Arial"/>
        </w:rPr>
      </w:pPr>
      <m:oMathPara>
        <m:oMath>
          <m:sSub>
            <m:sSubPr>
              <m:ctrlPr>
                <w:rPr>
                  <w:rFonts w:ascii="Cambria Math" w:hAnsi="Cambria Math" w:cs="Arial"/>
                </w:rPr>
              </m:ctrlPr>
            </m:sSubPr>
            <m:e>
              <m:r>
                <w:rPr>
                  <w:rFonts w:ascii="Cambria Math" w:hAnsi="Cambria Math" w:cs="Arial"/>
                </w:rPr>
                <m:t>P</m:t>
              </m:r>
            </m:e>
            <m:sub>
              <m:r>
                <w:rPr>
                  <w:rFonts w:ascii="Cambria Math" w:hAnsi="Cambria Math" w:cs="Arial"/>
                </w:rPr>
                <m:t>0</m:t>
              </m:r>
            </m:sub>
          </m:sSub>
          <m:r>
            <w:rPr>
              <w:rFonts w:ascii="Cambria Math" w:hAnsi="Cambria Math" w:cs="Arial"/>
            </w:rPr>
            <m:t>=8.61</m:t>
          </m:r>
          <m:r>
            <m:rPr>
              <m:sty m:val="p"/>
            </m:rPr>
            <w:rPr>
              <w:rFonts w:ascii="Cambria Math" w:hAnsi="Cambria Math" w:cs="Arial"/>
            </w:rPr>
            <m:t>%</m:t>
          </m:r>
          <m:r>
            <m:rPr>
              <m:nor/>
            </m:rPr>
            <w:rPr>
              <w:rFonts w:ascii="Arial" w:hAnsi="Arial" w:cs="Arial"/>
            </w:rPr>
            <m:t>  </m:t>
          </m:r>
          <m:r>
            <w:rPr>
              <w:rFonts w:ascii="Cambria Math" w:hAnsi="Cambria Math" w:cs="Arial"/>
            </w:rPr>
            <m:t>(95</m:t>
          </m:r>
          <m:r>
            <m:rPr>
              <m:sty m:val="p"/>
            </m:rPr>
            <w:rPr>
              <w:rFonts w:ascii="Cambria Math" w:hAnsi="Cambria Math" w:cs="Arial"/>
            </w:rPr>
            <m:t xml:space="preserve">% </m:t>
          </m:r>
          <m:r>
            <w:rPr>
              <w:rFonts w:ascii="Cambria Math" w:hAnsi="Cambria Math" w:cs="Arial"/>
            </w:rPr>
            <m:t>CI:8.56,8.66)</m:t>
          </m:r>
          <m:r>
            <m:rPr>
              <m:sty m:val="p"/>
            </m:rPr>
            <w:rPr>
              <w:rFonts w:cs="Arial"/>
            </w:rPr>
            <w:br/>
          </m:r>
        </m:oMath>
      </m:oMathPara>
    </w:p>
    <w:p w14:paraId="4F3334EC" w14:textId="77777777" w:rsidR="00AD2961" w:rsidRPr="00AD2961" w:rsidRDefault="00AD2961" w:rsidP="00AD2961">
      <w:pPr>
        <w:numPr>
          <w:ilvl w:val="0"/>
          <w:numId w:val="9"/>
        </w:numPr>
        <w:rPr>
          <w:rFonts w:cs="Arial"/>
        </w:rPr>
      </w:pPr>
      <w:r w:rsidRPr="00AD2961">
        <w:rPr>
          <w:rFonts w:cs="Arial"/>
        </w:rPr>
        <w:t>Disaster-exposed probability applying pooled RR = 0.96 (95% CI: 0.78–1.17):</w:t>
      </w:r>
    </w:p>
    <w:p w14:paraId="2AC5A8A3" w14:textId="1143D73F" w:rsidR="0078752D" w:rsidRPr="001D3EAF" w:rsidRDefault="00000000" w:rsidP="001D3EAF">
      <w:pPr>
        <w:rPr>
          <w:rFonts w:cs="Arial"/>
          <w:i/>
        </w:rPr>
      </w:pPr>
      <m:oMathPara>
        <m:oMath>
          <m:sSub>
            <m:sSubPr>
              <m:ctrlPr>
                <w:rPr>
                  <w:rFonts w:ascii="Cambria Math" w:hAnsi="Cambria Math" w:cs="Arial"/>
                </w:rPr>
              </m:ctrlPr>
            </m:sSubPr>
            <m:e>
              <m:r>
                <w:rPr>
                  <w:rFonts w:ascii="Cambria Math" w:hAnsi="Cambria Math" w:cs="Arial"/>
                </w:rPr>
                <m:t>P</m:t>
              </m:r>
            </m:e>
            <m:sub>
              <m:r>
                <w:rPr>
                  <w:rFonts w:ascii="Cambria Math" w:hAnsi="Cambria Math" w:cs="Arial"/>
                </w:rPr>
                <m:t>1</m:t>
              </m:r>
            </m:sub>
          </m:sSub>
          <m:r>
            <w:rPr>
              <w:rFonts w:ascii="Cambria Math" w:hAnsi="Cambria Math" w:cs="Arial"/>
            </w:rPr>
            <m:t>=8.29</m:t>
          </m:r>
          <m:r>
            <m:rPr>
              <m:sty m:val="p"/>
            </m:rPr>
            <w:rPr>
              <w:rFonts w:ascii="Cambria Math" w:hAnsi="Cambria Math" w:cs="Arial"/>
            </w:rPr>
            <m:t>%</m:t>
          </m:r>
          <m:r>
            <m:rPr>
              <m:nor/>
            </m:rPr>
            <w:rPr>
              <w:rFonts w:ascii="Arial" w:hAnsi="Arial" w:cs="Arial"/>
            </w:rPr>
            <m:t>  </m:t>
          </m:r>
          <m:r>
            <w:rPr>
              <w:rFonts w:ascii="Cambria Math" w:hAnsi="Cambria Math" w:cs="Arial"/>
            </w:rPr>
            <m:t>(95</m:t>
          </m:r>
          <m:r>
            <m:rPr>
              <m:sty m:val="p"/>
            </m:rPr>
            <w:rPr>
              <w:rFonts w:ascii="Cambria Math" w:hAnsi="Cambria Math" w:cs="Arial"/>
            </w:rPr>
            <m:t>%</m:t>
          </m:r>
          <m:r>
            <m:rPr>
              <m:nor/>
            </m:rPr>
            <w:rPr>
              <w:rFonts w:ascii="Arial" w:hAnsi="Arial" w:cs="Arial"/>
            </w:rPr>
            <m:t> </m:t>
          </m:r>
          <m:r>
            <w:rPr>
              <w:rFonts w:ascii="Cambria Math" w:hAnsi="Cambria Math" w:cs="Arial"/>
            </w:rPr>
            <m:t>CI:6.84,10.00)</m:t>
          </m:r>
        </m:oMath>
      </m:oMathPara>
    </w:p>
    <w:p w14:paraId="4BEC3CE2" w14:textId="237F3EA4" w:rsidR="001D3EAF" w:rsidRPr="001D3EAF" w:rsidRDefault="001D3EAF" w:rsidP="001D3EAF">
      <w:pPr>
        <w:numPr>
          <w:ilvl w:val="0"/>
          <w:numId w:val="9"/>
        </w:numPr>
        <w:rPr>
          <w:rFonts w:cs="Arial"/>
        </w:rPr>
      </w:pPr>
      <w:r w:rsidRPr="001D3EAF">
        <w:rPr>
          <w:rFonts w:cs="Arial"/>
        </w:rPr>
        <w:t>Under this scenario, disaster exposure does not increase the risk of wasting.</w:t>
      </w:r>
    </w:p>
    <w:p w14:paraId="7BE32DB5" w14:textId="77777777" w:rsidR="0078752D" w:rsidRPr="00AD2961" w:rsidRDefault="0078752D" w:rsidP="0078752D"/>
    <w:p w14:paraId="1B13D260" w14:textId="555D774F" w:rsidR="0078752D" w:rsidRPr="00AD2961" w:rsidRDefault="0078752D">
      <w:pPr>
        <w:rPr>
          <w:rStyle w:val="Heading1Char"/>
          <w:rFonts w:asciiTheme="minorHAnsi" w:hAnsiTheme="minorHAnsi"/>
          <w:sz w:val="22"/>
          <w:szCs w:val="22"/>
        </w:rPr>
      </w:pPr>
    </w:p>
    <w:p w14:paraId="183D97FD" w14:textId="77777777" w:rsidR="00CF4A8F" w:rsidRPr="00AD2961" w:rsidRDefault="00CF4A8F">
      <w:pPr>
        <w:rPr>
          <w:rStyle w:val="Heading1Char"/>
          <w:rFonts w:asciiTheme="minorHAnsi" w:hAnsiTheme="minorHAnsi"/>
          <w:sz w:val="22"/>
          <w:szCs w:val="22"/>
        </w:rPr>
      </w:pPr>
      <w:r w:rsidRPr="00AD2961">
        <w:rPr>
          <w:rStyle w:val="Heading1Char"/>
          <w:rFonts w:asciiTheme="minorHAnsi" w:hAnsiTheme="minorHAnsi"/>
          <w:sz w:val="22"/>
          <w:szCs w:val="22"/>
        </w:rPr>
        <w:br w:type="page"/>
      </w:r>
    </w:p>
    <w:p w14:paraId="2EF6BDFE" w14:textId="42F05019" w:rsidR="000C10FF" w:rsidRPr="004714AA" w:rsidRDefault="000C10FF" w:rsidP="004714AA">
      <w:pPr>
        <w:pStyle w:val="Heading2"/>
        <w:rPr>
          <w:rStyle w:val="Heading1Char"/>
          <w:sz w:val="32"/>
          <w:szCs w:val="32"/>
        </w:rPr>
      </w:pPr>
      <w:r w:rsidRPr="004714AA">
        <w:rPr>
          <w:rStyle w:val="Heading1Char"/>
          <w:sz w:val="32"/>
          <w:szCs w:val="32"/>
        </w:rPr>
        <w:lastRenderedPageBreak/>
        <w:t>Results</w:t>
      </w:r>
    </w:p>
    <w:p w14:paraId="75046605" w14:textId="52A01FCF" w:rsidR="00ED7373" w:rsidRDefault="002C38D5" w:rsidP="00DB7149">
      <w:r>
        <w:rPr>
          <w:noProof/>
        </w:rPr>
        <w:drawing>
          <wp:inline distT="0" distB="0" distL="0" distR="0" wp14:anchorId="03132AFF" wp14:editId="684E9200">
            <wp:extent cx="5943600" cy="2546985"/>
            <wp:effectExtent l="0" t="0" r="0" b="5715"/>
            <wp:docPr id="11571066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2546985"/>
                    </a:xfrm>
                    <a:prstGeom prst="rect">
                      <a:avLst/>
                    </a:prstGeom>
                    <a:noFill/>
                    <a:ln>
                      <a:noFill/>
                    </a:ln>
                  </pic:spPr>
                </pic:pic>
              </a:graphicData>
            </a:graphic>
          </wp:inline>
        </w:drawing>
      </w:r>
      <w:r w:rsidR="00ED7373">
        <w:t>Figure S</w:t>
      </w:r>
      <w:r w:rsidR="00D8677E">
        <w:t>3</w:t>
      </w:r>
      <w:r w:rsidR="00ED7373">
        <w:t xml:space="preserve">. </w:t>
      </w:r>
      <w:r w:rsidR="00ED7373" w:rsidRPr="00ED7373">
        <w:t>Country-specific and pooled associations between maternal exposure to education reform and child wasting</w:t>
      </w:r>
      <w:r w:rsidR="00ED7373">
        <w:t>.</w:t>
      </w:r>
    </w:p>
    <w:p w14:paraId="59C01128" w14:textId="77777777" w:rsidR="00ED7373" w:rsidRDefault="00ED7373">
      <w:r>
        <w:br w:type="page"/>
      </w:r>
    </w:p>
    <w:p w14:paraId="07BD3842" w14:textId="1296D477" w:rsidR="00DB7149" w:rsidRDefault="00A85EC7" w:rsidP="00DB7149">
      <w:pPr>
        <w:rPr>
          <w:rFonts w:ascii="Arial" w:hAnsi="Arial" w:cs="Arial"/>
          <w:color w:val="000000"/>
          <w:sz w:val="20"/>
          <w:szCs w:val="20"/>
        </w:rPr>
      </w:pPr>
      <w:r>
        <w:rPr>
          <w:noProof/>
        </w:rPr>
        <w:lastRenderedPageBreak/>
        <w:drawing>
          <wp:inline distT="0" distB="0" distL="0" distR="0" wp14:anchorId="48B20EF2" wp14:editId="5F0E5E73">
            <wp:extent cx="5943600" cy="4754880"/>
            <wp:effectExtent l="0" t="0" r="0" b="7620"/>
            <wp:docPr id="1921999110" name="Picture 2" descr="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999110" name="Picture 2" descr="A graph with lines and number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754880"/>
                    </a:xfrm>
                    <a:prstGeom prst="rect">
                      <a:avLst/>
                    </a:prstGeom>
                    <a:noFill/>
                    <a:ln>
                      <a:noFill/>
                    </a:ln>
                  </pic:spPr>
                </pic:pic>
              </a:graphicData>
            </a:graphic>
          </wp:inline>
        </w:drawing>
      </w:r>
    </w:p>
    <w:p w14:paraId="4BE81200" w14:textId="356BA307" w:rsidR="000A2C72" w:rsidRDefault="00584740">
      <w:r w:rsidRPr="00584740">
        <w:t>Figure S</w:t>
      </w:r>
      <w:r w:rsidR="00D8677E">
        <w:t>4</w:t>
      </w:r>
      <w:r w:rsidRPr="00584740">
        <w:t>. Country-specific and pooled estimates of the association between disaster exposure in the preceding 3 months and child wasting, stratified by maternal exposure to education reform.</w:t>
      </w:r>
    </w:p>
    <w:p w14:paraId="25933ECA" w14:textId="4699D058" w:rsidR="00275A1F" w:rsidRDefault="000A2C72">
      <w:r>
        <w:br w:type="page"/>
      </w:r>
    </w:p>
    <w:p w14:paraId="41552D5B" w14:textId="05CCC2C7" w:rsidR="00584740" w:rsidRDefault="00A85EC7" w:rsidP="00584740">
      <w:r>
        <w:rPr>
          <w:noProof/>
        </w:rPr>
        <w:lastRenderedPageBreak/>
        <w:drawing>
          <wp:inline distT="0" distB="0" distL="0" distR="0" wp14:anchorId="60DA4361" wp14:editId="010D2863">
            <wp:extent cx="5943600" cy="4754880"/>
            <wp:effectExtent l="0" t="0" r="0" b="7620"/>
            <wp:docPr id="725961972" name="Picture 3"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961972" name="Picture 3" descr="A graph with numbers and line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4754880"/>
                    </a:xfrm>
                    <a:prstGeom prst="rect">
                      <a:avLst/>
                    </a:prstGeom>
                    <a:noFill/>
                    <a:ln>
                      <a:noFill/>
                    </a:ln>
                  </pic:spPr>
                </pic:pic>
              </a:graphicData>
            </a:graphic>
          </wp:inline>
        </w:drawing>
      </w:r>
      <w:r w:rsidR="00275A1F">
        <w:t>Figure S</w:t>
      </w:r>
      <w:r w:rsidR="00D8677E">
        <w:t>5</w:t>
      </w:r>
      <w:r w:rsidR="00275A1F">
        <w:t xml:space="preserve">. </w:t>
      </w:r>
      <w:r w:rsidR="00584740" w:rsidRPr="00584740">
        <w:t xml:space="preserve">Country-specific and pooled estimates of the association between disaster exposure in the preceding </w:t>
      </w:r>
      <w:r w:rsidR="00584740">
        <w:t>6</w:t>
      </w:r>
      <w:r w:rsidR="00584740" w:rsidRPr="00584740">
        <w:t xml:space="preserve"> months and child wasting, stratified by maternal exposure to education reform.</w:t>
      </w:r>
    </w:p>
    <w:p w14:paraId="1615EFDD" w14:textId="7BB9D37F" w:rsidR="00275A1F" w:rsidRDefault="00275A1F">
      <w:r>
        <w:br w:type="page"/>
      </w:r>
    </w:p>
    <w:p w14:paraId="71B166C4" w14:textId="779D13FF" w:rsidR="00275A1F" w:rsidRDefault="00A85EC7" w:rsidP="00275A1F">
      <w:pPr>
        <w:rPr>
          <w:rFonts w:ascii="Arial" w:hAnsi="Arial" w:cs="Arial"/>
          <w:color w:val="000000"/>
          <w:sz w:val="20"/>
          <w:szCs w:val="20"/>
        </w:rPr>
      </w:pPr>
      <w:r>
        <w:rPr>
          <w:noProof/>
        </w:rPr>
        <w:lastRenderedPageBreak/>
        <w:drawing>
          <wp:inline distT="0" distB="0" distL="0" distR="0" wp14:anchorId="479562F8" wp14:editId="335AEE7E">
            <wp:extent cx="5943600" cy="4754880"/>
            <wp:effectExtent l="0" t="0" r="0" b="7620"/>
            <wp:docPr id="1671828551" name="Picture 4"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828551" name="Picture 4" descr="A graph with numbers and lines&#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754880"/>
                    </a:xfrm>
                    <a:prstGeom prst="rect">
                      <a:avLst/>
                    </a:prstGeom>
                    <a:noFill/>
                    <a:ln>
                      <a:noFill/>
                    </a:ln>
                  </pic:spPr>
                </pic:pic>
              </a:graphicData>
            </a:graphic>
          </wp:inline>
        </w:drawing>
      </w:r>
    </w:p>
    <w:p w14:paraId="304D6199" w14:textId="3EF48A46" w:rsidR="00584740" w:rsidRDefault="00275A1F" w:rsidP="00584740">
      <w:r>
        <w:t>Figure S</w:t>
      </w:r>
      <w:r w:rsidR="00D8677E">
        <w:t>6</w:t>
      </w:r>
      <w:r>
        <w:t xml:space="preserve">. </w:t>
      </w:r>
      <w:r w:rsidR="00584740" w:rsidRPr="00584740">
        <w:t xml:space="preserve">Country-specific and pooled estimates of the association between disaster exposure in the preceding </w:t>
      </w:r>
      <w:r w:rsidR="00584740">
        <w:t>12</w:t>
      </w:r>
      <w:r w:rsidR="00584740" w:rsidRPr="00584740">
        <w:t xml:space="preserve"> months and child wasting, stratified by maternal exposure to education reform.</w:t>
      </w:r>
    </w:p>
    <w:p w14:paraId="06E9881E" w14:textId="48179D85" w:rsidR="00DC47C9" w:rsidRDefault="00DC47C9">
      <w:r>
        <w:br w:type="page"/>
      </w:r>
    </w:p>
    <w:p w14:paraId="028301A9" w14:textId="62A7C342" w:rsidR="00DC47C9" w:rsidRDefault="00DC47C9" w:rsidP="00DC47C9">
      <w:r>
        <w:rPr>
          <w:noProof/>
        </w:rPr>
        <w:lastRenderedPageBreak/>
        <w:drawing>
          <wp:inline distT="0" distB="0" distL="0" distR="0" wp14:anchorId="1CA9FB19" wp14:editId="1E800694">
            <wp:extent cx="5943600" cy="4754880"/>
            <wp:effectExtent l="0" t="0" r="0" b="7620"/>
            <wp:docPr id="2009935239" name="Picture 8" descr="A graph of a mod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35239" name="Picture 8" descr="A graph of a model&#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754880"/>
                    </a:xfrm>
                    <a:prstGeom prst="rect">
                      <a:avLst/>
                    </a:prstGeom>
                    <a:noFill/>
                    <a:ln>
                      <a:noFill/>
                    </a:ln>
                  </pic:spPr>
                </pic:pic>
              </a:graphicData>
            </a:graphic>
          </wp:inline>
        </w:drawing>
      </w:r>
      <w:r>
        <w:t>Figure S</w:t>
      </w:r>
      <w:r w:rsidR="00D8677E">
        <w:t>7</w:t>
      </w:r>
      <w:r>
        <w:t xml:space="preserve">. </w:t>
      </w:r>
      <w:r w:rsidRPr="00584740">
        <w:t xml:space="preserve">Country-specific and pooled estimates of the association between disaster exposure in the preceding </w:t>
      </w:r>
      <w:r>
        <w:t>3</w:t>
      </w:r>
      <w:r w:rsidRPr="00584740">
        <w:t xml:space="preserve"> months and child </w:t>
      </w:r>
      <w:r>
        <w:t xml:space="preserve">weight-for-height </w:t>
      </w:r>
      <w:r w:rsidR="002F2DEE">
        <w:t xml:space="preserve">(WHZ) </w:t>
      </w:r>
      <w:r>
        <w:t>score</w:t>
      </w:r>
      <w:r w:rsidRPr="00584740">
        <w:t>, stratified by maternal exposure to education reform.</w:t>
      </w:r>
    </w:p>
    <w:p w14:paraId="4D02E11D" w14:textId="77777777" w:rsidR="00DC47C9" w:rsidRDefault="00DC47C9" w:rsidP="00584740"/>
    <w:p w14:paraId="34827DCA" w14:textId="1F1AF22C" w:rsidR="00DC47C9" w:rsidRDefault="00DC47C9">
      <w:r>
        <w:br w:type="page"/>
      </w:r>
    </w:p>
    <w:p w14:paraId="2D038251" w14:textId="094BB64E" w:rsidR="00DC47C9" w:rsidRDefault="00DC47C9" w:rsidP="00DC47C9">
      <w:r>
        <w:rPr>
          <w:noProof/>
        </w:rPr>
        <w:lastRenderedPageBreak/>
        <w:drawing>
          <wp:inline distT="0" distB="0" distL="0" distR="0" wp14:anchorId="279A9377" wp14:editId="04164E71">
            <wp:extent cx="5943600" cy="4754880"/>
            <wp:effectExtent l="0" t="0" r="0" b="7620"/>
            <wp:docPr id="390587325" name="Picture 9"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587325" name="Picture 9" descr="A graph with numbers and lines&#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4754880"/>
                    </a:xfrm>
                    <a:prstGeom prst="rect">
                      <a:avLst/>
                    </a:prstGeom>
                    <a:noFill/>
                    <a:ln>
                      <a:noFill/>
                    </a:ln>
                  </pic:spPr>
                </pic:pic>
              </a:graphicData>
            </a:graphic>
          </wp:inline>
        </w:drawing>
      </w:r>
      <w:r>
        <w:t>Figure S</w:t>
      </w:r>
      <w:r w:rsidR="00D8677E">
        <w:t>8</w:t>
      </w:r>
      <w:r>
        <w:t xml:space="preserve">. </w:t>
      </w:r>
      <w:r w:rsidRPr="00584740">
        <w:t xml:space="preserve">Country-specific and pooled estimates of the association between disaster exposure in the preceding </w:t>
      </w:r>
      <w:r>
        <w:t xml:space="preserve">6 </w:t>
      </w:r>
      <w:r w:rsidRPr="00584740">
        <w:t xml:space="preserve">months and child </w:t>
      </w:r>
      <w:r>
        <w:t xml:space="preserve">weight-for-height </w:t>
      </w:r>
      <w:r w:rsidR="002F2DEE">
        <w:t xml:space="preserve">(WHZ)  </w:t>
      </w:r>
      <w:r>
        <w:t>score</w:t>
      </w:r>
      <w:r w:rsidRPr="00584740">
        <w:t>, stratified by maternal exposure to education reform.</w:t>
      </w:r>
    </w:p>
    <w:p w14:paraId="67C93502" w14:textId="53CB3F96" w:rsidR="00DC47C9" w:rsidRDefault="00DC47C9">
      <w:r>
        <w:br w:type="page"/>
      </w:r>
    </w:p>
    <w:p w14:paraId="0EEEA483" w14:textId="0CAF6411" w:rsidR="00DC47C9" w:rsidRDefault="00DC47C9" w:rsidP="00DC47C9">
      <w:r>
        <w:rPr>
          <w:noProof/>
        </w:rPr>
        <w:lastRenderedPageBreak/>
        <w:drawing>
          <wp:inline distT="0" distB="0" distL="0" distR="0" wp14:anchorId="54279CDF" wp14:editId="75861084">
            <wp:extent cx="5943600" cy="4754880"/>
            <wp:effectExtent l="0" t="0" r="0" b="7620"/>
            <wp:docPr id="956847196" name="Picture 10" descr="A graph of a mod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847196" name="Picture 10" descr="A graph of a model&#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4754880"/>
                    </a:xfrm>
                    <a:prstGeom prst="rect">
                      <a:avLst/>
                    </a:prstGeom>
                    <a:noFill/>
                    <a:ln>
                      <a:noFill/>
                    </a:ln>
                  </pic:spPr>
                </pic:pic>
              </a:graphicData>
            </a:graphic>
          </wp:inline>
        </w:drawing>
      </w:r>
      <w:r>
        <w:t>Figure S</w:t>
      </w:r>
      <w:r w:rsidR="00D8677E">
        <w:t>9</w:t>
      </w:r>
      <w:r>
        <w:t xml:space="preserve">. </w:t>
      </w:r>
      <w:r w:rsidRPr="00584740">
        <w:t xml:space="preserve">Country-specific and pooled estimates of the association between disaster exposure in the preceding </w:t>
      </w:r>
      <w:r>
        <w:t>12</w:t>
      </w:r>
      <w:r w:rsidRPr="00584740">
        <w:t xml:space="preserve"> months and child </w:t>
      </w:r>
      <w:r>
        <w:t xml:space="preserve">weight-for-height </w:t>
      </w:r>
      <w:r w:rsidR="002F2DEE">
        <w:t xml:space="preserve">(WHZ)  </w:t>
      </w:r>
      <w:r>
        <w:t>score</w:t>
      </w:r>
      <w:r w:rsidRPr="00584740">
        <w:t>, stratified by maternal exposure to education reform.</w:t>
      </w:r>
    </w:p>
    <w:p w14:paraId="37533A41" w14:textId="77777777" w:rsidR="000A2C72" w:rsidRDefault="000A2C72"/>
    <w:sectPr w:rsidR="000A2C72" w:rsidSect="00161051">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B77ED"/>
    <w:multiLevelType w:val="multilevel"/>
    <w:tmpl w:val="42A2C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6317B1"/>
    <w:multiLevelType w:val="multilevel"/>
    <w:tmpl w:val="1A441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066078"/>
    <w:multiLevelType w:val="hybridMultilevel"/>
    <w:tmpl w:val="69DE02CC"/>
    <w:lvl w:ilvl="0" w:tplc="0C22CA7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C57D63"/>
    <w:multiLevelType w:val="hybridMultilevel"/>
    <w:tmpl w:val="02689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B45748"/>
    <w:multiLevelType w:val="hybridMultilevel"/>
    <w:tmpl w:val="A858B5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2C42CE"/>
    <w:multiLevelType w:val="multilevel"/>
    <w:tmpl w:val="3CE0C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34677F"/>
    <w:multiLevelType w:val="multilevel"/>
    <w:tmpl w:val="5DC0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C92CE8"/>
    <w:multiLevelType w:val="hybridMultilevel"/>
    <w:tmpl w:val="0DDC022C"/>
    <w:lvl w:ilvl="0" w:tplc="0C22CA7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4E6541"/>
    <w:multiLevelType w:val="hybridMultilevel"/>
    <w:tmpl w:val="A61286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472823"/>
    <w:multiLevelType w:val="hybridMultilevel"/>
    <w:tmpl w:val="3708B3DA"/>
    <w:lvl w:ilvl="0" w:tplc="B33CB75E">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9293065">
    <w:abstractNumId w:val="9"/>
  </w:num>
  <w:num w:numId="2" w16cid:durableId="1609313894">
    <w:abstractNumId w:val="2"/>
  </w:num>
  <w:num w:numId="3" w16cid:durableId="51388266">
    <w:abstractNumId w:val="3"/>
  </w:num>
  <w:num w:numId="4" w16cid:durableId="1510565212">
    <w:abstractNumId w:val="6"/>
  </w:num>
  <w:num w:numId="5" w16cid:durableId="1577351115">
    <w:abstractNumId w:val="4"/>
  </w:num>
  <w:num w:numId="6" w16cid:durableId="1304845038">
    <w:abstractNumId w:val="1"/>
  </w:num>
  <w:num w:numId="7" w16cid:durableId="2109690296">
    <w:abstractNumId w:val="8"/>
  </w:num>
  <w:num w:numId="8" w16cid:durableId="1085104510">
    <w:abstractNumId w:val="5"/>
  </w:num>
  <w:num w:numId="9" w16cid:durableId="921178663">
    <w:abstractNumId w:val="0"/>
  </w:num>
  <w:num w:numId="10" w16cid:durableId="16117378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A9E"/>
    <w:rsid w:val="00001BAF"/>
    <w:rsid w:val="00051500"/>
    <w:rsid w:val="00066170"/>
    <w:rsid w:val="00092487"/>
    <w:rsid w:val="000A2C72"/>
    <w:rsid w:val="000C10FF"/>
    <w:rsid w:val="000C25CE"/>
    <w:rsid w:val="000C66A6"/>
    <w:rsid w:val="000D1D0D"/>
    <w:rsid w:val="000E45BF"/>
    <w:rsid w:val="000F4931"/>
    <w:rsid w:val="00120A99"/>
    <w:rsid w:val="00161051"/>
    <w:rsid w:val="00177257"/>
    <w:rsid w:val="001801A4"/>
    <w:rsid w:val="00181D18"/>
    <w:rsid w:val="001D3EAF"/>
    <w:rsid w:val="00250729"/>
    <w:rsid w:val="00275A1F"/>
    <w:rsid w:val="002B66CC"/>
    <w:rsid w:val="002B7895"/>
    <w:rsid w:val="002C38D5"/>
    <w:rsid w:val="002C495C"/>
    <w:rsid w:val="002D5718"/>
    <w:rsid w:val="002F2DEE"/>
    <w:rsid w:val="002F703D"/>
    <w:rsid w:val="003143FD"/>
    <w:rsid w:val="00324586"/>
    <w:rsid w:val="00356789"/>
    <w:rsid w:val="00360E01"/>
    <w:rsid w:val="003732B3"/>
    <w:rsid w:val="00393EB0"/>
    <w:rsid w:val="003F0377"/>
    <w:rsid w:val="00402C58"/>
    <w:rsid w:val="00422ABB"/>
    <w:rsid w:val="00431891"/>
    <w:rsid w:val="00444650"/>
    <w:rsid w:val="004476C1"/>
    <w:rsid w:val="004531B6"/>
    <w:rsid w:val="004714AA"/>
    <w:rsid w:val="004A5E0F"/>
    <w:rsid w:val="004B02DC"/>
    <w:rsid w:val="004D19AA"/>
    <w:rsid w:val="0052726E"/>
    <w:rsid w:val="00541B49"/>
    <w:rsid w:val="00565FE8"/>
    <w:rsid w:val="00583210"/>
    <w:rsid w:val="00584740"/>
    <w:rsid w:val="00594CA0"/>
    <w:rsid w:val="005C3E0A"/>
    <w:rsid w:val="006067AB"/>
    <w:rsid w:val="0061283C"/>
    <w:rsid w:val="00620B9E"/>
    <w:rsid w:val="00621CBA"/>
    <w:rsid w:val="00647A85"/>
    <w:rsid w:val="006578C7"/>
    <w:rsid w:val="00697EB7"/>
    <w:rsid w:val="006B1B66"/>
    <w:rsid w:val="006B4B38"/>
    <w:rsid w:val="006C209B"/>
    <w:rsid w:val="006D0A5C"/>
    <w:rsid w:val="006D2AD3"/>
    <w:rsid w:val="00703722"/>
    <w:rsid w:val="00722A9E"/>
    <w:rsid w:val="00727D11"/>
    <w:rsid w:val="00744C7D"/>
    <w:rsid w:val="00754FD0"/>
    <w:rsid w:val="0077087F"/>
    <w:rsid w:val="00784A2E"/>
    <w:rsid w:val="0078752D"/>
    <w:rsid w:val="00791550"/>
    <w:rsid w:val="007B6919"/>
    <w:rsid w:val="007C2577"/>
    <w:rsid w:val="0081709C"/>
    <w:rsid w:val="00831F07"/>
    <w:rsid w:val="00832FFA"/>
    <w:rsid w:val="00846AB0"/>
    <w:rsid w:val="00861267"/>
    <w:rsid w:val="00875FE3"/>
    <w:rsid w:val="008B6340"/>
    <w:rsid w:val="00901DB6"/>
    <w:rsid w:val="009515FA"/>
    <w:rsid w:val="00951C6A"/>
    <w:rsid w:val="00970967"/>
    <w:rsid w:val="0099054F"/>
    <w:rsid w:val="009C6050"/>
    <w:rsid w:val="009E0FF5"/>
    <w:rsid w:val="00A43AC7"/>
    <w:rsid w:val="00A64667"/>
    <w:rsid w:val="00A85EC7"/>
    <w:rsid w:val="00AA1186"/>
    <w:rsid w:val="00AC2C26"/>
    <w:rsid w:val="00AD132A"/>
    <w:rsid w:val="00AD2961"/>
    <w:rsid w:val="00B03AC8"/>
    <w:rsid w:val="00B053AE"/>
    <w:rsid w:val="00B10C28"/>
    <w:rsid w:val="00B35F47"/>
    <w:rsid w:val="00BA7CE0"/>
    <w:rsid w:val="00C20211"/>
    <w:rsid w:val="00CF4A8F"/>
    <w:rsid w:val="00D35790"/>
    <w:rsid w:val="00D35A05"/>
    <w:rsid w:val="00D35E98"/>
    <w:rsid w:val="00D659FB"/>
    <w:rsid w:val="00D8677E"/>
    <w:rsid w:val="00DB319C"/>
    <w:rsid w:val="00DB7149"/>
    <w:rsid w:val="00DC47C9"/>
    <w:rsid w:val="00DF79E2"/>
    <w:rsid w:val="00E03FC8"/>
    <w:rsid w:val="00E1710A"/>
    <w:rsid w:val="00E6052B"/>
    <w:rsid w:val="00EA269A"/>
    <w:rsid w:val="00EB534C"/>
    <w:rsid w:val="00EC285D"/>
    <w:rsid w:val="00ED4036"/>
    <w:rsid w:val="00ED7373"/>
    <w:rsid w:val="00EE2CA3"/>
    <w:rsid w:val="00F00444"/>
    <w:rsid w:val="00F03473"/>
    <w:rsid w:val="00F074D6"/>
    <w:rsid w:val="00F13188"/>
    <w:rsid w:val="00F247C2"/>
    <w:rsid w:val="00F44ADD"/>
    <w:rsid w:val="00F5564E"/>
    <w:rsid w:val="00FB5086"/>
    <w:rsid w:val="00FD5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1DA8D6"/>
  <w15:chartTrackingRefBased/>
  <w15:docId w15:val="{702BCC67-F250-4DEE-923F-87F7499E1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2A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22A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2A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2A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2A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2A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2A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2A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2A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2A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22A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2A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2A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2A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2A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2A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2A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2A9E"/>
    <w:rPr>
      <w:rFonts w:eastAsiaTheme="majorEastAsia" w:cstheme="majorBidi"/>
      <w:color w:val="272727" w:themeColor="text1" w:themeTint="D8"/>
    </w:rPr>
  </w:style>
  <w:style w:type="paragraph" w:styleId="Title">
    <w:name w:val="Title"/>
    <w:basedOn w:val="Normal"/>
    <w:next w:val="Normal"/>
    <w:link w:val="TitleChar"/>
    <w:uiPriority w:val="10"/>
    <w:qFormat/>
    <w:rsid w:val="00722A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2A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2A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2A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2A9E"/>
    <w:pPr>
      <w:spacing w:before="160"/>
      <w:jc w:val="center"/>
    </w:pPr>
    <w:rPr>
      <w:i/>
      <w:iCs/>
      <w:color w:val="404040" w:themeColor="text1" w:themeTint="BF"/>
    </w:rPr>
  </w:style>
  <w:style w:type="character" w:customStyle="1" w:styleId="QuoteChar">
    <w:name w:val="Quote Char"/>
    <w:basedOn w:val="DefaultParagraphFont"/>
    <w:link w:val="Quote"/>
    <w:uiPriority w:val="29"/>
    <w:rsid w:val="00722A9E"/>
    <w:rPr>
      <w:i/>
      <w:iCs/>
      <w:color w:val="404040" w:themeColor="text1" w:themeTint="BF"/>
    </w:rPr>
  </w:style>
  <w:style w:type="paragraph" w:styleId="ListParagraph">
    <w:name w:val="List Paragraph"/>
    <w:basedOn w:val="Normal"/>
    <w:uiPriority w:val="34"/>
    <w:qFormat/>
    <w:rsid w:val="00722A9E"/>
    <w:pPr>
      <w:ind w:left="720"/>
      <w:contextualSpacing/>
    </w:pPr>
  </w:style>
  <w:style w:type="character" w:styleId="IntenseEmphasis">
    <w:name w:val="Intense Emphasis"/>
    <w:basedOn w:val="DefaultParagraphFont"/>
    <w:uiPriority w:val="21"/>
    <w:qFormat/>
    <w:rsid w:val="00722A9E"/>
    <w:rPr>
      <w:i/>
      <w:iCs/>
      <w:color w:val="0F4761" w:themeColor="accent1" w:themeShade="BF"/>
    </w:rPr>
  </w:style>
  <w:style w:type="paragraph" w:styleId="IntenseQuote">
    <w:name w:val="Intense Quote"/>
    <w:basedOn w:val="Normal"/>
    <w:next w:val="Normal"/>
    <w:link w:val="IntenseQuoteChar"/>
    <w:uiPriority w:val="30"/>
    <w:qFormat/>
    <w:rsid w:val="00722A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2A9E"/>
    <w:rPr>
      <w:i/>
      <w:iCs/>
      <w:color w:val="0F4761" w:themeColor="accent1" w:themeShade="BF"/>
    </w:rPr>
  </w:style>
  <w:style w:type="character" w:styleId="IntenseReference">
    <w:name w:val="Intense Reference"/>
    <w:basedOn w:val="DefaultParagraphFont"/>
    <w:uiPriority w:val="32"/>
    <w:qFormat/>
    <w:rsid w:val="00722A9E"/>
    <w:rPr>
      <w:b/>
      <w:bCs/>
      <w:smallCaps/>
      <w:color w:val="0F4761" w:themeColor="accent1" w:themeShade="BF"/>
      <w:spacing w:val="5"/>
    </w:rPr>
  </w:style>
  <w:style w:type="character" w:styleId="CommentReference">
    <w:name w:val="annotation reference"/>
    <w:basedOn w:val="DefaultParagraphFont"/>
    <w:uiPriority w:val="99"/>
    <w:semiHidden/>
    <w:unhideWhenUsed/>
    <w:rsid w:val="004A5E0F"/>
    <w:rPr>
      <w:sz w:val="16"/>
      <w:szCs w:val="16"/>
    </w:rPr>
  </w:style>
  <w:style w:type="paragraph" w:styleId="CommentText">
    <w:name w:val="annotation text"/>
    <w:basedOn w:val="Normal"/>
    <w:link w:val="CommentTextChar"/>
    <w:uiPriority w:val="99"/>
    <w:unhideWhenUsed/>
    <w:rsid w:val="004A5E0F"/>
    <w:pPr>
      <w:spacing w:line="240" w:lineRule="auto"/>
    </w:pPr>
    <w:rPr>
      <w:sz w:val="20"/>
      <w:szCs w:val="20"/>
    </w:rPr>
  </w:style>
  <w:style w:type="character" w:customStyle="1" w:styleId="CommentTextChar">
    <w:name w:val="Comment Text Char"/>
    <w:basedOn w:val="DefaultParagraphFont"/>
    <w:link w:val="CommentText"/>
    <w:uiPriority w:val="99"/>
    <w:rsid w:val="004A5E0F"/>
    <w:rPr>
      <w:sz w:val="20"/>
      <w:szCs w:val="20"/>
    </w:rPr>
  </w:style>
  <w:style w:type="paragraph" w:styleId="CommentSubject">
    <w:name w:val="annotation subject"/>
    <w:basedOn w:val="CommentText"/>
    <w:next w:val="CommentText"/>
    <w:link w:val="CommentSubjectChar"/>
    <w:uiPriority w:val="99"/>
    <w:semiHidden/>
    <w:unhideWhenUsed/>
    <w:rsid w:val="004A5E0F"/>
    <w:rPr>
      <w:b/>
      <w:bCs/>
    </w:rPr>
  </w:style>
  <w:style w:type="character" w:customStyle="1" w:styleId="CommentSubjectChar">
    <w:name w:val="Comment Subject Char"/>
    <w:basedOn w:val="CommentTextChar"/>
    <w:link w:val="CommentSubject"/>
    <w:uiPriority w:val="99"/>
    <w:semiHidden/>
    <w:rsid w:val="004A5E0F"/>
    <w:rPr>
      <w:b/>
      <w:bCs/>
      <w:sz w:val="20"/>
      <w:szCs w:val="20"/>
    </w:rPr>
  </w:style>
  <w:style w:type="paragraph" w:styleId="Revision">
    <w:name w:val="Revision"/>
    <w:hidden/>
    <w:uiPriority w:val="99"/>
    <w:semiHidden/>
    <w:rsid w:val="006578C7"/>
    <w:pPr>
      <w:spacing w:after="0" w:line="240" w:lineRule="auto"/>
    </w:pPr>
  </w:style>
  <w:style w:type="table" w:styleId="TableGrid">
    <w:name w:val="Table Grid"/>
    <w:basedOn w:val="TableNormal"/>
    <w:uiPriority w:val="39"/>
    <w:rsid w:val="00951C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7087F"/>
    <w:rPr>
      <w:rFonts w:ascii="Times New Roman" w:hAnsi="Times New Roman" w:cs="Times New Roman"/>
      <w:sz w:val="24"/>
      <w:szCs w:val="24"/>
    </w:rPr>
  </w:style>
  <w:style w:type="character" w:styleId="Hyperlink">
    <w:name w:val="Hyperlink"/>
    <w:basedOn w:val="DefaultParagraphFont"/>
    <w:uiPriority w:val="99"/>
    <w:unhideWhenUsed/>
    <w:rsid w:val="00D35A05"/>
    <w:rPr>
      <w:color w:val="467886" w:themeColor="hyperlink"/>
      <w:u w:val="single"/>
    </w:rPr>
  </w:style>
  <w:style w:type="character" w:styleId="UnresolvedMention">
    <w:name w:val="Unresolved Mention"/>
    <w:basedOn w:val="DefaultParagraphFont"/>
    <w:uiPriority w:val="99"/>
    <w:semiHidden/>
    <w:unhideWhenUsed/>
    <w:rsid w:val="00D35A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095037">
      <w:bodyDiv w:val="1"/>
      <w:marLeft w:val="0"/>
      <w:marRight w:val="0"/>
      <w:marTop w:val="0"/>
      <w:marBottom w:val="0"/>
      <w:divBdr>
        <w:top w:val="none" w:sz="0" w:space="0" w:color="auto"/>
        <w:left w:val="none" w:sz="0" w:space="0" w:color="auto"/>
        <w:bottom w:val="none" w:sz="0" w:space="0" w:color="auto"/>
        <w:right w:val="none" w:sz="0" w:space="0" w:color="auto"/>
      </w:divBdr>
    </w:div>
    <w:div w:id="364209236">
      <w:marLeft w:val="0"/>
      <w:marRight w:val="0"/>
      <w:marTop w:val="0"/>
      <w:marBottom w:val="0"/>
      <w:divBdr>
        <w:top w:val="none" w:sz="0" w:space="0" w:color="auto"/>
        <w:left w:val="none" w:sz="0" w:space="0" w:color="auto"/>
        <w:bottom w:val="none" w:sz="0" w:space="0" w:color="auto"/>
        <w:right w:val="none" w:sz="0" w:space="0" w:color="auto"/>
      </w:divBdr>
    </w:div>
    <w:div w:id="398721140">
      <w:marLeft w:val="0"/>
      <w:marRight w:val="0"/>
      <w:marTop w:val="0"/>
      <w:marBottom w:val="0"/>
      <w:divBdr>
        <w:top w:val="none" w:sz="0" w:space="0" w:color="auto"/>
        <w:left w:val="none" w:sz="0" w:space="0" w:color="auto"/>
        <w:bottom w:val="none" w:sz="0" w:space="0" w:color="auto"/>
        <w:right w:val="none" w:sz="0" w:space="0" w:color="auto"/>
      </w:divBdr>
    </w:div>
    <w:div w:id="408119531">
      <w:marLeft w:val="0"/>
      <w:marRight w:val="0"/>
      <w:marTop w:val="0"/>
      <w:marBottom w:val="0"/>
      <w:divBdr>
        <w:top w:val="none" w:sz="0" w:space="0" w:color="auto"/>
        <w:left w:val="none" w:sz="0" w:space="0" w:color="auto"/>
        <w:bottom w:val="none" w:sz="0" w:space="0" w:color="auto"/>
        <w:right w:val="none" w:sz="0" w:space="0" w:color="auto"/>
      </w:divBdr>
    </w:div>
    <w:div w:id="498081871">
      <w:marLeft w:val="0"/>
      <w:marRight w:val="0"/>
      <w:marTop w:val="0"/>
      <w:marBottom w:val="0"/>
      <w:divBdr>
        <w:top w:val="none" w:sz="0" w:space="0" w:color="auto"/>
        <w:left w:val="none" w:sz="0" w:space="0" w:color="auto"/>
        <w:bottom w:val="none" w:sz="0" w:space="0" w:color="auto"/>
        <w:right w:val="none" w:sz="0" w:space="0" w:color="auto"/>
      </w:divBdr>
    </w:div>
    <w:div w:id="544677362">
      <w:marLeft w:val="0"/>
      <w:marRight w:val="0"/>
      <w:marTop w:val="0"/>
      <w:marBottom w:val="0"/>
      <w:divBdr>
        <w:top w:val="none" w:sz="0" w:space="0" w:color="auto"/>
        <w:left w:val="none" w:sz="0" w:space="0" w:color="auto"/>
        <w:bottom w:val="none" w:sz="0" w:space="0" w:color="auto"/>
        <w:right w:val="none" w:sz="0" w:space="0" w:color="auto"/>
      </w:divBdr>
    </w:div>
    <w:div w:id="582881712">
      <w:marLeft w:val="0"/>
      <w:marRight w:val="0"/>
      <w:marTop w:val="0"/>
      <w:marBottom w:val="0"/>
      <w:divBdr>
        <w:top w:val="none" w:sz="0" w:space="0" w:color="auto"/>
        <w:left w:val="none" w:sz="0" w:space="0" w:color="auto"/>
        <w:bottom w:val="none" w:sz="0" w:space="0" w:color="auto"/>
        <w:right w:val="none" w:sz="0" w:space="0" w:color="auto"/>
      </w:divBdr>
    </w:div>
    <w:div w:id="622879548">
      <w:bodyDiv w:val="1"/>
      <w:marLeft w:val="0"/>
      <w:marRight w:val="0"/>
      <w:marTop w:val="0"/>
      <w:marBottom w:val="0"/>
      <w:divBdr>
        <w:top w:val="none" w:sz="0" w:space="0" w:color="auto"/>
        <w:left w:val="none" w:sz="0" w:space="0" w:color="auto"/>
        <w:bottom w:val="none" w:sz="0" w:space="0" w:color="auto"/>
        <w:right w:val="none" w:sz="0" w:space="0" w:color="auto"/>
      </w:divBdr>
    </w:div>
    <w:div w:id="623653143">
      <w:marLeft w:val="0"/>
      <w:marRight w:val="0"/>
      <w:marTop w:val="0"/>
      <w:marBottom w:val="0"/>
      <w:divBdr>
        <w:top w:val="none" w:sz="0" w:space="0" w:color="auto"/>
        <w:left w:val="none" w:sz="0" w:space="0" w:color="auto"/>
        <w:bottom w:val="none" w:sz="0" w:space="0" w:color="auto"/>
        <w:right w:val="none" w:sz="0" w:space="0" w:color="auto"/>
      </w:divBdr>
    </w:div>
    <w:div w:id="794443771">
      <w:marLeft w:val="0"/>
      <w:marRight w:val="0"/>
      <w:marTop w:val="0"/>
      <w:marBottom w:val="0"/>
      <w:divBdr>
        <w:top w:val="none" w:sz="0" w:space="0" w:color="auto"/>
        <w:left w:val="none" w:sz="0" w:space="0" w:color="auto"/>
        <w:bottom w:val="none" w:sz="0" w:space="0" w:color="auto"/>
        <w:right w:val="none" w:sz="0" w:space="0" w:color="auto"/>
      </w:divBdr>
    </w:div>
    <w:div w:id="879442075">
      <w:marLeft w:val="0"/>
      <w:marRight w:val="0"/>
      <w:marTop w:val="0"/>
      <w:marBottom w:val="0"/>
      <w:divBdr>
        <w:top w:val="none" w:sz="0" w:space="0" w:color="auto"/>
        <w:left w:val="none" w:sz="0" w:space="0" w:color="auto"/>
        <w:bottom w:val="none" w:sz="0" w:space="0" w:color="auto"/>
        <w:right w:val="none" w:sz="0" w:space="0" w:color="auto"/>
      </w:divBdr>
    </w:div>
    <w:div w:id="1254899864">
      <w:marLeft w:val="0"/>
      <w:marRight w:val="0"/>
      <w:marTop w:val="0"/>
      <w:marBottom w:val="0"/>
      <w:divBdr>
        <w:top w:val="none" w:sz="0" w:space="0" w:color="auto"/>
        <w:left w:val="none" w:sz="0" w:space="0" w:color="auto"/>
        <w:bottom w:val="none" w:sz="0" w:space="0" w:color="auto"/>
        <w:right w:val="none" w:sz="0" w:space="0" w:color="auto"/>
      </w:divBdr>
    </w:div>
    <w:div w:id="1727412639">
      <w:marLeft w:val="0"/>
      <w:marRight w:val="0"/>
      <w:marTop w:val="0"/>
      <w:marBottom w:val="0"/>
      <w:divBdr>
        <w:top w:val="none" w:sz="0" w:space="0" w:color="auto"/>
        <w:left w:val="none" w:sz="0" w:space="0" w:color="auto"/>
        <w:bottom w:val="none" w:sz="0" w:space="0" w:color="auto"/>
        <w:right w:val="none" w:sz="0" w:space="0" w:color="auto"/>
      </w:divBdr>
    </w:div>
    <w:div w:id="1749573561">
      <w:marLeft w:val="0"/>
      <w:marRight w:val="0"/>
      <w:marTop w:val="0"/>
      <w:marBottom w:val="0"/>
      <w:divBdr>
        <w:top w:val="none" w:sz="0" w:space="0" w:color="auto"/>
        <w:left w:val="none" w:sz="0" w:space="0" w:color="auto"/>
        <w:bottom w:val="none" w:sz="0" w:space="0" w:color="auto"/>
        <w:right w:val="none" w:sz="0" w:space="0" w:color="auto"/>
      </w:divBdr>
    </w:div>
    <w:div w:id="1785927945">
      <w:marLeft w:val="0"/>
      <w:marRight w:val="0"/>
      <w:marTop w:val="0"/>
      <w:marBottom w:val="0"/>
      <w:divBdr>
        <w:top w:val="none" w:sz="0" w:space="0" w:color="auto"/>
        <w:left w:val="none" w:sz="0" w:space="0" w:color="auto"/>
        <w:bottom w:val="none" w:sz="0" w:space="0" w:color="auto"/>
        <w:right w:val="none" w:sz="0" w:space="0" w:color="auto"/>
      </w:divBdr>
    </w:div>
    <w:div w:id="1914779433">
      <w:bodyDiv w:val="1"/>
      <w:marLeft w:val="0"/>
      <w:marRight w:val="0"/>
      <w:marTop w:val="0"/>
      <w:marBottom w:val="0"/>
      <w:divBdr>
        <w:top w:val="none" w:sz="0" w:space="0" w:color="auto"/>
        <w:left w:val="none" w:sz="0" w:space="0" w:color="auto"/>
        <w:bottom w:val="none" w:sz="0" w:space="0" w:color="auto"/>
        <w:right w:val="none" w:sz="0" w:space="0" w:color="auto"/>
      </w:divBdr>
    </w:div>
    <w:div w:id="1938636596">
      <w:bodyDiv w:val="1"/>
      <w:marLeft w:val="0"/>
      <w:marRight w:val="0"/>
      <w:marTop w:val="0"/>
      <w:marBottom w:val="0"/>
      <w:divBdr>
        <w:top w:val="none" w:sz="0" w:space="0" w:color="auto"/>
        <w:left w:val="none" w:sz="0" w:space="0" w:color="auto"/>
        <w:bottom w:val="none" w:sz="0" w:space="0" w:color="auto"/>
        <w:right w:val="none" w:sz="0" w:space="0" w:color="auto"/>
      </w:divBdr>
    </w:div>
    <w:div w:id="209443154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benmarhnia-lab/EduReforms_DisasterNutrition" TargetMode="External"/><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hyperlink" Target="https://data.nasa.gov/dataset/geocoded-disasters-gdis-dataset" TargetMode="Externa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1478</Words>
  <Characters>8425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Dimitrova, Anna</dc:creator>
  <cp:keywords/>
  <dc:description/>
  <cp:lastModifiedBy>Anna Dimitrova</cp:lastModifiedBy>
  <cp:revision>3</cp:revision>
  <dcterms:created xsi:type="dcterms:W3CDTF">2026-01-20T11:17:00Z</dcterms:created>
  <dcterms:modified xsi:type="dcterms:W3CDTF">2026-08-31T11:30:00Z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6bbbdcc1e646e1a6c7e26018940c0abb7182bf859815ad00a61376c902286777</vt:lpwstr>
  </property>
</Properties>
</file>