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F69" w:rsidRDefault="00C54F69" w:rsidP="00C54F69">
      <w:pPr>
        <w:pStyle w:val="MDPI62BackMatter"/>
        <w:ind w:left="0"/>
        <w:rPr>
          <w:rFonts w:ascii="Times New Roman" w:eastAsiaTheme="minorEastAsia" w:hAnsi="Times New Roman"/>
          <w:b/>
          <w:sz w:val="28"/>
          <w:szCs w:val="28"/>
          <w:lang w:eastAsia="zh-CN"/>
        </w:rPr>
      </w:pPr>
    </w:p>
    <w:p w:rsidR="00C54F69" w:rsidRDefault="00C54F69" w:rsidP="00C54F69">
      <w:pPr>
        <w:spacing w:line="480" w:lineRule="auto"/>
        <w:rPr>
          <w:rFonts w:ascii="Times New Roman" w:hAnsi="Times New Roman" w:cs="Times New Roman"/>
          <w:b/>
          <w:bCs/>
          <w:color w:val="171717"/>
          <w:sz w:val="24"/>
          <w:szCs w:val="24"/>
        </w:rPr>
      </w:pPr>
      <w:r>
        <w:rPr>
          <w:rFonts w:ascii="Times New Roman" w:hAnsi="Times New Roman" w:cs="Times New Roman"/>
          <w:b/>
          <w:noProof/>
          <w:color w:val="171717"/>
          <w:sz w:val="24"/>
          <w:szCs w:val="24"/>
          <w:lang w:eastAsia="en-US"/>
        </w:rPr>
        <w:drawing>
          <wp:inline distT="0" distB="0" distL="0" distR="0">
            <wp:extent cx="5274945" cy="2515870"/>
            <wp:effectExtent l="0" t="0" r="1905" b="0"/>
            <wp:docPr id="3" name="Picture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图表&#10;&#10;描述已自动生成"/>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945" cy="2515870"/>
                    </a:xfrm>
                    <a:prstGeom prst="rect">
                      <a:avLst/>
                    </a:prstGeom>
                    <a:noFill/>
                    <a:ln>
                      <a:noFill/>
                    </a:ln>
                  </pic:spPr>
                </pic:pic>
              </a:graphicData>
            </a:graphic>
          </wp:inline>
        </w:drawing>
      </w:r>
    </w:p>
    <w:p w:rsidR="00C54F69" w:rsidRDefault="00C54F69" w:rsidP="00C54F69">
      <w:pPr>
        <w:spacing w:line="480" w:lineRule="auto"/>
        <w:rPr>
          <w:rFonts w:ascii="Times New Roman" w:hAnsi="Times New Roman" w:cs="Times New Roman"/>
          <w:iCs/>
          <w:color w:val="171717" w:themeColor="background2" w:themeShade="1A"/>
          <w:sz w:val="24"/>
          <w:szCs w:val="24"/>
        </w:rPr>
      </w:pPr>
      <w:r>
        <w:rPr>
          <w:rFonts w:ascii="Times New Roman" w:hAnsi="Times New Roman" w:cs="Times New Roman"/>
          <w:b/>
          <w:bCs/>
          <w:color w:val="171717"/>
          <w:sz w:val="24"/>
          <w:szCs w:val="24"/>
        </w:rPr>
        <w:t xml:space="preserve">Supplementary Figure 1. </w:t>
      </w:r>
      <w:r>
        <w:rPr>
          <w:rFonts w:ascii="Times New Roman" w:hAnsi="Times New Roman" w:cs="Times New Roman"/>
          <w:b/>
          <w:iCs/>
          <w:color w:val="171717" w:themeColor="background2" w:themeShade="1A"/>
          <w:sz w:val="24"/>
          <w:szCs w:val="24"/>
        </w:rPr>
        <w:t xml:space="preserve">The Kaplan Meier (KM) curve showed that the overall survival rate of the 8 immune-related </w:t>
      </w:r>
      <w:proofErr w:type="spellStart"/>
      <w:r>
        <w:rPr>
          <w:rFonts w:ascii="Times New Roman" w:hAnsi="Times New Roman" w:cs="Times New Roman"/>
          <w:b/>
          <w:iCs/>
          <w:color w:val="171717" w:themeColor="background2" w:themeShade="1A"/>
          <w:sz w:val="24"/>
          <w:szCs w:val="24"/>
        </w:rPr>
        <w:t>matrisomes</w:t>
      </w:r>
      <w:proofErr w:type="spellEnd"/>
      <w:r>
        <w:rPr>
          <w:rFonts w:ascii="Times New Roman" w:hAnsi="Times New Roman" w:cs="Times New Roman"/>
          <w:b/>
          <w:iCs/>
          <w:color w:val="171717" w:themeColor="background2" w:themeShade="1A"/>
          <w:sz w:val="24"/>
          <w:szCs w:val="24"/>
        </w:rPr>
        <w:t>.</w:t>
      </w:r>
      <w:r>
        <w:rPr>
          <w:rFonts w:ascii="Times New Roman" w:hAnsi="Times New Roman" w:cs="Times New Roman"/>
          <w:iCs/>
          <w:color w:val="171717" w:themeColor="background2" w:themeShade="1A"/>
          <w:sz w:val="24"/>
          <w:szCs w:val="24"/>
        </w:rPr>
        <w:t xml:space="preserve"> (A) LIF (B) LOX (C) MMP9 (D) S100A4 (E) SRPX2 (F) TIMP1 (G) SLIT1 (H) SMOC1. </w:t>
      </w:r>
    </w:p>
    <w:p w:rsidR="00C54F69" w:rsidRDefault="00C54F69" w:rsidP="00C54F69">
      <w:pPr>
        <w:spacing w:line="480" w:lineRule="auto"/>
        <w:rPr>
          <w:rFonts w:ascii="Times New Roman" w:hAnsi="Times New Roman" w:cs="Times New Roman"/>
          <w:iCs/>
          <w:color w:val="171717" w:themeColor="background2" w:themeShade="1A"/>
          <w:sz w:val="24"/>
          <w:szCs w:val="24"/>
        </w:rPr>
      </w:pPr>
    </w:p>
    <w:p w:rsidR="00C54F69" w:rsidRDefault="00C54F69" w:rsidP="00C54F69">
      <w:pPr>
        <w:spacing w:line="480" w:lineRule="auto"/>
        <w:rPr>
          <w:rFonts w:ascii="Times New Roman" w:hAnsi="Times New Roman" w:cs="Times New Roman"/>
          <w:iCs/>
          <w:color w:val="171717" w:themeColor="background2" w:themeShade="1A"/>
          <w:sz w:val="24"/>
          <w:szCs w:val="24"/>
        </w:rPr>
      </w:pPr>
      <w:r>
        <w:rPr>
          <w:rFonts w:ascii="Times New Roman" w:hAnsi="Times New Roman" w:cs="Times New Roman"/>
          <w:noProof/>
          <w:color w:val="171717" w:themeColor="background2" w:themeShade="1A"/>
          <w:sz w:val="24"/>
          <w:szCs w:val="24"/>
          <w:lang w:eastAsia="en-US"/>
        </w:rPr>
        <w:lastRenderedPageBreak/>
        <w:drawing>
          <wp:inline distT="0" distB="0" distL="0" distR="0">
            <wp:extent cx="5274945" cy="6564630"/>
            <wp:effectExtent l="0" t="0" r="1905" b="7620"/>
            <wp:docPr id="2" name="Picture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图示&#10;&#10;描述已自动生成"/>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945" cy="6564630"/>
                    </a:xfrm>
                    <a:prstGeom prst="rect">
                      <a:avLst/>
                    </a:prstGeom>
                    <a:noFill/>
                    <a:ln>
                      <a:noFill/>
                    </a:ln>
                  </pic:spPr>
                </pic:pic>
              </a:graphicData>
            </a:graphic>
          </wp:inline>
        </w:drawing>
      </w:r>
    </w:p>
    <w:p w:rsidR="00C54F69" w:rsidRDefault="00C54F69" w:rsidP="00C54F69">
      <w:pPr>
        <w:spacing w:line="480" w:lineRule="auto"/>
        <w:rPr>
          <w:rFonts w:ascii="Times New Roman" w:hAnsi="Times New Roman" w:cs="Times New Roman"/>
          <w:iCs/>
          <w:color w:val="171717" w:themeColor="background2" w:themeShade="1A"/>
          <w:sz w:val="24"/>
          <w:szCs w:val="24"/>
        </w:rPr>
      </w:pPr>
      <w:r>
        <w:rPr>
          <w:rFonts w:ascii="Times New Roman" w:hAnsi="Times New Roman" w:cs="Times New Roman"/>
          <w:b/>
          <w:bCs/>
          <w:color w:val="171717"/>
          <w:sz w:val="24"/>
          <w:szCs w:val="24"/>
        </w:rPr>
        <w:t xml:space="preserve">Supplementary Figure 2. </w:t>
      </w:r>
      <w:r>
        <w:rPr>
          <w:rFonts w:ascii="Times New Roman" w:hAnsi="Times New Roman" w:cs="Times New Roman"/>
          <w:b/>
          <w:sz w:val="24"/>
          <w:szCs w:val="24"/>
        </w:rPr>
        <w:t xml:space="preserve">Relationship between risk signature and clinical characteristics of glioma in CGGA database. </w:t>
      </w:r>
      <w:r>
        <w:rPr>
          <w:rFonts w:ascii="Times New Roman" w:hAnsi="Times New Roman" w:cs="Times New Roman"/>
          <w:sz w:val="24"/>
          <w:szCs w:val="24"/>
        </w:rPr>
        <w:t xml:space="preserve">(A) </w:t>
      </w:r>
      <w:r>
        <w:rPr>
          <w:rFonts w:ascii="Times New Roman" w:hAnsi="Times New Roman" w:cs="Times New Roman"/>
          <w:iCs/>
          <w:color w:val="171717" w:themeColor="background2" w:themeShade="1A"/>
          <w:sz w:val="24"/>
          <w:szCs w:val="24"/>
        </w:rPr>
        <w:t xml:space="preserve">The </w:t>
      </w:r>
      <w:proofErr w:type="spellStart"/>
      <w:r>
        <w:rPr>
          <w:rFonts w:ascii="Times New Roman" w:hAnsi="Times New Roman" w:cs="Times New Roman"/>
          <w:iCs/>
          <w:color w:val="171717" w:themeColor="background2" w:themeShade="1A"/>
          <w:sz w:val="24"/>
          <w:szCs w:val="24"/>
        </w:rPr>
        <w:t>heatmap</w:t>
      </w:r>
      <w:proofErr w:type="spellEnd"/>
      <w:r>
        <w:rPr>
          <w:rFonts w:ascii="Times New Roman" w:hAnsi="Times New Roman" w:cs="Times New Roman"/>
          <w:iCs/>
          <w:color w:val="171717" w:themeColor="background2" w:themeShade="1A"/>
          <w:sz w:val="24"/>
          <w:szCs w:val="24"/>
        </w:rPr>
        <w:t xml:space="preserve"> showed the relationship between high and low risk groups and clinical features of glioma patients. Risk scores of high and low groups of (B) Age, (C) Gender, (D) IDH mutation status, (E) Grade, (F) Chemotherapy, and (G) Radiotherapy. (H) </w:t>
      </w:r>
      <w:proofErr w:type="spellStart"/>
      <w:r>
        <w:rPr>
          <w:rFonts w:ascii="Times New Roman" w:hAnsi="Times New Roman" w:cs="Times New Roman"/>
          <w:color w:val="171717"/>
          <w:sz w:val="24"/>
          <w:szCs w:val="24"/>
        </w:rPr>
        <w:lastRenderedPageBreak/>
        <w:t>Univariable</w:t>
      </w:r>
      <w:proofErr w:type="spellEnd"/>
      <w:r>
        <w:rPr>
          <w:rFonts w:ascii="Times New Roman" w:hAnsi="Times New Roman" w:cs="Times New Roman"/>
          <w:color w:val="171717"/>
          <w:sz w:val="24"/>
          <w:szCs w:val="24"/>
        </w:rPr>
        <w:t xml:space="preserve"> Cox regression</w:t>
      </w:r>
      <w:r>
        <w:rPr>
          <w:rFonts w:ascii="Times New Roman" w:hAnsi="Times New Roman" w:cs="Times New Roman"/>
          <w:sz w:val="24"/>
          <w:szCs w:val="24"/>
        </w:rPr>
        <w:t xml:space="preserve"> of 8 immune-related </w:t>
      </w:r>
      <w:proofErr w:type="spellStart"/>
      <w:r>
        <w:rPr>
          <w:rFonts w:ascii="Times New Roman" w:hAnsi="Times New Roman" w:cs="Times New Roman"/>
          <w:sz w:val="24"/>
          <w:szCs w:val="24"/>
        </w:rPr>
        <w:t>matrisomes</w:t>
      </w:r>
      <w:proofErr w:type="spellEnd"/>
      <w:r>
        <w:rPr>
          <w:rFonts w:ascii="Times New Roman" w:hAnsi="Times New Roman" w:cs="Times New Roman"/>
          <w:sz w:val="24"/>
          <w:szCs w:val="24"/>
        </w:rPr>
        <w:t xml:space="preserve"> in CGGA database</w:t>
      </w:r>
      <w:r>
        <w:rPr>
          <w:rFonts w:ascii="Times New Roman" w:hAnsi="Times New Roman" w:cs="Times New Roman"/>
          <w:iCs/>
          <w:color w:val="171717" w:themeColor="background2" w:themeShade="1A"/>
          <w:sz w:val="24"/>
          <w:szCs w:val="24"/>
        </w:rPr>
        <w:t>.</w:t>
      </w:r>
    </w:p>
    <w:p w:rsidR="00C54F69" w:rsidRDefault="00C54F69" w:rsidP="00C54F69">
      <w:pPr>
        <w:spacing w:line="480" w:lineRule="auto"/>
        <w:rPr>
          <w:rFonts w:ascii="Times New Roman" w:hAnsi="Times New Roman" w:cs="Times New Roman"/>
          <w:iCs/>
          <w:color w:val="171717" w:themeColor="background2" w:themeShade="1A"/>
          <w:sz w:val="24"/>
          <w:szCs w:val="24"/>
        </w:rPr>
      </w:pPr>
    </w:p>
    <w:p w:rsidR="00C54F69" w:rsidRDefault="00C54F69" w:rsidP="00C54F69">
      <w:pPr>
        <w:spacing w:line="480" w:lineRule="auto"/>
        <w:rPr>
          <w:rFonts w:ascii="Times New Roman" w:hAnsi="Times New Roman" w:cs="Times New Roman"/>
          <w:iCs/>
          <w:color w:val="171717" w:themeColor="background2" w:themeShade="1A"/>
          <w:sz w:val="24"/>
          <w:szCs w:val="24"/>
        </w:rPr>
      </w:pPr>
      <w:r>
        <w:rPr>
          <w:rFonts w:ascii="Times New Roman" w:hAnsi="Times New Roman" w:cs="Times New Roman"/>
          <w:noProof/>
          <w:color w:val="171717" w:themeColor="background2" w:themeShade="1A"/>
          <w:sz w:val="24"/>
          <w:szCs w:val="24"/>
          <w:lang w:eastAsia="en-US"/>
        </w:rPr>
        <w:drawing>
          <wp:inline distT="0" distB="0" distL="0" distR="0">
            <wp:extent cx="5274945" cy="4048760"/>
            <wp:effectExtent l="0" t="0" r="1905" b="8890"/>
            <wp:docPr id="1" name="Picture 1" descr="图形用户界面,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图形用户界面, 图表&#10;&#10;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945" cy="4048760"/>
                    </a:xfrm>
                    <a:prstGeom prst="rect">
                      <a:avLst/>
                    </a:prstGeom>
                    <a:noFill/>
                    <a:ln>
                      <a:noFill/>
                    </a:ln>
                  </pic:spPr>
                </pic:pic>
              </a:graphicData>
            </a:graphic>
          </wp:inline>
        </w:drawing>
      </w:r>
    </w:p>
    <w:p w:rsidR="00C54F69" w:rsidRDefault="00C54F69" w:rsidP="00C54F69">
      <w:pPr>
        <w:spacing w:line="480" w:lineRule="auto"/>
        <w:rPr>
          <w:rFonts w:ascii="Times New Roman" w:hAnsi="Times New Roman" w:cs="Times New Roman"/>
          <w:color w:val="171717"/>
          <w:sz w:val="24"/>
          <w:szCs w:val="24"/>
        </w:rPr>
      </w:pPr>
      <w:r>
        <w:rPr>
          <w:rFonts w:ascii="Times New Roman" w:hAnsi="Times New Roman" w:cs="Times New Roman"/>
          <w:b/>
          <w:bCs/>
          <w:color w:val="171717"/>
          <w:sz w:val="24"/>
          <w:szCs w:val="24"/>
        </w:rPr>
        <w:t>Supplementary Figure 3.</w:t>
      </w:r>
      <w:r>
        <w:rPr>
          <w:rFonts w:ascii="Times New Roman" w:hAnsi="Times New Roman" w:cs="Times New Roman"/>
          <w:color w:val="171717"/>
          <w:sz w:val="24"/>
          <w:szCs w:val="24"/>
        </w:rPr>
        <w:t xml:space="preserve"> Calibration plots were used to validate the efficacy in the CGGA cohort (C-E). ROC curves were used to evaluate the predictive ability of the nomogram and other predictors (F-H). Univariate Cox regression analysis (A) and Multivariate Cox regression analysis (B) in CGGA database.</w:t>
      </w:r>
    </w:p>
    <w:p w:rsidR="00C54F69" w:rsidRDefault="00C54F69" w:rsidP="00C54F69">
      <w:pPr>
        <w:spacing w:line="480" w:lineRule="auto"/>
        <w:rPr>
          <w:rFonts w:ascii="Times New Roman" w:hAnsi="Times New Roman" w:cs="Times New Roman"/>
          <w:sz w:val="24"/>
          <w:szCs w:val="24"/>
        </w:rPr>
      </w:pPr>
    </w:p>
    <w:p w:rsidR="00AD1398" w:rsidRDefault="00AD1398">
      <w:bookmarkStart w:id="0" w:name="_GoBack"/>
      <w:bookmarkEnd w:id="0"/>
    </w:p>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69"/>
    <w:rsid w:val="00AD1398"/>
    <w:rsid w:val="00C5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C92C9-4ED1-4918-A37E-CCEED8F38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F69"/>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62BackMatter">
    <w:name w:val="MDPI_6.2_BackMatter"/>
    <w:qFormat/>
    <w:rsid w:val="00C54F69"/>
    <w:pPr>
      <w:adjustRightInd w:val="0"/>
      <w:snapToGrid w:val="0"/>
      <w:spacing w:after="120" w:line="228" w:lineRule="auto"/>
      <w:ind w:left="2608"/>
      <w:jc w:val="both"/>
    </w:pPr>
    <w:rPr>
      <w:rFonts w:ascii="Palatino Linotype" w:eastAsia="Times New Roman" w:hAnsi="Palatino Linotype" w:cs="Times New Roman"/>
      <w:color w:val="000000"/>
      <w:sz w:val="18"/>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9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2022-01-28T08:16:00Z</dcterms:created>
  <dcterms:modified xsi:type="dcterms:W3CDTF">2022-01-28T08:17:00Z</dcterms:modified>
</cp:coreProperties>
</file>