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60"/>
        <w:jc w:val="center"/>
      </w:pPr>
      <w:r>
        <w:rPr>
          <w:rFonts w:ascii="Arial" w:hAnsi="Arial" w:eastAsia="Arial" w:cs="Arial"/>
          <w:b/>
          <w:color w:val="0B2545"/>
          <w:sz w:val="36"/>
        </w:rPr>
        <w:t>Supplementary Methods and Results</w:t>
      </w:r>
    </w:p>
    <w:p>
      <w:r>
        <w:rPr>
          <w:rFonts w:ascii="Arial" w:hAnsi="Arial" w:eastAsia="Arial" w:cs="Arial"/>
          <w:b/>
          <w:sz w:val="22"/>
        </w:rPr>
        <w:t>Companion to:</w:t>
      </w:r>
      <w:r>
        <w:rPr>
          <w:rFonts w:ascii="Arial" w:hAnsi="Arial" w:eastAsia="Arial" w:cs="Arial"/>
          <w:b w:val="0"/>
          <w:sz w:val="22"/>
        </w:rPr>
        <w:t xml:space="preserve"> Serum Uric Acid Identifies a Kidney Filtration-Risk Phenotype in Diabetes-Enriched Non-Obese MASLD: A Multicentre Cohort Study</w:t>
      </w:r>
    </w:p>
    <w:p>
      <w:pPr>
        <w:pStyle w:val="Heading1"/>
      </w:pPr>
      <w:r>
        <w:t>SUPPLEMENTARY METHODS</w:t>
      </w:r>
    </w:p>
    <w:p>
      <w:pPr>
        <w:pStyle w:val="Heading2"/>
      </w:pPr>
      <w:r>
        <w:t>Data sources and longitudinal coverage</w:t>
      </w:r>
    </w:p>
    <w:p>
      <w:r>
        <w:rPr>
          <w:rFonts w:ascii="Arial" w:hAnsi="Arial" w:eastAsia="Arial" w:cs="Arial"/>
          <w:b w:val="0"/>
          <w:sz w:val="22"/>
        </w:rPr>
        <w:t>The pooled, de-identified database comprised clinician-reviewed diagnoses, laboratory measurements, physical measurements, medical history and medication records collected during routine care. Public files label data sources as Centre A through Centre E. Their baseline contributions were 149, 726, 434, 365 and 373 participants, respectively. Index dates covered July 2019 to September 2025 in Centre A, October 2017 to May 2025 in Centre B, November 2017 to January 2026 in Centre C, January 2018 to October 2025 in Centre D and June 2017 to May 2026 in Centre E.</w:t>
      </w:r>
    </w:p>
    <w:p>
      <w:r>
        <w:rPr>
          <w:rFonts w:ascii="Arial" w:hAnsi="Arial" w:eastAsia="Arial" w:cs="Arial"/>
          <w:b w:val="0"/>
          <w:sz w:val="22"/>
        </w:rPr>
        <w:t>Kidney follow-up was structurally sparse in Centre E: only 6 of 373 baseline participants entered the core landmark risk set, one core event was observed, and no participant met the repeated-measures trajectory criteria. Centre E therefore remained in the baseline description but was excluded from longitudinal modelling. This rule was applied before the reviewer-directed final rerun. Centre-stratified or centre-fixed effects were used to account for the remaining source structure. Centre results were interpreted as coverage and influence diagnostics, never as institutional performance rankings.</w:t>
      </w:r>
    </w:p>
    <w:p>
      <w:pPr>
        <w:pStyle w:val="Heading2"/>
      </w:pPr>
      <w:r>
        <w:t>Participants and index date</w:t>
      </w:r>
    </w:p>
    <w:p>
      <w:r>
        <w:rPr>
          <w:rFonts w:ascii="Arial" w:hAnsi="Arial" w:eastAsia="Arial" w:cs="Arial"/>
          <w:b w:val="0"/>
          <w:sz w:val="22"/>
        </w:rPr>
        <w:t>The index date was the earliest visit meeting the cohort eligibility criteria. Eligible participants were adults with clinician-adjudicated MASLD, at least one recorded cardiometabolic risk factor, body mass index below 25 kg/m², recorded sex, and serum uric acid within the prespecified analytic range. Diagnoses, treatment variables and other clinical fields were used as the reviewed values supplied by the investigators. Viral hepatitis and records lacking a unique de-identified patient key or an unambiguous visit sequence were excluded. A body mass index below 23 kg/m² defined the strict-lean subgroup.</w:t>
      </w:r>
    </w:p>
    <w:p>
      <w:pPr>
        <w:pStyle w:val="Heading2"/>
      </w:pPr>
      <w:r>
        <w:t>Serum uric acid exposure</w:t>
      </w:r>
    </w:p>
    <w:p>
      <w:r>
        <w:rPr>
          <w:rFonts w:ascii="Arial" w:hAnsi="Arial" w:eastAsia="Arial" w:cs="Arial"/>
          <w:b w:val="0"/>
          <w:sz w:val="22"/>
        </w:rPr>
        <w:t>The primary exposure was serum uric acid measured at the index visit and standardised within sex. One unit therefore represents one standard deviation above the sex-specific mean. Among 926 women, the mean was 284.9 µmol/L and the standard deviation was 77.5 µmol/L; among 1,121 men, the corresponding values were 337.3 and 93.8 µmol/L. Clinical hyperuricaemia was defined as serum uric acid above 360 µmol/L in women or above 420 µmol/L in men and was used for baseline description rather than as the primary exposure.</w:t>
      </w:r>
    </w:p>
    <w:p>
      <w:r>
        <w:rPr>
          <w:rFonts w:ascii="Arial" w:hAnsi="Arial" w:eastAsia="Arial" w:cs="Arial"/>
          <w:b w:val="0"/>
          <w:sz w:val="22"/>
        </w:rPr>
        <w:t>Additional exposure specifications included values per 100 µmol/L, sex-specific quartiles, clinical hyperuricaemia and restriction to 100–700 µmol/L. No data-driven cut-point search was undertaken.</w:t>
      </w:r>
    </w:p>
    <w:p>
      <w:pPr>
        <w:pStyle w:val="Heading2"/>
      </w:pPr>
      <w:r>
        <w:t>Kidney measures and outcome hierarchy</w:t>
      </w:r>
    </w:p>
    <w:p>
      <w:r>
        <w:rPr>
          <w:rFonts w:ascii="Arial" w:hAnsi="Arial" w:eastAsia="Arial" w:cs="Arial"/>
          <w:b w:val="0"/>
          <w:sz w:val="22"/>
        </w:rPr>
        <w:t>Serum creatinine was harmonised to µmol/L. eGFR was calculated with the 2021 CKD-EPI creatinine equation without a race coefficient. UACR was harmonised to mg/g.</w:t>
      </w:r>
    </w:p>
    <w:p>
      <w:r>
        <w:rPr>
          <w:rFonts w:ascii="Arial" w:hAnsi="Arial" w:eastAsia="Arial" w:cs="Arial"/>
          <w:b w:val="0"/>
          <w:sz w:val="22"/>
        </w:rPr>
        <w:t>The core outcome was the first later eGFR value at or below 70% of baseline after a 180-day landmark and within five years of the index date. Participants entered this risk set if baseline eGFR was at least 30 mL/min/1.73 m², no qualifying decline occurred before the landmark, and at least one eGFR measurement was available after the landmark. The event is a single-visit detection and was not treated as confirmed CKD progression.</w:t>
      </w:r>
    </w:p>
    <w:p>
      <w:r>
        <w:rPr>
          <w:rFonts w:ascii="Arial" w:hAnsi="Arial" w:eastAsia="Arial" w:cs="Arial"/>
          <w:b w:val="0"/>
          <w:sz w:val="22"/>
        </w:rPr>
        <w:t>The key secondary outcome was a first later eGFR below 60 mL/min/1.73 m² among participants with baseline eGFR at or above 60 mL/min/1.73 m². A first later UACR at or above 30 mg/g among participants with baseline UACR below 30 mg/g was exploratory. A single-visit eGFR decline of at least 40% was an additional threshold analysis.</w:t>
      </w:r>
    </w:p>
    <w:p>
      <w:r>
        <w:rPr>
          <w:rFonts w:ascii="Arial" w:hAnsi="Arial" w:eastAsia="Arial" w:cs="Arial"/>
          <w:b w:val="0"/>
          <w:sz w:val="22"/>
        </w:rPr>
        <w:t>Persistence required a second eGFR value at or below 70% of baseline 90–365 days after the first qualifying value. Because only 29 persistent events occurred and the proportional-hazards diagnostic for the earlier persistent-event Cox model was below 0.05, persistence was described with fixed-time Kaplan–Meier risks rather than promoted as a regression endpoint.</w:t>
      </w:r>
    </w:p>
    <w:p>
      <w:pPr>
        <w:pStyle w:val="Heading2"/>
      </w:pPr>
      <w:r>
        <w:t>Cox models and diagnostics</w:t>
      </w:r>
    </w:p>
    <w:p>
      <w:r>
        <w:rPr>
          <w:rFonts w:ascii="Arial" w:hAnsi="Arial" w:eastAsia="Arial" w:cs="Arial"/>
          <w:b w:val="0"/>
          <w:sz w:val="22"/>
        </w:rPr>
        <w:t>Landmark outcomes were analysed with Cox models stratified by centre. Model A included sex-standardised serum uric acid, age per 10 years, sex, baseline eGFR per 10 mL/min/1.73 m² and centred index year. Model B added body mass index, waist circumference per 10 cm, systolic blood pressure per 10 mm Hg, glycated haemoglobin and type 2 diabetes. Model C added log-transformed baseline UACR, log-transformed triglycerides, high-density lipoprotein cholesterol, smoking and current alcohol use. Model D additionally included recorded renin–angiotensin system inhibitor, sodium–glucose cotransporter 2 inhibitor, diuretic, urate-lowering treatment, glucagon-like peptide-1 receptor agonist and statin use.</w:t>
      </w:r>
    </w:p>
    <w:p>
      <w:r>
        <w:rPr>
          <w:rFonts w:ascii="Arial" w:hAnsi="Arial" w:eastAsia="Arial" w:cs="Arial"/>
          <w:b w:val="0"/>
          <w:sz w:val="22"/>
        </w:rPr>
        <w:t>Model B was the primary clinical model. Models C and D were expanded sensitivity models because event information was limited relative to their parameter count. Proportional-hazards assumptions were assessed from Schoenfeld residuals. No data-driven covariate selection was used.</w:t>
      </w:r>
    </w:p>
    <w:p>
      <w:pPr>
        <w:pStyle w:val="Heading2"/>
      </w:pPr>
      <w:r>
        <w:t>Multiple imputation and penalised regression</w:t>
      </w:r>
    </w:p>
    <w:p>
      <w:r>
        <w:rPr>
          <w:rFonts w:ascii="Arial" w:hAnsi="Arial" w:eastAsia="Arial" w:cs="Arial"/>
          <w:b w:val="0"/>
          <w:sz w:val="22"/>
        </w:rPr>
        <w:t>Twenty datasets were generated by chained equations. Predictive mean matching with 10 donors was used for glycated haemoglobin, log UACR, log triglycerides, high-density lipoprotein cholesterol and smoking. Outcomes, exposure, centre and event times were not imputed. The algorithm used 20 burn-in iterations and 10 iterations between saved datasets. Model C and Model D log hazard ratios were pooled with Rubin's rules. Monte Carlo error was assessed against the mean within-imputation standard error.</w:t>
      </w:r>
    </w:p>
    <w:p>
      <w:r>
        <w:rPr>
          <w:rFonts w:ascii="Arial" w:hAnsi="Arial" w:eastAsia="Arial" w:cs="Arial"/>
          <w:b w:val="0"/>
          <w:sz w:val="22"/>
        </w:rPr>
        <w:t>As a complementary small-event sensitivity analysis, Model B covariates were ridge penalised while the serum uric acid coefficient remained unpenalised. Penalty values of 0.1, 1 and 10 were examined. These models assessed coefficient stability rather than replacing the prespecified Cox model.</w:t>
      </w:r>
    </w:p>
    <w:p>
      <w:pPr>
        <w:pStyle w:val="Heading2"/>
      </w:pPr>
      <w:r>
        <w:t>Model-standardised absolute risks</w:t>
      </w:r>
    </w:p>
    <w:p>
      <w:r>
        <w:rPr>
          <w:rFonts w:ascii="Arial" w:hAnsi="Arial" w:eastAsia="Arial" w:cs="Arial"/>
          <w:b w:val="0"/>
          <w:sz w:val="22"/>
        </w:rPr>
        <w:t>Three- and five-year risks were standardised from the centre-stratified Model A at serum uric acid values of −1, 0 and +1 SD, averaging over the observed covariate distribution. Confidence intervals and risk-difference intervals came from 200 stratified bootstrap samples; 199 completed successfully. These estimates describe model-standardised risk under the fitted observational model and are not counterfactual treatment effects.</w:t>
      </w:r>
    </w:p>
    <w:p>
      <w:pPr>
        <w:pStyle w:val="Heading2"/>
      </w:pPr>
      <w:r>
        <w:t>Non-linearity and centre influence</w:t>
      </w:r>
    </w:p>
    <w:p>
      <w:r>
        <w:rPr>
          <w:rFonts w:ascii="Arial" w:hAnsi="Arial" w:eastAsia="Arial" w:cs="Arial"/>
          <w:b w:val="0"/>
          <w:sz w:val="22"/>
        </w:rPr>
        <w:t>A restricted cubic spline with knots at the 10th, 50th and 90th percentiles tested the overall and non-linear serum uric acid association. A serum uric acid-by-centre interaction test assessed statistical heterogeneity among Centres A–D. Centre-specific estimates and leave-one-centre-out analyses described precision and influence. A non-significant interaction test was not taken to prove identical effects, particularly when event counts were uneven.</w:t>
      </w:r>
    </w:p>
    <w:p>
      <w:pPr>
        <w:pStyle w:val="Heading2"/>
      </w:pPr>
      <w:r>
        <w:t>Bias-directed restrictions and landmarks</w:t>
      </w:r>
    </w:p>
    <w:p>
      <w:r>
        <w:rPr>
          <w:rFonts w:ascii="Arial" w:hAnsi="Arial" w:eastAsia="Arial" w:cs="Arial"/>
          <w:b w:val="0"/>
          <w:sz w:val="22"/>
        </w:rPr>
        <w:t>Prespecified restrictions included participants with type 2 diabetes; baseline eGFR at least 60 mL/min/1.73 m²; baseline eGFR at least 90 mL/min/1.73 m² and UACR below 30 mg/g; exclusion of possible hyperfiltration above 120 mL/min/1.73 m²; restriction of serum uric acid to 100–700 µmol/L; and exclusion of baseline urate-lowering treatment. Landmarks of 365 and 730 days tested temporal separation. The available visit file contained no pre-index eGFR measurements, so a pre-index slope or time-averaged baseline could not be estimated.</w:t>
      </w:r>
    </w:p>
    <w:p>
      <w:pPr>
        <w:pStyle w:val="Heading2"/>
      </w:pPr>
      <w:r>
        <w:t>Selection weighting</w:t>
      </w:r>
    </w:p>
    <w:p>
      <w:r>
        <w:rPr>
          <w:rFonts w:ascii="Arial" w:hAnsi="Arial" w:eastAsia="Arial" w:cs="Arial"/>
          <w:b w:val="0"/>
          <w:sz w:val="22"/>
        </w:rPr>
        <w:t>A logistic model estimated the probability of having eligible post-landmark eGFR testing. Stabilised inverse-probability weights were truncated at the 1st and 99th percentiles. Weighted balance was evaluated with absolute standardised mean differences, and the effective sample size was reported. Weighting addresses measured selection differences; it cannot recreate scheduled research follow-up.</w:t>
      </w:r>
    </w:p>
    <w:p>
      <w:pPr>
        <w:pStyle w:val="Heading2"/>
      </w:pPr>
      <w:r>
        <w:t>Repeated-measures and fixed-window analyses</w:t>
      </w:r>
    </w:p>
    <w:p>
      <w:r>
        <w:rPr>
          <w:rFonts w:ascii="Arial" w:hAnsi="Arial" w:eastAsia="Arial" w:cs="Arial"/>
          <w:b w:val="0"/>
          <w:sz w:val="22"/>
        </w:rPr>
        <w:t>The repeated-measures cohort required at least three eGFR measurements spanning at least 180 days. All measurements from index through five years were used. The eGFR-level mixed model contained participant-specific random intercepts and slopes, centre fixed effects, baseline eGFR and serum uric acid-by-time and covariate-by-time terms. A baseline-anchored model fitted follow-up eGFR while adjusting for baseline eGFR. Change-from-baseline parameterisations were also tested.</w:t>
      </w:r>
    </w:p>
    <w:p>
      <w:r>
        <w:rPr>
          <w:rFonts w:ascii="Arial" w:hAnsi="Arial" w:eastAsia="Arial" w:cs="Arial"/>
          <w:b w:val="0"/>
          <w:sz w:val="22"/>
        </w:rPr>
        <w:t>Fixed-window analyses used the measurement closest to 365 days within 270–455 days and the measurement closest to 730 days within 547–913 days. Linear regression estimated the adjusted difference in change per 1-SD higher serum uric acid. These analyses reduced variation in measurement timing but remained conditional on having a measurement in the specified window.</w:t>
      </w:r>
    </w:p>
    <w:p>
      <w:pPr>
        <w:pStyle w:val="Heading2"/>
      </w:pPr>
      <w:r>
        <w:t>Multiplicity and reporting</w:t>
      </w:r>
    </w:p>
    <w:p>
      <w:r>
        <w:rPr>
          <w:rFonts w:ascii="Arial" w:hAnsi="Arial" w:eastAsia="Arial" w:cs="Arial"/>
          <w:b w:val="0"/>
          <w:sz w:val="22"/>
        </w:rPr>
        <w:t>The core and key secondary outcomes were interpreted from effect estimates, 95% confidence intervals and prespecified hierarchy. Exploratory cross-sectional outcomes were controlled with Benjamini–Hochberg false-discovery-rate values in the frozen cross-sectional results. All longitudinal P values were two-sided. Reporting follows STROBE and RECORD.</w:t>
      </w:r>
    </w:p>
    <w:p>
      <w:pPr>
        <w:pStyle w:val="Heading1"/>
      </w:pPr>
      <w:r>
        <w:t>SUPPLEMENTARY RESULTS</w:t>
      </w:r>
    </w:p>
    <w:p>
      <w:pPr>
        <w:pStyle w:val="Heading2"/>
      </w:pPr>
      <w:r>
        <w:t>Coverage and missingness</w:t>
      </w:r>
    </w:p>
    <w:p>
      <w:r>
        <w:rPr>
          <w:rFonts w:ascii="Arial" w:hAnsi="Arial" w:eastAsia="Arial" w:cs="Arial"/>
          <w:b w:val="0"/>
          <w:sz w:val="22"/>
        </w:rPr>
        <w:t>The index cohort contained 2,047 participants. Baseline eGFR was available for 1,814 (88.6%) and baseline UACR for 1,809 (88.4%). Core risk-set contributions after Centre E was structurally excluded were 92, 476, 316 and 226 participants in Centres A–D, with 4, 50, 22 and 10 events. Centre B therefore contributed 50 of 86 Model A events. The repeated-measures cohort contained 69, 376, 255 and 177 participants across Centres A–D.</w:t>
      </w:r>
    </w:p>
    <w:p>
      <w:pPr>
        <w:pStyle w:val="Heading2"/>
      </w:pPr>
      <w:r>
        <w:t>Core and secondary kidney outcomes</w:t>
      </w:r>
    </w:p>
    <w:p>
      <w:r>
        <w:rPr>
          <w:rFonts w:ascii="Arial" w:hAnsi="Arial" w:eastAsia="Arial" w:cs="Arial"/>
          <w:b w:val="0"/>
          <w:sz w:val="22"/>
        </w:rPr>
        <w:t>Model A included 1,110 participants and 86 events; the hazard ratio per 1-SD higher serum uric acid was 1.43 (95% CI 1.16–1.77; P&lt;0.001). Model B included 1,102 participants and 85 events and produced a hazard ratio of 1.46 (1.19–1.79; P&lt;0.001). Proportional-hazards P values were 0.176 and 0.313, respectively.</w:t>
      </w:r>
    </w:p>
    <w:p>
      <w:r>
        <w:rPr>
          <w:rFonts w:ascii="Arial" w:hAnsi="Arial" w:eastAsia="Arial" w:cs="Arial"/>
          <w:b w:val="0"/>
          <w:sz w:val="22"/>
        </w:rPr>
        <w:t>For later single-visit eGFR below 60 mL/min/1.73 m², Model B included 1,077 participants and 61 events; the hazard ratio was 1.37 (1.07–1.74; P=0.012). For later single-visit UACR at or above 30 mg/g, Model B included 673 participants and 117 events; the hazard ratio was 1.19 (0.98–1.44; P=0.080). The eGFR decline of at least 40% analysis included 1,107 participants and 43 events and gave a Model B hazard ratio of 1.48 (1.11–1.98; P=0.008).</w:t>
      </w:r>
    </w:p>
    <w:p>
      <w:pPr>
        <w:pStyle w:val="Heading2"/>
      </w:pPr>
      <w:r>
        <w:t>Expanded adjustment, imputation and penalisation</w:t>
      </w:r>
    </w:p>
    <w:p>
      <w:r>
        <w:rPr>
          <w:rFonts w:ascii="Arial" w:hAnsi="Arial" w:eastAsia="Arial" w:cs="Arial"/>
          <w:b w:val="0"/>
          <w:sz w:val="22"/>
        </w:rPr>
        <w:t>Multiple-imputation estimates retained 1,110 participants and 86 events. The pooled hazard ratio was 1.34 (1.08–1.67; P=0.009) for Model C and 1.39 (1.11–1.74; P=0.003) for Model D. All 20 imputations converged. The Monte Carlo error-to-mean-standard-error ratios were 0.021 and 0.017, indicating little simulation noise relative to model uncertainty.</w:t>
      </w:r>
    </w:p>
    <w:p>
      <w:r>
        <w:rPr>
          <w:rFonts w:ascii="Arial" w:hAnsi="Arial" w:eastAsia="Arial" w:cs="Arial"/>
          <w:b w:val="0"/>
          <w:sz w:val="22"/>
        </w:rPr>
        <w:t>Ridge-penalised Model B estimates for the core outcome were 1.46 across penalty values of 0.1, 1 and 10. The estimates remained statistically compatible with the unpenalised model. Penalised estimates for later eGFR below 60 mL/min/1.73 m² were similarly directionally stable.</w:t>
      </w:r>
    </w:p>
    <w:p>
      <w:pPr>
        <w:pStyle w:val="Heading2"/>
      </w:pPr>
      <w:r>
        <w:t>Absolute risk and dose–response</w:t>
      </w:r>
    </w:p>
    <w:p>
      <w:r>
        <w:rPr>
          <w:rFonts w:ascii="Arial" w:hAnsi="Arial" w:eastAsia="Arial" w:cs="Arial"/>
          <w:b w:val="0"/>
          <w:sz w:val="22"/>
        </w:rPr>
        <w:t>At serum uric acid values of −1, 0 and +1 SD, standardised three-year risks were 4.31% (2.60–6.03), 6.06% (4.15–7.49) and 8.47% (5.74–10.59). Five-year risks were 9.27% (5.78–13.28), 12.82% (8.41–16.27) and 17.53% (11.51–22.17). The +1-SD versus mean risk difference was 2.41 percentage points (0.64–3.83) at three years and 4.71 points (1.17–7.65) at five years.</w:t>
      </w:r>
    </w:p>
    <w:p>
      <w:r>
        <w:rPr>
          <w:rFonts w:ascii="Arial" w:hAnsi="Arial" w:eastAsia="Arial" w:cs="Arial"/>
          <w:b w:val="0"/>
          <w:sz w:val="22"/>
        </w:rPr>
        <w:t>The restricted-cubic-spline test supported an overall association (P&lt;0.001) but did not show clear non-linearity (P=0.242). The continuous linear specification therefore remained the primary presentation.</w:t>
      </w:r>
    </w:p>
    <w:p>
      <w:pPr>
        <w:pStyle w:val="Heading2"/>
      </w:pPr>
      <w:r>
        <w:t>Temporal and influence analyses</w:t>
      </w:r>
    </w:p>
    <w:p>
      <w:r>
        <w:rPr>
          <w:rFonts w:ascii="Arial" w:hAnsi="Arial" w:eastAsia="Arial" w:cs="Arial"/>
          <w:b w:val="0"/>
          <w:sz w:val="22"/>
        </w:rPr>
        <w:t>At a 365-day landmark, the Model B hazard ratio was 1.43 (1.13–1.80; P=0.003). At 730 days, the estimate attenuated to 1.22 (0.89–1.67; P=0.225). This attenuation was treated as a limit on temporal robustness, not hidden as a negative analysis.</w:t>
      </w:r>
    </w:p>
    <w:p>
      <w:r>
        <w:rPr>
          <w:rFonts w:ascii="Arial" w:hAnsi="Arial" w:eastAsia="Arial" w:cs="Arial"/>
          <w:b w:val="0"/>
          <w:sz w:val="22"/>
        </w:rPr>
        <w:t>The formal serum uric acid-by-centre interaction test gave P=0.794. Centre-specific point estimates pointed in the same broad direction but varied in precision. Excluding Centre B reduced the Model B estimate to 1.31 (0.94–1.83; P=0.113) because only 35 events remained. Excluding Centres A, C or D left the estimate statistically more precise. The combination of a non-significant interaction test and the leave-one-out result indicates event concentration and influence, not proven biological heterogeneity.</w:t>
      </w:r>
    </w:p>
    <w:p>
      <w:pPr>
        <w:pStyle w:val="Heading2"/>
      </w:pPr>
      <w:r>
        <w:t>Bias-directed restrictions and selection weighting</w:t>
      </w:r>
    </w:p>
    <w:p>
      <w:r>
        <w:rPr>
          <w:rFonts w:ascii="Arial" w:hAnsi="Arial" w:eastAsia="Arial" w:cs="Arial"/>
          <w:b w:val="0"/>
          <w:sz w:val="22"/>
        </w:rPr>
        <w:t>The Model B hazard ratio was 1.48 (1.21–1.83) among participants with type 2 diabetes, 1.44 (1.17–1.79) among those with baseline eGFR at least 60 mL/min/1.73 m², and 1.73 (1.29–2.32) among those with baseline eGFR at least 90 mL/min/1.73 m² and UACR below 30 mg/g. Exclusion of possible hyperfiltration, restriction of serum uric acid and exclusion of urate-lowering treatment did not materially alter direction.</w:t>
      </w:r>
    </w:p>
    <w:p>
      <w:r>
        <w:rPr>
          <w:rFonts w:ascii="Arial" w:hAnsi="Arial" w:eastAsia="Arial" w:cs="Arial"/>
          <w:b w:val="0"/>
          <w:sz w:val="22"/>
        </w:rPr>
        <w:t>The stabilised inverse-probability-weighted estimate was 1.40 (1.12–1.74; P=0.003). The effective sample size was 1,101.6 from 1,110 participants. Truncated weights ranged from 0.880 to 1.300, and the largest absolute weighted standardised mean difference was 0.006. These diagnostics indicate excellent measured balance without extreme weights.</w:t>
      </w:r>
    </w:p>
    <w:p>
      <w:pPr>
        <w:pStyle w:val="Heading2"/>
      </w:pPr>
      <w:r>
        <w:t>Persistence and repeated measurements</w:t>
      </w:r>
    </w:p>
    <w:p>
      <w:r>
        <w:rPr>
          <w:rFonts w:ascii="Arial" w:hAnsi="Arial" w:eastAsia="Arial" w:cs="Arial"/>
          <w:b w:val="0"/>
          <w:sz w:val="22"/>
        </w:rPr>
        <w:t>Twenty-nine participants met the stricter persistence definition. Kaplan–Meier risks were 2.06% (1.26–3.36) at three years and 6.01% (3.81–9.43) at five years. The small event count and prior proportional-hazards warning precluded promotion of a persistent-event hazard ratio.</w:t>
      </w:r>
    </w:p>
    <w:p>
      <w:r>
        <w:rPr>
          <w:rFonts w:ascii="Arial" w:hAnsi="Arial" w:eastAsia="Arial" w:cs="Arial"/>
          <w:b w:val="0"/>
          <w:sz w:val="22"/>
        </w:rPr>
        <w:t>The eGFR-level Model B included 872 participants and 4,899 measurements. Each 1-SD higher serum uric acid was associated with an additional annual difference of −0.325 mL/min/1.73 m² (95% CI −0.593 to −0.056; P=0.018). The baseline-anchored model used 872 participants and 4,027 follow-up measurements and gave −0.246 mL/min/1.73 m² per year (−0.537 to 0.046; P=0.099). Thus, the repeated-measures signal depended partly on how baseline separation was represented.</w:t>
      </w:r>
    </w:p>
    <w:p>
      <w:r>
        <w:rPr>
          <w:rFonts w:ascii="Arial" w:hAnsi="Arial" w:eastAsia="Arial" w:cs="Arial"/>
          <w:b w:val="0"/>
          <w:sz w:val="22"/>
        </w:rPr>
        <w:t>In the 12-month fixed window, the adjusted Model B difference was −0.868 mL/min/1.73 m² (95% CI −2.329 to 0.592; P=0.244). In the 24-month window, it was −1.707 (−2.791 to −0.623; P=0.002). These mixed findings were considered supportive rather than confirmatory.</w:t>
      </w:r>
    </w:p>
    <w:p>
      <w:pPr>
        <w:pStyle w:val="Heading1"/>
      </w:pPr>
      <w:r>
        <w:t>SUPPLEMENTARY TABLE LEGENDS</w:t>
      </w:r>
    </w:p>
    <w:p>
      <w:r>
        <w:rPr>
          <w:rFonts w:ascii="Arial" w:hAnsi="Arial" w:eastAsia="Arial" w:cs="Arial"/>
          <w:b/>
          <w:sz w:val="22"/>
        </w:rPr>
        <w:t>Table S1.</w:t>
      </w:r>
      <w:r>
        <w:rPr>
          <w:rFonts w:ascii="Arial" w:hAnsi="Arial" w:eastAsia="Arial" w:cs="Arial"/>
          <w:b w:val="0"/>
          <w:sz w:val="22"/>
        </w:rPr>
        <w:t xml:space="preserve"> Landmark sensitivity analyses for a later single-visit eGFR decline of at least 30%.</w:t>
      </w:r>
    </w:p>
    <w:p>
      <w:r>
        <w:rPr>
          <w:rFonts w:ascii="Arial" w:hAnsi="Arial" w:eastAsia="Arial" w:cs="Arial"/>
          <w:b/>
          <w:sz w:val="22"/>
        </w:rPr>
        <w:t>Table S2.</w:t>
      </w:r>
      <w:r>
        <w:rPr>
          <w:rFonts w:ascii="Arial" w:hAnsi="Arial" w:eastAsia="Arial" w:cs="Arial"/>
          <w:b w:val="0"/>
          <w:sz w:val="22"/>
        </w:rPr>
        <w:t xml:space="preserve"> Anonymous centre coverage and longitudinal model policy.</w:t>
      </w:r>
    </w:p>
    <w:p>
      <w:r>
        <w:rPr>
          <w:rFonts w:ascii="Arial" w:hAnsi="Arial" w:eastAsia="Arial" w:cs="Arial"/>
          <w:b/>
          <w:sz w:val="22"/>
        </w:rPr>
        <w:t>Table S3.</w:t>
      </w:r>
      <w:r>
        <w:rPr>
          <w:rFonts w:ascii="Arial" w:hAnsi="Arial" w:eastAsia="Arial" w:cs="Arial"/>
          <w:b w:val="0"/>
          <w:sz w:val="22"/>
        </w:rPr>
        <w:t xml:space="preserve"> Sex-specific serum uric acid distributions and clinical hyperuricaemia thresholds.</w:t>
      </w:r>
    </w:p>
    <w:p>
      <w:r>
        <w:rPr>
          <w:rFonts w:ascii="Arial" w:hAnsi="Arial" w:eastAsia="Arial" w:cs="Arial"/>
          <w:b/>
          <w:sz w:val="22"/>
        </w:rPr>
        <w:t>Table S4.</w:t>
      </w:r>
      <w:r>
        <w:rPr>
          <w:rFonts w:ascii="Arial" w:hAnsi="Arial" w:eastAsia="Arial" w:cs="Arial"/>
          <w:b w:val="0"/>
          <w:sz w:val="22"/>
        </w:rPr>
        <w:t xml:space="preserve"> Centre-specific serum uric acid estimates for the core endpoint.</w:t>
      </w:r>
    </w:p>
    <w:p>
      <w:r>
        <w:rPr>
          <w:rFonts w:ascii="Arial" w:hAnsi="Arial" w:eastAsia="Arial" w:cs="Arial"/>
          <w:b/>
          <w:sz w:val="22"/>
        </w:rPr>
        <w:t>Table S5.</w:t>
      </w:r>
      <w:r>
        <w:rPr>
          <w:rFonts w:ascii="Arial" w:hAnsi="Arial" w:eastAsia="Arial" w:cs="Arial"/>
          <w:b w:val="0"/>
          <w:sz w:val="22"/>
        </w:rPr>
        <w:t xml:space="preserve"> Formal serum uric acid-by-centre heterogeneity test.</w:t>
      </w:r>
    </w:p>
    <w:p>
      <w:r>
        <w:rPr>
          <w:rFonts w:ascii="Arial" w:hAnsi="Arial" w:eastAsia="Arial" w:cs="Arial"/>
          <w:b/>
          <w:sz w:val="22"/>
        </w:rPr>
        <w:t>Table S6.</w:t>
      </w:r>
      <w:r>
        <w:rPr>
          <w:rFonts w:ascii="Arial" w:hAnsi="Arial" w:eastAsia="Arial" w:cs="Arial"/>
          <w:b w:val="0"/>
          <w:sz w:val="22"/>
        </w:rPr>
        <w:t xml:space="preserve"> Restricted cubic spline tests for overall association and non-linearity.</w:t>
      </w:r>
    </w:p>
    <w:p>
      <w:r>
        <w:rPr>
          <w:rFonts w:ascii="Arial" w:hAnsi="Arial" w:eastAsia="Arial" w:cs="Arial"/>
          <w:b/>
          <w:sz w:val="22"/>
        </w:rPr>
        <w:t>Table S7.</w:t>
      </w:r>
      <w:r>
        <w:rPr>
          <w:rFonts w:ascii="Arial" w:hAnsi="Arial" w:eastAsia="Arial" w:cs="Arial"/>
          <w:b w:val="0"/>
          <w:sz w:val="22"/>
        </w:rPr>
        <w:t xml:space="preserve"> Model-standardised three- and five-year absolute risks.</w:t>
      </w:r>
    </w:p>
    <w:p>
      <w:r>
        <w:rPr>
          <w:rFonts w:ascii="Arial" w:hAnsi="Arial" w:eastAsia="Arial" w:cs="Arial"/>
          <w:b/>
          <w:sz w:val="22"/>
        </w:rPr>
        <w:t>Table S8.</w:t>
      </w:r>
      <w:r>
        <w:rPr>
          <w:rFonts w:ascii="Arial" w:hAnsi="Arial" w:eastAsia="Arial" w:cs="Arial"/>
          <w:b w:val="0"/>
          <w:sz w:val="22"/>
        </w:rPr>
        <w:t xml:space="preserve"> eGFR trajectory parameterisations and fixed-window changes.</w:t>
      </w:r>
    </w:p>
    <w:p>
      <w:r>
        <w:rPr>
          <w:rFonts w:ascii="Arial" w:hAnsi="Arial" w:eastAsia="Arial" w:cs="Arial"/>
          <w:b/>
          <w:sz w:val="22"/>
        </w:rPr>
        <w:t>Table S9.</w:t>
      </w:r>
      <w:r>
        <w:rPr>
          <w:rFonts w:ascii="Arial" w:hAnsi="Arial" w:eastAsia="Arial" w:cs="Arial"/>
          <w:b w:val="0"/>
          <w:sz w:val="22"/>
        </w:rPr>
        <w:t xml:space="preserve"> Persistent eGFR decline event count and inferential policy.</w:t>
      </w:r>
    </w:p>
    <w:p>
      <w:r>
        <w:rPr>
          <w:rFonts w:ascii="Arial" w:hAnsi="Arial" w:eastAsia="Arial" w:cs="Arial"/>
          <w:b/>
          <w:sz w:val="22"/>
        </w:rPr>
        <w:t>Table S10.</w:t>
      </w:r>
      <w:r>
        <w:rPr>
          <w:rFonts w:ascii="Arial" w:hAnsi="Arial" w:eastAsia="Arial" w:cs="Arial"/>
          <w:b w:val="0"/>
          <w:sz w:val="22"/>
        </w:rPr>
        <w:t xml:space="preserve"> Kaplan–Meier risks for persistent eGFR decline.</w:t>
      </w:r>
    </w:p>
    <w:p>
      <w:r>
        <w:rPr>
          <w:rFonts w:ascii="Arial" w:hAnsi="Arial" w:eastAsia="Arial" w:cs="Arial"/>
          <w:b/>
          <w:sz w:val="22"/>
        </w:rPr>
        <w:t>Table S11.</w:t>
      </w:r>
      <w:r>
        <w:rPr>
          <w:rFonts w:ascii="Arial" w:hAnsi="Arial" w:eastAsia="Arial" w:cs="Arial"/>
          <w:b w:val="0"/>
          <w:sz w:val="22"/>
        </w:rPr>
        <w:t xml:space="preserve"> Later single-visit eGFR decline of at least 40%.</w:t>
      </w:r>
    </w:p>
    <w:p>
      <w:r>
        <w:rPr>
          <w:rFonts w:ascii="Arial" w:hAnsi="Arial" w:eastAsia="Arial" w:cs="Arial"/>
          <w:b/>
          <w:sz w:val="22"/>
        </w:rPr>
        <w:t>Table S12.</w:t>
      </w:r>
      <w:r>
        <w:rPr>
          <w:rFonts w:ascii="Arial" w:hAnsi="Arial" w:eastAsia="Arial" w:cs="Arial"/>
          <w:b w:val="0"/>
          <w:sz w:val="22"/>
        </w:rPr>
        <w:t xml:space="preserve"> Rubin-pooled multiple-imputation estimates.</w:t>
      </w:r>
    </w:p>
    <w:p>
      <w:r>
        <w:rPr>
          <w:rFonts w:ascii="Arial" w:hAnsi="Arial" w:eastAsia="Arial" w:cs="Arial"/>
          <w:b/>
          <w:sz w:val="22"/>
        </w:rPr>
        <w:t>Table S13.</w:t>
      </w:r>
      <w:r>
        <w:rPr>
          <w:rFonts w:ascii="Arial" w:hAnsi="Arial" w:eastAsia="Arial" w:cs="Arial"/>
          <w:b w:val="0"/>
          <w:sz w:val="22"/>
        </w:rPr>
        <w:t xml:space="preserve"> Per-imputation Cox estimates.</w:t>
      </w:r>
    </w:p>
    <w:p>
      <w:r>
        <w:rPr>
          <w:rFonts w:ascii="Arial" w:hAnsi="Arial" w:eastAsia="Arial" w:cs="Arial"/>
          <w:b/>
          <w:sz w:val="22"/>
        </w:rPr>
        <w:t>Table S14.</w:t>
      </w:r>
      <w:r>
        <w:rPr>
          <w:rFonts w:ascii="Arial" w:hAnsi="Arial" w:eastAsia="Arial" w:cs="Arial"/>
          <w:b w:val="0"/>
          <w:sz w:val="22"/>
        </w:rPr>
        <w:t xml:space="preserve"> Multiple-imputation specification and diagnostics.</w:t>
      </w:r>
    </w:p>
    <w:p>
      <w:r>
        <w:rPr>
          <w:rFonts w:ascii="Arial" w:hAnsi="Arial" w:eastAsia="Arial" w:cs="Arial"/>
          <w:b/>
          <w:sz w:val="22"/>
        </w:rPr>
        <w:t>Table S15.</w:t>
      </w:r>
      <w:r>
        <w:rPr>
          <w:rFonts w:ascii="Arial" w:hAnsi="Arial" w:eastAsia="Arial" w:cs="Arial"/>
          <w:b w:val="0"/>
          <w:sz w:val="22"/>
        </w:rPr>
        <w:t xml:space="preserve"> Stabilised inverse-probability-weighted analysis summary.</w:t>
      </w:r>
    </w:p>
    <w:p>
      <w:r>
        <w:rPr>
          <w:rFonts w:ascii="Arial" w:hAnsi="Arial" w:eastAsia="Arial" w:cs="Arial"/>
          <w:b/>
          <w:sz w:val="22"/>
        </w:rPr>
        <w:t>Table S16.</w:t>
      </w:r>
      <w:r>
        <w:rPr>
          <w:rFonts w:ascii="Arial" w:hAnsi="Arial" w:eastAsia="Arial" w:cs="Arial"/>
          <w:b w:val="0"/>
          <w:sz w:val="22"/>
        </w:rPr>
        <w:t xml:space="preserve"> Covariate balance after inverse-probability weighting.</w:t>
      </w:r>
    </w:p>
    <w:p>
      <w:r>
        <w:rPr>
          <w:rFonts w:ascii="Arial" w:hAnsi="Arial" w:eastAsia="Arial" w:cs="Arial"/>
          <w:b/>
          <w:sz w:val="22"/>
        </w:rPr>
        <w:t>Table S17.</w:t>
      </w:r>
      <w:r>
        <w:rPr>
          <w:rFonts w:ascii="Arial" w:hAnsi="Arial" w:eastAsia="Arial" w:cs="Arial"/>
          <w:b w:val="0"/>
          <w:sz w:val="22"/>
        </w:rPr>
        <w:t xml:space="preserve"> Availability of key baseline variables.</w:t>
      </w:r>
    </w:p>
    <w:p>
      <w:r>
        <w:rPr>
          <w:rFonts w:ascii="Arial" w:hAnsi="Arial" w:eastAsia="Arial" w:cs="Arial"/>
          <w:b/>
          <w:sz w:val="22"/>
        </w:rPr>
        <w:t>Table S18.</w:t>
      </w:r>
      <w:r>
        <w:rPr>
          <w:rFonts w:ascii="Arial" w:hAnsi="Arial" w:eastAsia="Arial" w:cs="Arial"/>
          <w:b w:val="0"/>
          <w:sz w:val="22"/>
        </w:rPr>
        <w:t xml:space="preserve"> Feasibility of pre-index eGFR analyses.</w:t>
      </w:r>
    </w:p>
    <w:p>
      <w:r>
        <w:rPr>
          <w:rFonts w:ascii="Arial" w:hAnsi="Arial" w:eastAsia="Arial" w:cs="Arial"/>
          <w:b/>
          <w:sz w:val="22"/>
        </w:rPr>
        <w:t>Table S19.</w:t>
      </w:r>
      <w:r>
        <w:rPr>
          <w:rFonts w:ascii="Arial" w:hAnsi="Arial" w:eastAsia="Arial" w:cs="Arial"/>
          <w:b w:val="0"/>
          <w:sz w:val="22"/>
        </w:rPr>
        <w:t xml:space="preserve"> Bias-directed cohort restrictions.</w:t>
      </w:r>
    </w:p>
    <w:p>
      <w:r>
        <w:rPr>
          <w:rFonts w:ascii="Arial" w:hAnsi="Arial" w:eastAsia="Arial" w:cs="Arial"/>
          <w:b/>
          <w:sz w:val="22"/>
        </w:rPr>
        <w:t>Table S20.</w:t>
      </w:r>
      <w:r>
        <w:rPr>
          <w:rFonts w:ascii="Arial" w:hAnsi="Arial" w:eastAsia="Arial" w:cs="Arial"/>
          <w:b w:val="0"/>
          <w:sz w:val="22"/>
        </w:rPr>
        <w:t xml:space="preserve"> Leave-one-centre-out influence analyses.</w:t>
      </w:r>
    </w:p>
    <w:p>
      <w:r>
        <w:rPr>
          <w:rFonts w:ascii="Arial" w:hAnsi="Arial" w:eastAsia="Arial" w:cs="Arial"/>
          <w:b/>
          <w:sz w:val="22"/>
        </w:rPr>
        <w:t>Table S21.</w:t>
      </w:r>
      <w:r>
        <w:rPr>
          <w:rFonts w:ascii="Arial" w:hAnsi="Arial" w:eastAsia="Arial" w:cs="Arial"/>
          <w:b w:val="0"/>
          <w:sz w:val="22"/>
        </w:rPr>
        <w:t xml:space="preserve"> Multiple-imputation coefficient stability diagnostics.</w:t>
      </w:r>
    </w:p>
    <w:p>
      <w:r>
        <w:rPr>
          <w:rFonts w:ascii="Arial" w:hAnsi="Arial" w:eastAsia="Arial" w:cs="Arial"/>
          <w:b/>
          <w:sz w:val="22"/>
        </w:rPr>
        <w:t>Table S22.</w:t>
      </w:r>
      <w:r>
        <w:rPr>
          <w:rFonts w:ascii="Arial" w:hAnsi="Arial" w:eastAsia="Arial" w:cs="Arial"/>
          <w:b w:val="0"/>
          <w:sz w:val="22"/>
        </w:rPr>
        <w:t xml:space="preserve"> Ridge-penalised Cox sensitivity analyses.</w:t>
      </w:r>
    </w:p>
    <w:p>
      <w:r>
        <w:rPr>
          <w:rFonts w:ascii="Arial" w:hAnsi="Arial" w:eastAsia="Arial" w:cs="Arial"/>
          <w:b/>
          <w:sz w:val="22"/>
        </w:rPr>
        <w:t>Table S23.</w:t>
      </w:r>
      <w:r>
        <w:rPr>
          <w:rFonts w:ascii="Arial" w:hAnsi="Arial" w:eastAsia="Arial" w:cs="Arial"/>
          <w:b w:val="0"/>
          <w:sz w:val="22"/>
        </w:rPr>
        <w:t xml:space="preserve"> Baseline-anchored repeated-measures parameterisations.</w:t>
      </w:r>
    </w:p>
    <w:p>
      <w:pPr>
        <w:pStyle w:val="Heading1"/>
      </w:pPr>
      <w:r>
        <w:t>SUPPLEMENTARY FIGURE LEGENDS</w:t>
      </w:r>
    </w:p>
    <w:p>
      <w:r>
        <w:rPr>
          <w:rFonts w:ascii="Arial" w:hAnsi="Arial" w:eastAsia="Arial" w:cs="Arial"/>
          <w:b/>
          <w:sz w:val="22"/>
        </w:rPr>
        <w:t>Figure S1.</w:t>
      </w:r>
      <w:r>
        <w:rPr>
          <w:rFonts w:ascii="Arial" w:hAnsi="Arial" w:eastAsia="Arial" w:cs="Arial"/>
          <w:b w:val="0"/>
          <w:sz w:val="22"/>
        </w:rPr>
        <w:t xml:space="preserve"> Landmark, threshold and bias-directed sensitivity analyses. Hazard ratios are per 1-SD higher serum uric acid standardised within sex. Horizontal bars show 95% confidence intervals. The 730-day estimate is displayed even though its interval crosses 1.</w:t>
      </w:r>
    </w:p>
    <w:p>
      <w:r>
        <w:rPr>
          <w:rFonts w:ascii="Arial" w:hAnsi="Arial" w:eastAsia="Arial" w:cs="Arial"/>
          <w:b/>
          <w:sz w:val="22"/>
        </w:rPr>
        <w:t>Figure S2.</w:t>
      </w:r>
      <w:r>
        <w:rPr>
          <w:rFonts w:ascii="Arial" w:hAnsi="Arial" w:eastAsia="Arial" w:cs="Arial"/>
          <w:b w:val="0"/>
          <w:sz w:val="22"/>
        </w:rPr>
        <w:t xml:space="preserve"> Restricted cubic spline for sex-standardised serum uric acid and the core endpoint. Knots were placed at the 10th, 50th and 90th percentiles. The reference is the sex-specific mean; the non-linearity test was not significant.</w:t>
      </w:r>
    </w:p>
    <w:p>
      <w:r>
        <w:rPr>
          <w:rFonts w:ascii="Arial" w:hAnsi="Arial" w:eastAsia="Arial" w:cs="Arial"/>
          <w:b/>
          <w:sz w:val="22"/>
        </w:rPr>
        <w:t>Figure S3.</w:t>
      </w:r>
      <w:r>
        <w:rPr>
          <w:rFonts w:ascii="Arial" w:hAnsi="Arial" w:eastAsia="Arial" w:cs="Arial"/>
          <w:b w:val="0"/>
          <w:sz w:val="22"/>
        </w:rPr>
        <w:t xml:space="preserve"> Anonymous centre estimates and longitudinal coverage. Centre-specific estimates are shown beside risk-set and trajectory-cohort coverage. Centre E appears in the coverage panel but not in longitudinal models because follow-up kidney data were structurally sparse.</w:t>
      </w:r>
    </w:p>
    <w:p>
      <w:r>
        <w:rPr>
          <w:rFonts w:ascii="Arial" w:hAnsi="Arial" w:eastAsia="Arial" w:cs="Arial"/>
          <w:b/>
          <w:sz w:val="22"/>
        </w:rPr>
        <w:t>Figure S4.</w:t>
      </w:r>
      <w:r>
        <w:rPr>
          <w:rFonts w:ascii="Arial" w:hAnsi="Arial" w:eastAsia="Arial" w:cs="Arial"/>
          <w:b w:val="0"/>
          <w:sz w:val="22"/>
        </w:rPr>
        <w:t xml:space="preserve"> Fixed-window eGFR change and persistent decline. Panel A shows adjusted eGFR changes in the 12- and 24-month windows. Panel B shows descriptive three- and five-year persistent-decline risks; no Cox estimate was promoted because proportional hazards were unsupported.</w:t>
      </w:r>
    </w:p>
    <w:p>
      <w:r>
        <w:rPr>
          <w:rFonts w:ascii="Arial" w:hAnsi="Arial" w:eastAsia="Arial" w:cs="Arial"/>
          <w:b/>
          <w:sz w:val="22"/>
        </w:rPr>
        <w:t>Figure S5.</w:t>
      </w:r>
      <w:r>
        <w:rPr>
          <w:rFonts w:ascii="Arial" w:hAnsi="Arial" w:eastAsia="Arial" w:cs="Arial"/>
          <w:b w:val="0"/>
          <w:sz w:val="22"/>
        </w:rPr>
        <w:t xml:space="preserve"> Inverse-probability-weighted balance for post-landmark eGFR testing. Absolute standardised mean differences are shown before and after weighting; the dashed reference marks 0.10.</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s="Arial"/>
        <w:color w:val="666666"/>
        <w:sz w:val="17"/>
      </w:rP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cs="Arial"/>
        <w:color w:val="666666"/>
        <w:sz w:val="17"/>
      </w:rPr>
      <w:t>Supplementary methods and results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space"/>
      <w:pPr>
        <w:tabs>
          <w:tab w:val="num" w:pos="720"/>
        </w:tabs>
        <w:ind w:left="720" w:hanging="360"/>
        <w:spacing w:after="160" w:line="280" w:lineRule="auto"/>
      </w:pPr>
      <w:rPr>
        <w:rFonts w:ascii="Arial" w:hAnsi="Arial" w:eastAsia="Arial" w:cs="Arial"/>
      </w:rPr>
    </w:lvl>
  </w:abstractNum>
  <w:num w:numId="10">
    <w:abstractNumId w:val="9"/>
  </w:num>
  <w:abstractNum w:abstractNumId="10">
    <w:multiLevelType w:val="singleLevel"/>
    <w:lvl w:ilvl="0">
      <w:start w:val="1"/>
      <w:numFmt w:val="decimal"/>
      <w:lvlText w:val="%1."/>
      <w:suff w:val="space"/>
      <w:pPr>
        <w:tabs>
          <w:tab w:val="num" w:pos="720"/>
        </w:tabs>
        <w:ind w:left="720" w:hanging="360"/>
        <w:spacing w:after="160" w:line="280" w:lineRule="auto"/>
      </w:pPr>
      <w:rPr>
        <w:rFonts w:ascii="Arial" w:hAnsi="Arial" w:eastAsia="Arial" w:cs="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jc w:val="left"/>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eastAsia="Arial" w:cs="Arial"/>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Arial" w:cs="Arial"/>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eastAsia="Arial" w:cs="Arial"/>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before="0" w:after="80" w:line="240" w:lineRule="auto"/>
      <w:ind w:left="360" w:hanging="360"/>
    </w:pPr>
    <w:rPr>
      <w:rFonts w:ascii="Arial" w:hAnsi="Arial" w:eastAsia="Arial" w:cs="Arial"/>
      <w:b w:val="0"/>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