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after="160"/>
        <w:jc w:val="center"/>
      </w:pPr>
      <w:r>
        <w:rPr>
          <w:rFonts w:ascii="Arial" w:hAnsi="Arial" w:eastAsia="Arial" w:cs="Arial"/>
          <w:b/>
          <w:color w:val="0B2545"/>
          <w:sz w:val="28"/>
        </w:rPr>
        <w:t>Supplementary Tables</w:t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S1. Landmark sensitivity analyses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216"/>
        <w:gridCol w:w="1569"/>
        <w:gridCol w:w="1569"/>
        <w:gridCol w:w="1569"/>
        <w:gridCol w:w="1569"/>
        <w:gridCol w:w="1569"/>
        <w:gridCol w:w="1569"/>
        <w:gridCol w:w="1570"/>
      </w:tblGrid>
      <w:tr>
        <w:trPr>
          <w:tblHeader w:val="true"/>
        </w:trPr>
        <w:tc>
          <w:tcPr>
            <w:tcW w:type="dxa" w:w="32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Analysis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Estimate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5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PH diagnostic P value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decline ≥30%, 365-day landmark, Model A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979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1.369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1.081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1.734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0.009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0.208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decline ≥30%, 365-day landmark, Model B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972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1.426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1.132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1.798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0.294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decline ≥30%, 730-day landmark, Model A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738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1.153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0.839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1.584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0.381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0.661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decline ≥30%, 730-day landmark, Model B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732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1.218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0.886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1.674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0.225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0.701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S2. Anonymous centre coverage and longitudinal policy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2492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8"/>
      </w:tblGrid>
      <w:tr>
        <w:trPr>
          <w:tblHeader w:val="true"/>
        </w:trPr>
        <w:tc>
          <w:tcPr>
            <w:tcW w:type="dxa" w:w="249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Anonymous centre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Baseline cohort,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Index start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Index end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Baseline eGFR,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Baseline UACR,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Core risk set,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Core events,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Trajectory cohort, n</w:t>
            </w:r>
          </w:p>
        </w:tc>
        <w:tc>
          <w:tcPr>
            <w:tcW w:type="dxa" w:w="1308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Longitudinal policy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A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149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2019-07-01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2025-09-12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149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92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69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Included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B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726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2017-10-23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2025-05-18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726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692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476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376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Included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C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434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2017-11-25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2026-01-11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434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423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316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22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255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Included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D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365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2018-01-26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2025-10-10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365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279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226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177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Included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E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373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2017-06-15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2026-05-19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140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334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Excluded for structural absence of follow-up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S3. Sex-specific serum uric acid distributions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216"/>
        <w:gridCol w:w="1569"/>
        <w:gridCol w:w="1569"/>
        <w:gridCol w:w="1569"/>
        <w:gridCol w:w="1569"/>
        <w:gridCol w:w="1569"/>
        <w:gridCol w:w="1569"/>
        <w:gridCol w:w="1570"/>
      </w:tblGrid>
      <w:tr>
        <w:trPr>
          <w:tblHeader w:val="true"/>
        </w:trPr>
        <w:tc>
          <w:tcPr>
            <w:tcW w:type="dxa" w:w="32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Sex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Participants,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Mean SUA, µmol/L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SD, µmol/L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Q1 cut-point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Median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Q3 cut-point</w:t>
            </w:r>
          </w:p>
        </w:tc>
        <w:tc>
          <w:tcPr>
            <w:tcW w:type="dxa" w:w="15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Clinical threshold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Women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926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284.9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77.5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230.0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276.0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331.75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360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Men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1121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337.3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93.8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271.0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326.0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392.0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420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S4. Centre-specific estimates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216"/>
        <w:gridCol w:w="1569"/>
        <w:gridCol w:w="1569"/>
        <w:gridCol w:w="1569"/>
        <w:gridCol w:w="1569"/>
        <w:gridCol w:w="1569"/>
        <w:gridCol w:w="1569"/>
        <w:gridCol w:w="1570"/>
      </w:tblGrid>
      <w:tr>
        <w:trPr>
          <w:tblHeader w:val="true"/>
        </w:trPr>
        <w:tc>
          <w:tcPr>
            <w:tcW w:type="dxa" w:w="32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Anonymous centre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Hazard ratio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5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for heterogeneity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A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2.051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0.884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4.762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0.094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0.794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B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476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1.421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1.084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1.862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0.794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316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1.425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0.974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2.085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0.068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0.794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226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1.169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0.582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2.350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0.661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0.794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S5. Formal heterogeneity test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4316"/>
        <w:gridCol w:w="1976"/>
        <w:gridCol w:w="1976"/>
        <w:gridCol w:w="1976"/>
        <w:gridCol w:w="1976"/>
        <w:gridCol w:w="1980"/>
      </w:tblGrid>
      <w:tr>
        <w:trPr>
          <w:tblHeader w:val="true"/>
        </w:trPr>
        <w:tc>
          <w:tcPr>
            <w:tcW w:type="dxa" w:w="43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</w:t>
            </w:r>
          </w:p>
        </w:tc>
        <w:tc>
          <w:tcPr>
            <w:tcW w:type="dxa" w:w="197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97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97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Chi-square</w:t>
            </w:r>
          </w:p>
        </w:tc>
        <w:tc>
          <w:tcPr>
            <w:tcW w:type="dxa" w:w="197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df</w:t>
            </w:r>
          </w:p>
        </w:tc>
        <w:tc>
          <w:tcPr>
            <w:tcW w:type="dxa" w:w="198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for heterogeneity</w:t>
            </w:r>
          </w:p>
        </w:tc>
      </w:tr>
      <w:tr>
        <w:tc>
          <w:tcPr>
            <w:tcW w:type="dxa" w:w="43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Centre-stratified Model A with SUA-by-centre interactions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1.031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98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0.794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S6. Restricted cubic spline tests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703"/>
        <w:gridCol w:w="1749"/>
        <w:gridCol w:w="1749"/>
        <w:gridCol w:w="1749"/>
        <w:gridCol w:w="1749"/>
        <w:gridCol w:w="1749"/>
        <w:gridCol w:w="1752"/>
      </w:tblGrid>
      <w:tr>
        <w:trPr>
          <w:tblHeader w:val="true"/>
        </w:trPr>
        <w:tc>
          <w:tcPr>
            <w:tcW w:type="dxa" w:w="3703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10th percentile knot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50th percentile knot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90th percentile knot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overall</w:t>
            </w:r>
          </w:p>
        </w:tc>
        <w:tc>
          <w:tcPr>
            <w:tcW w:type="dxa" w:w="175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non-linear</w:t>
            </w:r>
          </w:p>
        </w:tc>
      </w:tr>
      <w:tr>
        <w:tc>
          <w:tcPr>
            <w:tcW w:type="dxa" w:w="370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-1.166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-0.129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1.288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75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0.242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S7. Model-standardised absolute risks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5113"/>
        <w:gridCol w:w="2271"/>
        <w:gridCol w:w="2271"/>
        <w:gridCol w:w="2271"/>
        <w:gridCol w:w="2274"/>
      </w:tblGrid>
      <w:tr>
        <w:trPr>
          <w:tblHeader w:val="true"/>
        </w:trPr>
        <w:tc>
          <w:tcPr>
            <w:tcW w:type="dxa" w:w="5113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Serum uric acid contrast</w:t>
            </w:r>
          </w:p>
        </w:tc>
        <w:tc>
          <w:tcPr>
            <w:tcW w:type="dxa" w:w="2271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Time from index, years</w:t>
            </w:r>
          </w:p>
        </w:tc>
        <w:tc>
          <w:tcPr>
            <w:tcW w:type="dxa" w:w="2271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Standardised risk, % (95% CI)</w:t>
            </w:r>
          </w:p>
        </w:tc>
        <w:tc>
          <w:tcPr>
            <w:tcW w:type="dxa" w:w="2271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Risk difference vs mean, percentage points (95% CI)</w:t>
            </w:r>
          </w:p>
        </w:tc>
        <w:tc>
          <w:tcPr>
            <w:tcW w:type="dxa" w:w="2274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Successful bootstrap replicates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-1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4.31 (2.60–6.03)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-1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9.27 (5.78–13.28)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+0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6.06 (4.15–7.49)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+0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12.82 (8.41–16.27)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+1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8.47 (5.74–10.59)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+1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17.53 (11.51–22.17)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+1 vs 0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+2.41 (+0.64 to +3.83)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+1 vs 0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+4.71 (+1.17 to +7.65)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+1 vs -1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+4.16 (+1.22 to +6.10)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+1 vs -1 SD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+8.26 (+2.23 to +12.76)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199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S8. eGFR trajectory and fixed-window analyses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4316"/>
        <w:gridCol w:w="1976"/>
        <w:gridCol w:w="1976"/>
        <w:gridCol w:w="1976"/>
        <w:gridCol w:w="1976"/>
        <w:gridCol w:w="1980"/>
      </w:tblGrid>
      <w:tr>
        <w:trPr>
          <w:tblHeader w:val="true"/>
        </w:trPr>
        <w:tc>
          <w:tcPr>
            <w:tcW w:type="dxa" w:w="43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Analysis</w:t>
            </w:r>
          </w:p>
        </w:tc>
        <w:tc>
          <w:tcPr>
            <w:tcW w:type="dxa" w:w="197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Participants, n</w:t>
            </w:r>
          </w:p>
        </w:tc>
        <w:tc>
          <w:tcPr>
            <w:tcW w:type="dxa" w:w="197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Measurements, n</w:t>
            </w:r>
          </w:p>
        </w:tc>
        <w:tc>
          <w:tcPr>
            <w:tcW w:type="dxa" w:w="197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Estimate (95% CI)</w:t>
            </w:r>
          </w:p>
        </w:tc>
        <w:tc>
          <w:tcPr>
            <w:tcW w:type="dxa" w:w="197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Unit</w:t>
            </w:r>
          </w:p>
        </w:tc>
        <w:tc>
          <w:tcPr>
            <w:tcW w:type="dxa" w:w="198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</w:tr>
      <w:tr>
        <w:tc>
          <w:tcPr>
            <w:tcW w:type="dxa" w:w="43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eGFR-level mixed model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872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4899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-0.325 (-0.593 to -0.056)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mL/min/1.73 m² per year per 1-SD higher SUA</w:t>
            </w:r>
          </w:p>
        </w:tc>
        <w:tc>
          <w:tcPr>
            <w:tcW w:type="dxa" w:w="198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0.018</w:t>
            </w:r>
          </w:p>
        </w:tc>
      </w:tr>
      <w:tr>
        <w:tc>
          <w:tcPr>
            <w:tcW w:type="dxa" w:w="43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Baseline-anchored mixed model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872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4027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-0.246 (-0.537 to 0.046)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mL/min/1.73 m² per year per 1-SD higher SUA</w:t>
            </w:r>
          </w:p>
        </w:tc>
        <w:tc>
          <w:tcPr>
            <w:tcW w:type="dxa" w:w="198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0.099</w:t>
            </w:r>
          </w:p>
        </w:tc>
      </w:tr>
      <w:tr>
        <w:tc>
          <w:tcPr>
            <w:tcW w:type="dxa" w:w="43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12-month window fixed-window change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620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-0.868 (-2.329 to 0.592)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mL/min/1.73 m² per 1-SD higher SUA</w:t>
            </w:r>
          </w:p>
        </w:tc>
        <w:tc>
          <w:tcPr>
            <w:tcW w:type="dxa" w:w="198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0.244</w:t>
            </w:r>
          </w:p>
        </w:tc>
      </w:tr>
      <w:tr>
        <w:tc>
          <w:tcPr>
            <w:tcW w:type="dxa" w:w="43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24-month window fixed-window change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676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—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-1.707 (-2.791 to -0.623)</w:t>
            </w:r>
          </w:p>
        </w:tc>
        <w:tc>
          <w:tcPr>
            <w:tcW w:type="dxa" w:w="197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mL/min/1.73 m² per 1-SD higher SUA</w:t>
            </w:r>
          </w:p>
        </w:tc>
        <w:tc>
          <w:tcPr>
            <w:tcW w:type="dxa" w:w="198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S9. Persistent decline counts and policy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6189"/>
        <w:gridCol w:w="2670"/>
        <w:gridCol w:w="2670"/>
        <w:gridCol w:w="2671"/>
      </w:tblGrid>
      <w:tr>
        <w:trPr>
          <w:tblHeader w:val="true"/>
        </w:trPr>
        <w:tc>
          <w:tcPr>
            <w:tcW w:type="dxa" w:w="618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Risk set, n</w:t>
            </w:r>
          </w:p>
        </w:tc>
        <w:tc>
          <w:tcPr>
            <w:tcW w:type="dxa" w:w="26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Persistent events, n</w:t>
            </w:r>
          </w:p>
        </w:tc>
        <w:tc>
          <w:tcPr>
            <w:tcW w:type="dxa" w:w="26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Definition</w:t>
            </w:r>
          </w:p>
        </w:tc>
        <w:tc>
          <w:tcPr>
            <w:tcW w:type="dxa" w:w="2671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Inferential policy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29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Second eGFR &lt;=70% of baseline 90–365 days after the first qualifying post-landmark value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Descriptive fixed-time Kaplan–Meier risks; Cox HR not promoted because the prior PH diagnostic was &lt;0.05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S10. Kaplan–Meier risks for persistent decline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703"/>
        <w:gridCol w:w="1749"/>
        <w:gridCol w:w="1749"/>
        <w:gridCol w:w="1749"/>
        <w:gridCol w:w="1749"/>
        <w:gridCol w:w="1749"/>
        <w:gridCol w:w="1752"/>
      </w:tblGrid>
      <w:tr>
        <w:trPr>
          <w:tblHeader w:val="true"/>
        </w:trPr>
        <w:tc>
          <w:tcPr>
            <w:tcW w:type="dxa" w:w="3703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Group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Time from index, years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Participants, n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KM risk</w:t>
            </w:r>
          </w:p>
        </w:tc>
        <w:tc>
          <w:tcPr>
            <w:tcW w:type="dxa" w:w="174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75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</w:tr>
      <w:tr>
        <w:tc>
          <w:tcPr>
            <w:tcW w:type="dxa" w:w="370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Overall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29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0.021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0.013</w:t>
            </w:r>
          </w:p>
        </w:tc>
        <w:tc>
          <w:tcPr>
            <w:tcW w:type="dxa" w:w="175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0.034</w:t>
            </w:r>
          </w:p>
        </w:tc>
      </w:tr>
      <w:tr>
        <w:tc>
          <w:tcPr>
            <w:tcW w:type="dxa" w:w="370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Overall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29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0.060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0.038</w:t>
            </w:r>
          </w:p>
        </w:tc>
        <w:tc>
          <w:tcPr>
            <w:tcW w:type="dxa" w:w="175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0.094</w:t>
            </w:r>
          </w:p>
        </w:tc>
      </w:tr>
      <w:tr>
        <w:tc>
          <w:tcPr>
            <w:tcW w:type="dxa" w:w="370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At or above the sex-specific mean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494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0.029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0.016</w:t>
            </w:r>
          </w:p>
        </w:tc>
        <w:tc>
          <w:tcPr>
            <w:tcW w:type="dxa" w:w="175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0.052</w:t>
            </w:r>
          </w:p>
        </w:tc>
      </w:tr>
      <w:tr>
        <w:tc>
          <w:tcPr>
            <w:tcW w:type="dxa" w:w="370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At or above the sex-specific mean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494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0.071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0.044</w:t>
            </w:r>
          </w:p>
        </w:tc>
        <w:tc>
          <w:tcPr>
            <w:tcW w:type="dxa" w:w="175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</w:tr>
      <w:tr>
        <w:tc>
          <w:tcPr>
            <w:tcW w:type="dxa" w:w="370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Below the sex-specific mean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616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0.013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0.005</w:t>
            </w:r>
          </w:p>
        </w:tc>
        <w:tc>
          <w:tcPr>
            <w:tcW w:type="dxa" w:w="175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0.032</w:t>
            </w:r>
          </w:p>
        </w:tc>
      </w:tr>
      <w:tr>
        <w:tc>
          <w:tcPr>
            <w:tcW w:type="dxa" w:w="370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Below the sex-specific mean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616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0.055</w:t>
            </w:r>
          </w:p>
        </w:tc>
        <w:tc>
          <w:tcPr>
            <w:tcW w:type="dxa" w:w="174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0.022</w:t>
            </w:r>
          </w:p>
        </w:tc>
        <w:tc>
          <w:tcPr>
            <w:tcW w:type="dxa" w:w="175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0.134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S11. Later single-visit eGFR decline of at least 40%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2820"/>
        <w:gridCol w:w="1422"/>
        <w:gridCol w:w="1422"/>
        <w:gridCol w:w="1422"/>
        <w:gridCol w:w="1422"/>
        <w:gridCol w:w="1422"/>
        <w:gridCol w:w="1422"/>
        <w:gridCol w:w="1422"/>
        <w:gridCol w:w="1426"/>
      </w:tblGrid>
      <w:tr>
        <w:trPr>
          <w:tblHeader w:val="true"/>
        </w:trPr>
        <w:tc>
          <w:tcPr>
            <w:tcW w:type="dxa" w:w="282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Risk set, n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Estimate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42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PH diagnostic P value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A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1115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1115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44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1.397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1.043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1.872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0.025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0.257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B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1115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1107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43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1.481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1.110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1.976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0.008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0.448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S12. Rubin-pooled multiple-imputation estimates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2820"/>
        <w:gridCol w:w="1422"/>
        <w:gridCol w:w="1422"/>
        <w:gridCol w:w="1422"/>
        <w:gridCol w:w="1422"/>
        <w:gridCol w:w="1422"/>
        <w:gridCol w:w="1422"/>
        <w:gridCol w:w="1422"/>
        <w:gridCol w:w="1426"/>
      </w:tblGrid>
      <w:tr>
        <w:trPr>
          <w:tblHeader w:val="true"/>
        </w:trPr>
        <w:tc>
          <w:tcPr>
            <w:tcW w:type="dxa" w:w="282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Successful imputations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Estimate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42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Fraction missing information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1.342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1.077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1.671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0.009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0.009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1.392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1.115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1.738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0.006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S13. Per-imputation estimates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216"/>
        <w:gridCol w:w="1569"/>
        <w:gridCol w:w="1569"/>
        <w:gridCol w:w="1569"/>
        <w:gridCol w:w="1569"/>
        <w:gridCol w:w="1569"/>
        <w:gridCol w:w="1569"/>
        <w:gridCol w:w="1570"/>
      </w:tblGrid>
      <w:tr>
        <w:trPr>
          <w:tblHeader w:val="true"/>
        </w:trPr>
        <w:tc>
          <w:tcPr>
            <w:tcW w:type="dxa" w:w="32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Imputation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Hazard ratio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Standard error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5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Convergence status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1.347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1.401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1.354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1.404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1.333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1.386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1.353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1.399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1.351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1.394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1.341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1.391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1.327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1.378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1.349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1.402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1.350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1.402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1.331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1.382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1.351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1.401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1.345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1.386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1.340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1.396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1.364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1.361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1.407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1.323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1.375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1.342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1.391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1.334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1.389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1.309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1.364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1.325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1.379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Converged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S14. Multiple-imputation specification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216"/>
        <w:gridCol w:w="1569"/>
        <w:gridCol w:w="1569"/>
        <w:gridCol w:w="1569"/>
        <w:gridCol w:w="1569"/>
        <w:gridCol w:w="1569"/>
        <w:gridCol w:w="1569"/>
        <w:gridCol w:w="1570"/>
      </w:tblGrid>
      <w:tr>
        <w:trPr>
          <w:tblHeader w:val="true"/>
        </w:trPr>
        <w:tc>
          <w:tcPr>
            <w:tcW w:type="dxa" w:w="32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Variable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Missing before imputation,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Missing before imputation, %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Imputation method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Burn-in iterations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Iterations between imputations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Requested imputations</w:t>
            </w:r>
          </w:p>
        </w:tc>
        <w:tc>
          <w:tcPr>
            <w:tcW w:type="dxa" w:w="15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Seed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HbA1c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Chained equations with predictive mean matching (10 donors)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20260729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 log(UACR + 1)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126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11.4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Chained equations with predictive mean matching (10 donors)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20260729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Log-transformed triglycerides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Chained equations with predictive mean matching (10 donors)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20260729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HDL cholesterol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Chained equations with predictive mean matching (10 donors)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20260729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Ever smoker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271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24.4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Chained equations with predictive mean matching (10 donors)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20260729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S15. Inverse-probability-weighted analysis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2492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8"/>
      </w:tblGrid>
      <w:tr>
        <w:trPr>
          <w:tblHeader w:val="true"/>
        </w:trPr>
        <w:tc>
          <w:tcPr>
            <w:tcW w:type="dxa" w:w="249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 risk set,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Hazard ratio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Effective sample size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Minimum truncated weight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Maximum truncated weight</w:t>
            </w:r>
          </w:p>
        </w:tc>
        <w:tc>
          <w:tcPr>
            <w:tcW w:type="dxa" w:w="1308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Maximum weighted |SMD|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1110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1.398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1.124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1.739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1101.600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0.880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1.300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0.006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S16. Covariate balance after weighting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7723"/>
        <w:gridCol w:w="3238"/>
        <w:gridCol w:w="3239"/>
      </w:tblGrid>
      <w:tr>
        <w:trPr>
          <w:tblHeader w:val="true"/>
        </w:trPr>
        <w:tc>
          <w:tcPr>
            <w:tcW w:type="dxa" w:w="7723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Variable</w:t>
            </w:r>
          </w:p>
        </w:tc>
        <w:tc>
          <w:tcPr>
            <w:tcW w:type="dxa" w:w="3238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Weighted SMD</w:t>
            </w:r>
          </w:p>
        </w:tc>
        <w:tc>
          <w:tcPr>
            <w:tcW w:type="dxa" w:w="323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Absolute weighted SMD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Serum uric acid standardised within sex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0.001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0.001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Age (per 10 years)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-0.000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0.000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Women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-0.003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Body mass index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0.006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0.006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Systolic blood pressure (per 10 mmHg)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0.001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0.001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HbA1c missing indicator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-0.002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HbA1c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-0.000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0.000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 eGFR (per 10 mL/min/1.73 m²)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-0.002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 UACR missing indicator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-0.001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0.001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 log(UACR + 1)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-0.001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0.001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Urate-lowering therapy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Renin-angiotensin system inhibitor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-0.000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0.000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SGLT2 inhibitor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-0.002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</w:tr>
      <w:tr>
        <w:tc>
          <w:tcPr>
            <w:tcW w:type="dxa" w:w="772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Diuretic</w:t>
            </w:r>
          </w:p>
        </w:tc>
        <w:tc>
          <w:tcPr>
            <w:tcW w:type="dxa" w:w="323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-0.006</w:t>
            </w:r>
          </w:p>
        </w:tc>
        <w:tc>
          <w:tcPr>
            <w:tcW w:type="dxa" w:w="323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0.006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S17. Availability of baseline variables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6189"/>
        <w:gridCol w:w="2670"/>
        <w:gridCol w:w="2670"/>
        <w:gridCol w:w="2671"/>
      </w:tblGrid>
      <w:tr>
        <w:trPr>
          <w:tblHeader w:val="true"/>
        </w:trPr>
        <w:tc>
          <w:tcPr>
            <w:tcW w:type="dxa" w:w="618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Variable</w:t>
            </w:r>
          </w:p>
        </w:tc>
        <w:tc>
          <w:tcPr>
            <w:tcW w:type="dxa" w:w="26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Available, n</w:t>
            </w:r>
          </w:p>
        </w:tc>
        <w:tc>
          <w:tcPr>
            <w:tcW w:type="dxa" w:w="26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Missing, n</w:t>
            </w:r>
          </w:p>
        </w:tc>
        <w:tc>
          <w:tcPr>
            <w:tcW w:type="dxa" w:w="2671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Missing, %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Serum uric acid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2047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 eGFR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1814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233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11.4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 UACR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1809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238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11.6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Body mass index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2047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Waist circumference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2031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16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0.8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Systolic blood pressure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2047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HbA1c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2004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43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2.1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Triglycerides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2039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0.4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HDL cholesterol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2029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18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0.9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Smoking status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1545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502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24.5</w:t>
            </w:r>
          </w:p>
        </w:tc>
      </w:tr>
      <w:tr>
        <w:tc>
          <w:tcPr>
            <w:tcW w:type="dxa" w:w="618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Alcohol use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2045</w:t>
            </w:r>
          </w:p>
        </w:tc>
        <w:tc>
          <w:tcPr>
            <w:tcW w:type="dxa" w:w="26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26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S18. Pre-index eGFR feasibility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5113"/>
        <w:gridCol w:w="2271"/>
        <w:gridCol w:w="2271"/>
        <w:gridCol w:w="2271"/>
        <w:gridCol w:w="2274"/>
      </w:tblGrid>
      <w:tr>
        <w:trPr>
          <w:tblHeader w:val="true"/>
        </w:trPr>
        <w:tc>
          <w:tcPr>
            <w:tcW w:type="dxa" w:w="5113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Pre-index eGFR measurements, n</w:t>
            </w:r>
          </w:p>
        </w:tc>
        <w:tc>
          <w:tcPr>
            <w:tcW w:type="dxa" w:w="2271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Participants with pre-index eGFR, n</w:t>
            </w:r>
          </w:p>
        </w:tc>
        <w:tc>
          <w:tcPr>
            <w:tcW w:type="dxa" w:w="2271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Participants with ≥2 pre-index eGFR measurements, n</w:t>
            </w:r>
          </w:p>
        </w:tc>
        <w:tc>
          <w:tcPr>
            <w:tcW w:type="dxa" w:w="2271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Analysis status</w:t>
            </w:r>
          </w:p>
        </w:tc>
        <w:tc>
          <w:tcPr>
            <w:tcW w:type="dxa" w:w="2274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Alternative analyses</w:t>
            </w:r>
          </w:p>
        </w:tc>
      </w:tr>
      <w:tr>
        <w:tc>
          <w:tcPr>
            <w:tcW w:type="dxa" w:w="5113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2271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Not estimable from the available de-identified visit file</w:t>
            </w:r>
          </w:p>
        </w:tc>
        <w:tc>
          <w:tcPr>
            <w:tcW w:type="dxa" w:w="2274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Longer landmarks, preserved-baseline-kidney-function restrictions, ≥40% decline, persistent decline, and fixed 12-/24-month windows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S19. Bias-directed restrictions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216"/>
        <w:gridCol w:w="1569"/>
        <w:gridCol w:w="1569"/>
        <w:gridCol w:w="1569"/>
        <w:gridCol w:w="1569"/>
        <w:gridCol w:w="1569"/>
        <w:gridCol w:w="1569"/>
        <w:gridCol w:w="1570"/>
      </w:tblGrid>
      <w:tr>
        <w:trPr>
          <w:tblHeader w:val="true"/>
        </w:trPr>
        <w:tc>
          <w:tcPr>
            <w:tcW w:type="dxa" w:w="32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Analysis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Estimate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5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PH diagnostic P value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Overall longitudinal cohort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1102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1.457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1.187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1.790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0.313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Participants with type 2 diabetes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1033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1.485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1.206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1.828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0.279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 eGFR ≥60 mL/min/1.73 m²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1076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1.445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1.169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1.786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0.581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Baseline eGFR ≥90 mL/min/1.73 m² and UACR &lt;30 mg/g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679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1.733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1.293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2.323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0.672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Exclude possible hyperfiltration: baseline eGFR &gt;120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989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1.387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1.121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1.716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0.003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0.326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Exclude possible hyperfiltration: baseline eGFR &gt;135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1092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1.458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1.188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1.790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0.314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Serum uric acid 100–700 μmol/L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1099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1.486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1.195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1.849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0.215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Exclude recorded urate-lowering treatment at index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1088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1.476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1.200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1.816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0.453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S20. Leave-one-centre-out influence analysis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3216"/>
        <w:gridCol w:w="1569"/>
        <w:gridCol w:w="1569"/>
        <w:gridCol w:w="1569"/>
        <w:gridCol w:w="1569"/>
        <w:gridCol w:w="1569"/>
        <w:gridCol w:w="1569"/>
        <w:gridCol w:w="1570"/>
      </w:tblGrid>
      <w:tr>
        <w:trPr>
          <w:tblHeader w:val="true"/>
        </w:trPr>
        <w:tc>
          <w:tcPr>
            <w:tcW w:type="dxa" w:w="321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Excluded centre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Excluded events,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Estimate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569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57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No centre excluded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1102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1.457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1.187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1.790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A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81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1.407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1.138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1.740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B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50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626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35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0.938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1.830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C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786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1.572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1.244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1.986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</w:tr>
      <w:tr>
        <w:tc>
          <w:tcPr>
            <w:tcW w:type="dxa" w:w="321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Centre D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884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76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1.483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1.200</w:t>
            </w:r>
          </w:p>
        </w:tc>
        <w:tc>
          <w:tcPr>
            <w:tcW w:type="dxa" w:w="1569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1.832</w:t>
            </w:r>
          </w:p>
        </w:tc>
        <w:tc>
          <w:tcPr>
            <w:tcW w:type="dxa" w:w="157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S21. Multiple-imputation coefficient stability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2820"/>
        <w:gridCol w:w="1422"/>
        <w:gridCol w:w="1422"/>
        <w:gridCol w:w="1422"/>
        <w:gridCol w:w="1422"/>
        <w:gridCol w:w="1422"/>
        <w:gridCol w:w="1422"/>
        <w:gridCol w:w="1422"/>
        <w:gridCol w:w="1426"/>
      </w:tblGrid>
      <w:tr>
        <w:trPr>
          <w:tblHeader w:val="true"/>
        </w:trPr>
        <w:tc>
          <w:tcPr>
            <w:tcW w:type="dxa" w:w="282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Successful imputations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Mean log HR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SD log HR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Minimum log HR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Maximum log HR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Mean standard error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Monte Carlo error</w:t>
            </w:r>
          </w:p>
        </w:tc>
        <w:tc>
          <w:tcPr>
            <w:tcW w:type="dxa" w:w="142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MC error / mean SE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C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0.294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0.270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0.311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0.112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0.021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Model D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20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0.331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0.009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0.311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0.344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0.113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0.002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0.017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S22. Ridge-penalised Cox sensitivity analyses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2492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8"/>
      </w:tblGrid>
      <w:tr>
        <w:trPr>
          <w:tblHeader w:val="true"/>
        </w:trPr>
        <w:tc>
          <w:tcPr>
            <w:tcW w:type="dxa" w:w="249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Outcome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Penalty θ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Model,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Events, n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Hazard ratio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30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Effective model df</w:t>
            </w:r>
          </w:p>
        </w:tc>
        <w:tc>
          <w:tcPr>
            <w:tcW w:type="dxa" w:w="1308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Specification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decline ≥30%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1102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1.457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1.187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1.790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9.984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unpenalised; Model B ridge-penalised; centre-stratified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decline ≥30%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1102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1.458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1.188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1.790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9.846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unpenalised; Model B ridge-penalised; centre-stratified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decline ≥30%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1102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1.465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1.195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1.796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&lt;0.001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8.702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unpenalised; Model B ridge-penalised; centre-stratified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&lt;60 mL/min/1.73 m²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1077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1.366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1.071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1.744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0.012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9.973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unpenalised; Model B ridge-penalised; centre-stratified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&lt;60 mL/min/1.73 m²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1077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1.371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1.074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1.749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0.011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9.739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unpenalised; Model B ridge-penalised; centre-stratified</w:t>
            </w:r>
          </w:p>
        </w:tc>
      </w:tr>
      <w:tr>
        <w:tc>
          <w:tcPr>
            <w:tcW w:type="dxa" w:w="249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Later single-visit eGFR &lt;60 mL/min/1.73 m²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1077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61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1.408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1.106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1.791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0.005</w:t>
            </w:r>
          </w:p>
        </w:tc>
        <w:tc>
          <w:tcPr>
            <w:tcW w:type="dxa" w:w="130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8.058</w:t>
            </w:r>
          </w:p>
        </w:tc>
        <w:tc>
          <w:tcPr>
            <w:tcW w:type="dxa" w:w="1308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SUA unpenalised; Model B ridge-penalised; centre-stratified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p>
      <w:r>
        <w:br w:type="page"/>
      </w:r>
    </w:p>
    <w:p>
      <w:pPr>
        <w:spacing w:before="160" w:after="100"/>
        <w:jc w:val="left"/>
      </w:pPr>
      <w:r>
        <w:rPr>
          <w:rFonts w:ascii="Arial" w:hAnsi="Arial" w:eastAsia="Arial" w:cs="Arial"/>
          <w:b/>
          <w:sz w:val="22"/>
        </w:rPr>
        <w:t>Table S23. Baseline-anchored parameterisations</w:t>
      </w:r>
    </w:p>
    <w:tbl>
      <w:tblPr>
        <w:tblW w:type="dxa" w:w="14200"/>
        <w:jc w:val="center"/>
        <w:tblLayout w:type="fixed"/>
        <w:tblLook w:firstColumn="1" w:firstRow="1" w:lastColumn="0" w:lastRow="0" w:noHBand="0" w:noVBand="1" w:val="04A0"/>
        <w:tblBorders>
          <w:top w:val="single" w:sz="10" w:color="000000"/>
          <w:bottom w:val="single" w:sz="10" w:color="000000"/>
          <w:insideH w:val="nil" w:sz="10" w:color="000000"/>
          <w:insideV w:val="nil" w:sz="10" w:color="000000"/>
          <w:left w:val="nil" w:sz="10" w:color="000000"/>
          <w:right w:val="nil" w:sz="10" w:color="000000"/>
        </w:tblBorders>
        <w:tblInd w:w="0" w:type="dxa"/>
      </w:tblPr>
      <w:tblGrid>
        <w:gridCol w:w="2820"/>
        <w:gridCol w:w="1422"/>
        <w:gridCol w:w="1422"/>
        <w:gridCol w:w="1422"/>
        <w:gridCol w:w="1422"/>
        <w:gridCol w:w="1422"/>
        <w:gridCol w:w="1422"/>
        <w:gridCol w:w="1422"/>
        <w:gridCol w:w="1426"/>
      </w:tblGrid>
      <w:tr>
        <w:trPr>
          <w:tblHeader w:val="true"/>
        </w:trPr>
        <w:tc>
          <w:tcPr>
            <w:tcW w:type="dxa" w:w="2820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Parameterisation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Participants, n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Measurements, n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Estimate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lower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95% CI upper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P value</w:t>
            </w:r>
          </w:p>
        </w:tc>
        <w:tc>
          <w:tcPr>
            <w:tcW w:type="dxa" w:w="1422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Random effects</w:t>
            </w:r>
          </w:p>
        </w:tc>
        <w:tc>
          <w:tcPr>
            <w:tcW w:type="dxa" w:w="1426"/>
            <w:vAlign w:val="center"/>
            <w:tcBorders>
              <w:bottom w:val="single" w:sz="6" w:color="000000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sz w:val="16"/>
              </w:rPr>
              <w:t>Converged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Follow-up eGFR adjusted for baseline eGFR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872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4027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-0.246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-0.537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0.046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0.099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random intercept and slope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Yes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Change from baseline eGFR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872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4027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-0.255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-0.548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0.037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0.087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random intercept and slope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Yes</w:t>
            </w:r>
          </w:p>
        </w:tc>
      </w:tr>
      <w:tr>
        <w:tc>
          <w:tcPr>
            <w:tcW w:type="dxa" w:w="2820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Change from baseline eGFR additionally adjusted for baseline eGFR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872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4027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-0.246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-0.537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0.046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0.099</w:t>
            </w:r>
          </w:p>
        </w:tc>
        <w:tc>
          <w:tcPr>
            <w:tcW w:type="dxa" w:w="1422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random intercept and slope</w:t>
            </w:r>
          </w:p>
        </w:tc>
        <w:tc>
          <w:tcPr>
            <w:tcW w:type="dxa" w:w="1426"/>
            <w:vAlign w:val="top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sz w:val="16"/>
              </w:rPr>
              <w:t>Yes</w:t>
            </w:r>
          </w:p>
        </w:tc>
      </w:tr>
    </w:tbl>
    <w:p>
      <w:pPr>
        <w:spacing w:before="80" w:after="120"/>
      </w:pPr>
      <w:r>
        <w:rPr>
          <w:rFonts w:ascii="Arial" w:hAnsi="Arial" w:eastAsia="Arial" w:cs="Arial"/>
          <w:i/>
          <w:sz w:val="16"/>
        </w:rPr>
        <w:t>Note: All longitudinal analyses exclude Centre E because kidney follow-up was structurally sparse. Estimates are per 1-SD higher SUA standardised within sex unless otherwise stated. CI, confidence interval; eGFR, estimated glomerular filtration rate; UACR, urine albumin-to-creatinine ratio.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Arial" w:cs="Arial"/>
        <w:color w:val="666666"/>
        <w:sz w:val="17"/>
      </w:rPr>
      <w:t xml:space="preserve">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sz w:val="16"/>
      </w:rPr>
      <w:t>Supplementary tables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 w:cs="Arial"/>
      <w:b w:val="0"/>
      <w:color w:val="000000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