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0B2FF">
      <w:pPr>
        <w:spacing w:after="80"/>
        <w:jc w:val="center"/>
      </w:pPr>
      <w:r>
        <w:rPr>
          <w:b w:val="0"/>
          <w:sz w:val="24"/>
        </w:rPr>
        <w:t>Supplementary Materials for</w:t>
      </w:r>
    </w:p>
    <w:p w14:paraId="1072C89E">
      <w:pPr>
        <w:spacing w:after="80"/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From subsurface damage to surface instability: Integrating InSAR, UAV and microseismic observations of deep longwall mining beneath thick loess</w:t>
      </w:r>
    </w:p>
    <w:p w14:paraId="0263A22C">
      <w:pPr>
        <w:spacing w:after="80"/>
        <w:jc w:val="center"/>
        <w:rPr>
          <w:rFonts w:hint="eastAsia" w:eastAsia="宋体"/>
          <w:lang w:eastAsia="zh-CN"/>
        </w:rPr>
      </w:pPr>
      <w:r>
        <w:rPr>
          <w:b w:val="0"/>
          <w:sz w:val="20"/>
        </w:rPr>
        <w:t>Jiangtao Qiu</w:t>
      </w:r>
      <w:r>
        <w:rPr>
          <w:b w:val="0"/>
          <w:sz w:val="20"/>
          <w:vertAlign w:val="superscript"/>
        </w:rPr>
        <w:t>1</w:t>
      </w:r>
      <w:r>
        <w:rPr>
          <w:b w:val="0"/>
          <w:sz w:val="20"/>
        </w:rPr>
        <w:t>*, Xinxin Yin</w:t>
      </w:r>
      <w:r>
        <w:rPr>
          <w:b w:val="0"/>
          <w:sz w:val="20"/>
          <w:vertAlign w:val="superscript"/>
        </w:rPr>
        <w:t>2</w:t>
      </w:r>
      <w:r>
        <w:rPr>
          <w:b w:val="0"/>
          <w:sz w:val="20"/>
        </w:rPr>
        <w:t xml:space="preserve">, </w:t>
      </w:r>
      <w:r>
        <w:rPr>
          <w:rFonts w:hint="eastAsia" w:eastAsia="宋体"/>
          <w:b w:val="0"/>
          <w:sz w:val="20"/>
          <w:lang w:val="en-US" w:eastAsia="zh-CN"/>
        </w:rPr>
        <w:t>Lingyu Ji</w:t>
      </w:r>
      <w:r>
        <w:rPr>
          <w:rFonts w:hint="eastAsia" w:eastAsia="宋体"/>
          <w:b w:val="0"/>
          <w:sz w:val="20"/>
          <w:vertAlign w:val="superscript"/>
          <w:lang w:val="en-US" w:eastAsia="zh-CN"/>
        </w:rPr>
        <w:t>1</w:t>
      </w:r>
      <w:r>
        <w:rPr>
          <w:rFonts w:hint="eastAsia" w:eastAsia="宋体"/>
          <w:b w:val="0"/>
          <w:sz w:val="20"/>
          <w:lang w:val="en-US" w:eastAsia="zh-CN"/>
        </w:rPr>
        <w:t xml:space="preserve">, </w:t>
      </w:r>
      <w:r>
        <w:rPr>
          <w:b w:val="0"/>
          <w:sz w:val="20"/>
        </w:rPr>
        <w:t>Liangyu Zhu</w:t>
      </w:r>
      <w:r>
        <w:rPr>
          <w:b w:val="0"/>
          <w:sz w:val="20"/>
          <w:vertAlign w:val="superscript"/>
        </w:rPr>
        <w:t>1</w:t>
      </w:r>
      <w:r>
        <w:rPr>
          <w:b w:val="0"/>
          <w:sz w:val="20"/>
        </w:rPr>
        <w:t>, Hongbin Cheng</w:t>
      </w:r>
      <w:r>
        <w:rPr>
          <w:b w:val="0"/>
          <w:sz w:val="20"/>
          <w:vertAlign w:val="superscript"/>
        </w:rPr>
        <w:t>1</w:t>
      </w:r>
      <w:r>
        <w:rPr>
          <w:b w:val="0"/>
          <w:sz w:val="20"/>
        </w:rPr>
        <w:t>, Zongpan Bian</w:t>
      </w:r>
      <w:r>
        <w:rPr>
          <w:b w:val="0"/>
          <w:sz w:val="20"/>
          <w:vertAlign w:val="superscript"/>
        </w:rPr>
        <w:t>1</w:t>
      </w:r>
      <w:r>
        <w:rPr>
          <w:b w:val="0"/>
          <w:sz w:val="20"/>
        </w:rPr>
        <w:t>, Haibo Wang</w:t>
      </w:r>
      <w:r>
        <w:rPr>
          <w:rFonts w:hint="eastAsia" w:eastAsia="宋体"/>
          <w:b w:val="0"/>
          <w:sz w:val="20"/>
          <w:vertAlign w:val="superscript"/>
          <w:lang w:val="en-US" w:eastAsia="zh-CN"/>
        </w:rPr>
        <w:t>3</w:t>
      </w:r>
    </w:p>
    <w:p w14:paraId="19ED7ED1">
      <w:pPr>
        <w:spacing w:after="80"/>
        <w:jc w:val="center"/>
        <w:rPr>
          <w:b w:val="0"/>
          <w:sz w:val="16"/>
        </w:rPr>
      </w:pPr>
      <w:r>
        <w:rPr>
          <w:b w:val="0"/>
          <w:sz w:val="16"/>
        </w:rPr>
        <w:t xml:space="preserve">1 The Second Monitoring and Application Center, China Earthquake Administration, Xi'an 710054, China;  </w:t>
      </w:r>
    </w:p>
    <w:p w14:paraId="01335682">
      <w:pPr>
        <w:spacing w:after="80"/>
        <w:jc w:val="center"/>
        <w:rPr>
          <w:b w:val="0"/>
          <w:sz w:val="16"/>
        </w:rPr>
      </w:pPr>
      <w:r>
        <w:rPr>
          <w:b w:val="0"/>
          <w:sz w:val="16"/>
        </w:rPr>
        <w:t xml:space="preserve">2 Earthquake Administration of Gansu Province, Lanzhou 730000, China;  </w:t>
      </w:r>
    </w:p>
    <w:p w14:paraId="0B8A5D4B">
      <w:pPr>
        <w:spacing w:after="80"/>
        <w:jc w:val="center"/>
      </w:pPr>
      <w:r>
        <w:rPr>
          <w:b w:val="0"/>
          <w:sz w:val="16"/>
        </w:rPr>
        <w:t>3 State Key Laboratory of Cryospheric Science and Frozen Soil Engineering, Northwest Institute of Eco-Environment and Resources, Chinese Academy of Sciences, Lanzhou 730000, China</w:t>
      </w:r>
    </w:p>
    <w:p w14:paraId="460F6FDA">
      <w:pPr>
        <w:spacing w:after="280"/>
        <w:jc w:val="center"/>
        <w:rPr>
          <w:rFonts w:hint="default"/>
          <w:lang w:val="en-US"/>
        </w:rPr>
      </w:pPr>
      <w:r>
        <w:rPr>
          <w:b w:val="0"/>
          <w:sz w:val="18"/>
        </w:rPr>
        <w:t xml:space="preserve">*Corresponding author: </w:t>
      </w:r>
      <w:r>
        <w:rPr>
          <w:rFonts w:hint="eastAsia" w:eastAsia="宋体"/>
          <w:b w:val="0"/>
          <w:sz w:val="18"/>
          <w:lang w:val="en-US" w:eastAsia="zh-CN"/>
        </w:rPr>
        <w:t>qiu</w:t>
      </w:r>
      <w:r>
        <w:rPr>
          <w:b w:val="0"/>
          <w:sz w:val="18"/>
        </w:rPr>
        <w:t>jiangtao@s</w:t>
      </w:r>
      <w:r>
        <w:rPr>
          <w:rFonts w:hint="eastAsia" w:eastAsia="宋体"/>
          <w:b w:val="0"/>
          <w:sz w:val="18"/>
          <w:lang w:val="en-US" w:eastAsia="zh-CN"/>
        </w:rPr>
        <w:t>mac.ac.cn</w:t>
      </w:r>
      <w:bookmarkStart w:id="0" w:name="_GoBack"/>
      <w:bookmarkEnd w:id="0"/>
    </w:p>
    <w:p w14:paraId="3E13A4EE">
      <w:pPr>
        <w:spacing w:after="80"/>
      </w:pPr>
      <w:r>
        <w:rPr>
          <w:b/>
          <w:sz w:val="20"/>
        </w:rPr>
        <w:t>This file includes:</w:t>
      </w:r>
    </w:p>
    <w:p w14:paraId="398FEB55">
      <w:pPr>
        <w:pStyle w:val="16"/>
      </w:pPr>
      <w:r>
        <w:rPr>
          <w:sz w:val="20"/>
        </w:rPr>
        <w:t>Supplementary Text S1 to S3</w:t>
      </w:r>
    </w:p>
    <w:p w14:paraId="0E4EC14B">
      <w:pPr>
        <w:pStyle w:val="16"/>
      </w:pPr>
      <w:r>
        <w:rPr>
          <w:sz w:val="20"/>
        </w:rPr>
        <w:t>Figures S1 to S11</w:t>
      </w:r>
    </w:p>
    <w:p w14:paraId="1FE14833">
      <w:pPr>
        <w:pStyle w:val="16"/>
      </w:pPr>
      <w:r>
        <w:rPr>
          <w:sz w:val="20"/>
        </w:rPr>
        <w:t>Tables S1 to S4</w:t>
      </w:r>
    </w:p>
    <w:p w14:paraId="44DB08BC">
      <w:pPr>
        <w:spacing w:after="40"/>
      </w:pPr>
    </w:p>
    <w:p w14:paraId="2613C318">
      <w:pPr>
        <w:spacing w:after="80"/>
      </w:pPr>
      <w:r>
        <w:rPr>
          <w:b/>
          <w:sz w:val="22"/>
        </w:rPr>
        <w:t>Contents</w:t>
      </w:r>
    </w:p>
    <w:p w14:paraId="53647B13">
      <w:pPr>
        <w:spacing w:after="20"/>
      </w:pPr>
      <w:r>
        <w:rPr>
          <w:b/>
          <w:sz w:val="18"/>
        </w:rPr>
        <w:t xml:space="preserve">Text S1.  </w:t>
      </w:r>
      <w:r>
        <w:rPr>
          <w:sz w:val="18"/>
        </w:rPr>
        <w:t>Choice of the Savitzky-Golay differentiation window</w:t>
      </w:r>
    </w:p>
    <w:p w14:paraId="0091556F">
      <w:pPr>
        <w:spacing w:after="20"/>
      </w:pPr>
      <w:r>
        <w:rPr>
          <w:b/>
          <w:sz w:val="18"/>
        </w:rPr>
        <w:t xml:space="preserve">Text S2.  </w:t>
      </w:r>
      <w:r>
        <w:rPr>
          <w:sz w:val="18"/>
        </w:rPr>
        <w:t>Robustness of the 17-day lead-lag estimate</w:t>
      </w:r>
    </w:p>
    <w:p w14:paraId="1986A9C3">
      <w:pPr>
        <w:spacing w:after="20"/>
      </w:pPr>
      <w:r>
        <w:rPr>
          <w:b/>
          <w:sz w:val="18"/>
        </w:rPr>
        <w:t xml:space="preserve">Text S3.  </w:t>
      </w:r>
      <w:r>
        <w:rPr>
          <w:sz w:val="18"/>
        </w:rPr>
        <w:t>NSGA-II configuration and solution degeneracy</w:t>
      </w:r>
    </w:p>
    <w:p w14:paraId="2756963E">
      <w:pPr>
        <w:spacing w:after="20"/>
      </w:pPr>
      <w:r>
        <w:rPr>
          <w:b/>
          <w:sz w:val="18"/>
        </w:rPr>
        <w:t xml:space="preserve">Figure S1.  </w:t>
      </w:r>
      <w:r>
        <w:rPr>
          <w:sz w:val="18"/>
        </w:rPr>
        <w:t>Interferometric network of the 47 Sentinel-1 acquisitions</w:t>
      </w:r>
    </w:p>
    <w:p w14:paraId="7F996228">
      <w:pPr>
        <w:spacing w:after="20"/>
      </w:pPr>
      <w:r>
        <w:rPr>
          <w:b/>
          <w:sz w:val="18"/>
        </w:rPr>
        <w:t xml:space="preserve">Figure S2.  </w:t>
      </w:r>
      <w:r>
        <w:rPr>
          <w:sz w:val="18"/>
        </w:rPr>
        <w:t>All 47 cumulative LOS displacement fields</w:t>
      </w:r>
    </w:p>
    <w:p w14:paraId="1229A37B">
      <w:pPr>
        <w:spacing w:after="20"/>
      </w:pPr>
      <w:r>
        <w:rPr>
          <w:b/>
          <w:sz w:val="18"/>
        </w:rPr>
        <w:t xml:space="preserve">Figure S3.  </w:t>
      </w:r>
      <w:r>
        <w:rPr>
          <w:sz w:val="18"/>
        </w:rPr>
        <w:t>All 47 LOS velocity fields</w:t>
      </w:r>
    </w:p>
    <w:p w14:paraId="672FB632">
      <w:pPr>
        <w:spacing w:after="20"/>
      </w:pPr>
      <w:r>
        <w:rPr>
          <w:b/>
          <w:sz w:val="18"/>
        </w:rPr>
        <w:t xml:space="preserve">Figure S4.  </w:t>
      </w:r>
      <w:r>
        <w:rPr>
          <w:sz w:val="18"/>
        </w:rPr>
        <w:t>All 47 LOS acceleration fields</w:t>
      </w:r>
    </w:p>
    <w:p w14:paraId="330FEBF8">
      <w:pPr>
        <w:spacing w:after="20"/>
      </w:pPr>
      <w:r>
        <w:rPr>
          <w:b/>
          <w:sz w:val="18"/>
        </w:rPr>
        <w:t xml:space="preserve">Figure S5.  </w:t>
      </w:r>
      <w:r>
        <w:rPr>
          <w:sz w:val="18"/>
        </w:rPr>
        <w:t>All 47 displacement-gradient magnitude fields</w:t>
      </w:r>
    </w:p>
    <w:p w14:paraId="7A8CD86A">
      <w:pPr>
        <w:spacing w:after="20"/>
      </w:pPr>
      <w:r>
        <w:rPr>
          <w:b/>
          <w:sz w:val="18"/>
        </w:rPr>
        <w:t xml:space="preserve">Figure S6.  </w:t>
      </w:r>
      <w:r>
        <w:rPr>
          <w:sz w:val="18"/>
        </w:rPr>
        <w:t>Original UAV photogrammetric products</w:t>
      </w:r>
    </w:p>
    <w:p w14:paraId="18A2FA68">
      <w:pPr>
        <w:spacing w:after="20"/>
      </w:pPr>
      <w:r>
        <w:rPr>
          <w:b/>
          <w:sz w:val="18"/>
        </w:rPr>
        <w:t xml:space="preserve">Figure S7.  </w:t>
      </w:r>
      <w:r>
        <w:rPr>
          <w:sz w:val="18"/>
        </w:rPr>
        <w:t>Field photographs of surface fractures</w:t>
      </w:r>
    </w:p>
    <w:p w14:paraId="7E2ED8BE">
      <w:pPr>
        <w:spacing w:after="20"/>
      </w:pPr>
      <w:r>
        <w:rPr>
          <w:b/>
          <w:sz w:val="18"/>
        </w:rPr>
        <w:t xml:space="preserve">Figure S8.  </w:t>
      </w:r>
      <w:r>
        <w:rPr>
          <w:sz w:val="18"/>
        </w:rPr>
        <w:t>Space-time evolution of the microseismic sequence</w:t>
      </w:r>
    </w:p>
    <w:p w14:paraId="28850D9E">
      <w:pPr>
        <w:spacing w:after="20"/>
      </w:pPr>
      <w:r>
        <w:rPr>
          <w:b/>
          <w:sz w:val="18"/>
        </w:rPr>
        <w:t xml:space="preserve">Figure S9.  </w:t>
      </w:r>
      <w:r>
        <w:rPr>
          <w:sz w:val="18"/>
        </w:rPr>
        <w:t>Savitzky-Golay window-length sensitivity</w:t>
      </w:r>
    </w:p>
    <w:p w14:paraId="50E46BDA">
      <w:pPr>
        <w:spacing w:after="20"/>
      </w:pPr>
      <w:r>
        <w:rPr>
          <w:b/>
          <w:sz w:val="18"/>
        </w:rPr>
        <w:t xml:space="preserve">Figure S10.  </w:t>
      </w:r>
      <w:r>
        <w:rPr>
          <w:sz w:val="18"/>
        </w:rPr>
        <w:t>Cross-correlation sensitivity to the Benioff window</w:t>
      </w:r>
    </w:p>
    <w:p w14:paraId="31D805DE">
      <w:pPr>
        <w:spacing w:after="20"/>
      </w:pPr>
      <w:r>
        <w:rPr>
          <w:b/>
          <w:sz w:val="18"/>
        </w:rPr>
        <w:t xml:space="preserve">Figure S11.  </w:t>
      </w:r>
      <w:r>
        <w:rPr>
          <w:sz w:val="18"/>
        </w:rPr>
        <w:t>Complete NSGA-II solution set</w:t>
      </w:r>
    </w:p>
    <w:p w14:paraId="35EC5868">
      <w:pPr>
        <w:spacing w:after="20"/>
      </w:pPr>
      <w:r>
        <w:rPr>
          <w:b/>
          <w:sz w:val="18"/>
        </w:rPr>
        <w:t xml:space="preserve">Table S1.  </w:t>
      </w:r>
      <w:r>
        <w:rPr>
          <w:sz w:val="18"/>
        </w:rPr>
        <w:t>All 47 Sentinel-1 acquisitions</w:t>
      </w:r>
    </w:p>
    <w:p w14:paraId="1AD8705D">
      <w:pPr>
        <w:spacing w:after="20"/>
      </w:pPr>
      <w:r>
        <w:rPr>
          <w:b/>
          <w:sz w:val="18"/>
        </w:rPr>
        <w:t xml:space="preserve">Table S2.  </w:t>
      </w:r>
      <w:r>
        <w:rPr>
          <w:sz w:val="18"/>
        </w:rPr>
        <w:t>Monthly statistics of the microseismic catalogue</w:t>
      </w:r>
    </w:p>
    <w:p w14:paraId="26E85A35">
      <w:pPr>
        <w:spacing w:after="20"/>
      </w:pPr>
      <w:r>
        <w:rPr>
          <w:b/>
          <w:sz w:val="18"/>
        </w:rPr>
        <w:t xml:space="preserve">Table S3.  </w:t>
      </w:r>
      <w:r>
        <w:rPr>
          <w:sz w:val="18"/>
        </w:rPr>
        <w:t>Savitzky-Golay processing parameters</w:t>
      </w:r>
    </w:p>
    <w:p w14:paraId="01DAAAC0">
      <w:pPr>
        <w:spacing w:after="20"/>
      </w:pPr>
      <w:r>
        <w:rPr>
          <w:b/>
          <w:sz w:val="18"/>
        </w:rPr>
        <w:t xml:space="preserve">Table S4.  </w:t>
      </w:r>
      <w:r>
        <w:rPr>
          <w:sz w:val="18"/>
        </w:rPr>
        <w:t>Cross-correlation analysis parameters and results</w:t>
      </w:r>
    </w:p>
    <w:p w14:paraId="53D033A5">
      <w:r>
        <w:br w:type="textWrapping"/>
      </w:r>
      <w:r>
        <w:br w:type="page"/>
      </w:r>
    </w:p>
    <w:p w14:paraId="401E2F9D">
      <w:pPr>
        <w:spacing w:after="160"/>
      </w:pPr>
      <w:r>
        <w:rPr>
          <w:b/>
          <w:sz w:val="24"/>
        </w:rPr>
        <w:t>Supplementary Text</w:t>
      </w:r>
    </w:p>
    <w:p w14:paraId="32969951">
      <w:pPr>
        <w:spacing w:after="60"/>
      </w:pPr>
      <w:r>
        <w:rPr>
          <w:b/>
          <w:sz w:val="20"/>
        </w:rPr>
        <w:t>Text S1. Choice of the Savitzky-Golay differentiation window</w:t>
      </w:r>
    </w:p>
    <w:p w14:paraId="5494A196">
      <w:pPr>
        <w:spacing w:after="160"/>
      </w:pPr>
      <w:r>
        <w:rPr>
          <w:b w:val="0"/>
          <w:sz w:val="19"/>
        </w:rPr>
        <w:t>The kinematic indicators used in Section 3.3 depend on the window length of the second-stage Savitzky-Golay (SG) filter that converts the daily-interpolated displacement series into velocity and acceleration. Windows of 7, 15, 31 and 45 days (second-order polynomial in all cases) were compared at the three monitoring points P1-P3 (Fig. S9). Short windows (7 and 15 d) track the raw epochs closely but amplify high-frequency atmospheric noise into spurious acceleration, with a standard deviation of the second derivative up to two orders of magnitude larger than for the 31-d window. The 45-d window suppresses noise further but visibly damps the transient acceleration episodes in October-December 2025 that carry the instability signal. In the fidelity-roughness trade-off (Fig. S9c) the 31-d window occupies the knee of the L-curve: residual RMS against the raw epochs remains close to the short-window level while acceleration roughness is already reduced to near the 45-d level. The 31-d window was therefore adopted for all velocity and acceleration fields in the main text.</w:t>
      </w:r>
    </w:p>
    <w:p w14:paraId="72AC9CED">
      <w:pPr>
        <w:spacing w:after="60"/>
      </w:pPr>
      <w:r>
        <w:rPr>
          <w:b/>
          <w:sz w:val="20"/>
        </w:rPr>
        <w:t>Text S2. Robustness of the 17-day lead-lag estimate</w:t>
      </w:r>
    </w:p>
    <w:p w14:paraId="3E9DD269">
      <w:pPr>
        <w:spacing w:after="160"/>
      </w:pPr>
      <w:r>
        <w:rPr>
          <w:b w:val="0"/>
          <w:sz w:val="19"/>
        </w:rPr>
        <w:t>The lead-lag relationship reported in Section 4.3 was derived from the cross-correlation of first-differenced series of windowed cumulative Benioff strain and daily maximum surface acceleration. Because the Benioff series requires a trailing accumulation window, the analysis was repeated for windows of 7, 14, 21 and 28 days (Fig. S10). The correlation peak occurs at a lag of +17 days (seismicity leading deformation) for every window, with peak coefficients R = 0.45-0.49, and exceeds the 95% confidence bounds in all cases. The lead time identified in the main text is therefore insensitive to the accumulation window and is not an artefact of the 14-d window chosen for temporal consistency with the Sentinel-1 revisit interval. Association between the raw (undifferenced) series is likewise significant (Pearson r = 0.39, p = 5.8×10⁻⁵; Spearman ρ = 0.43; Table S4).</w:t>
      </w:r>
    </w:p>
    <w:p w14:paraId="60CBDC01">
      <w:pPr>
        <w:spacing w:after="60"/>
      </w:pPr>
      <w:r>
        <w:rPr>
          <w:b/>
          <w:sz w:val="20"/>
        </w:rPr>
        <w:t>Text S3. NSGA-II configuration and solution degeneracy</w:t>
      </w:r>
    </w:p>
    <w:p w14:paraId="53849547">
      <w:pPr>
        <w:spacing w:after="160"/>
      </w:pPr>
      <w:r>
        <w:rPr>
          <w:b w:val="0"/>
          <w:sz w:val="19"/>
        </w:rPr>
        <w:t>The early-warning rule of Section 3.6 was optimized with NSGA-II (population 40, 40 generations, fixed random seed) over the alarm threshold θ ∈ [0.01, 0.30] and the persistence window w ∈ [3, 30] d, with objectives POD (maximized) and FAR (minimized). The complete final population is shown in Fig. S11. Because the hazard series contains a small number of discrete acceleration episodes, the 40 non-dominated solutions collapse onto two objective vectors: 36 solutions achieve POD = 1.00 at FAR = 0.629 and four solutions achieve POD ≈ 0.60 at FAR ≈ 0.57. The knee solution (minimum Euclidean distance to the ideal point POD = 1, FAR = 0) corresponds to θ = 0.0396 and w = 19 d. The degeneracy of the front quantitatively supports the conclusion of Section 4.4 that Benioff strain alone detects all hazardous episodes only at the cost of a high false-alarm rate, and that operational warning requires multi-source indicators.</w:t>
      </w:r>
    </w:p>
    <w:p w14:paraId="3E33DE7A">
      <w:r>
        <w:br w:type="textWrapping"/>
      </w:r>
      <w:r>
        <w:br w:type="page"/>
      </w:r>
    </w:p>
    <w:p w14:paraId="6FCC4177">
      <w:pPr>
        <w:spacing w:after="160"/>
      </w:pPr>
      <w:r>
        <w:rPr>
          <w:b/>
          <w:sz w:val="24"/>
        </w:rPr>
        <w:t>Supplementary Figures</w:t>
      </w:r>
    </w:p>
    <w:p w14:paraId="4D6F7446">
      <w:pPr>
        <w:spacing w:after="80"/>
        <w:jc w:val="center"/>
      </w:pPr>
      <w:r>
        <w:drawing>
          <wp:inline distT="0" distB="0" distL="114300" distR="114300">
            <wp:extent cx="5975985" cy="2733675"/>
            <wp:effectExtent l="0" t="0" r="571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73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B2830">
      <w:pPr>
        <w:spacing w:after="200"/>
      </w:pPr>
      <w:r>
        <w:rPr>
          <w:b/>
          <w:sz w:val="18"/>
        </w:rPr>
        <w:t xml:space="preserve">Figure S1. </w:t>
      </w:r>
      <w:r>
        <w:rPr>
          <w:sz w:val="18"/>
        </w:rPr>
        <w:t>Temporal structure of the Sentinel-1 dataset (ascending Track 84, 47 acquisitions, January 2024 to March 2026). (a) Sequential interferometric chain connecting consecutive acquisitions; grey arcs denote nominal 12-day pairs and red arcs denote pairs bridging acquisition gaps (Δt &gt; 20 d). (b) Temporal baselines between consecutive acquisitions; the two largest gaps (48 d and 108 d) are highlighted. The full SBAS network used for the inversion comprises 126 interferometric pairs with temporal and perpendicular baselines below 90 d and 90 m, respectively (Section 3.2).</w:t>
      </w:r>
    </w:p>
    <w:p w14:paraId="44721569">
      <w:r>
        <w:br w:type="textWrapping"/>
      </w:r>
      <w:r>
        <w:br w:type="page"/>
      </w:r>
    </w:p>
    <w:p w14:paraId="48EB2621">
      <w:pPr>
        <w:spacing w:after="80"/>
        <w:jc w:val="center"/>
      </w:pPr>
      <w:r>
        <w:drawing>
          <wp:inline distT="0" distB="0" distL="114300" distR="114300">
            <wp:extent cx="5975985" cy="4830445"/>
            <wp:effectExtent l="0" t="0" r="13335" b="635"/>
            <wp:docPr id="2" name="Picture 2" descr="D:/zhengning/paper/figures/FigS2_los_all.pngFigS2_los_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/zhengning/paper/figures/FigS2_los_all.pngFigS2_los_all"/>
                    <pic:cNvPicPr>
                      <a:picLocks noChangeAspect="1"/>
                    </pic:cNvPicPr>
                  </pic:nvPicPr>
                  <pic:blipFill>
                    <a:blip r:embed="rId7"/>
                    <a:srcRect l="177" r="17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3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FE0CD">
      <w:pPr>
        <w:spacing w:after="200"/>
      </w:pPr>
      <w:r>
        <w:rPr>
          <w:b/>
          <w:sz w:val="18"/>
        </w:rPr>
        <w:t xml:space="preserve">Figure S2. </w:t>
      </w:r>
      <w:r>
        <w:rPr>
          <w:sz w:val="18"/>
        </w:rPr>
        <w:t>Complete set of 47 reference-corrected cumulative LOS displacement fields (mm) from 2024-01-28 to 2026-03-18, supplementing the six representative epochs of Fig. 2. Negative values indicate motion away from the satellite (subsidence). Black outlines mark the 1802-1803 and 2803-2804 longwall panels. The colour scale is symmetric and common to all panels.</w:t>
      </w:r>
    </w:p>
    <w:p w14:paraId="1872B696">
      <w:r>
        <w:br w:type="textWrapping"/>
      </w:r>
      <w:r>
        <w:br w:type="page"/>
      </w:r>
    </w:p>
    <w:p w14:paraId="1CA7D77B">
      <w:pPr>
        <w:spacing w:after="80"/>
        <w:jc w:val="center"/>
      </w:pPr>
      <w:r>
        <w:drawing>
          <wp:inline distT="0" distB="0" distL="114300" distR="114300">
            <wp:extent cx="5984240" cy="4909185"/>
            <wp:effectExtent l="0" t="0" r="5080" b="13335"/>
            <wp:docPr id="3" name="Picture 3" descr="D:/zhengning/paper/figures/FigS3_velocity_all.pngFigS3_velocity_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:/zhengning/paper/figures/FigS3_velocity_all.pngFigS3_velocity_all"/>
                    <pic:cNvPicPr>
                      <a:picLocks noChangeAspect="1"/>
                    </pic:cNvPicPr>
                  </pic:nvPicPr>
                  <pic:blipFill>
                    <a:blip r:embed="rId8"/>
                    <a:srcRect l="925" r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490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F9993">
      <w:pPr>
        <w:spacing w:after="200"/>
      </w:pPr>
      <w:r>
        <w:rPr>
          <w:b/>
          <w:sz w:val="18"/>
        </w:rPr>
        <w:t xml:space="preserve">Figure S3. </w:t>
      </w:r>
      <w:r>
        <w:rPr>
          <w:sz w:val="18"/>
        </w:rPr>
        <w:t>Complete set of 47 LOS velocity fields (mm yr⁻¹) derived with the two-stage Savitzky-Golay procedure of Section 3.3 (31-d differentiation window, second-order polynomial). The migration of the velocity maximum from the 1802-1803 panels (2024) to the 2803-2804 panels and finally into the inter-district interaction zone (2025) described in Section 4.2 can be followed epoch by epoch.</w:t>
      </w:r>
    </w:p>
    <w:p w14:paraId="43DC960F">
      <w:r>
        <w:br w:type="textWrapping"/>
      </w:r>
      <w:r>
        <w:br w:type="page"/>
      </w:r>
    </w:p>
    <w:p w14:paraId="6514C20E">
      <w:pPr>
        <w:spacing w:after="80"/>
        <w:jc w:val="center"/>
      </w:pPr>
      <w:r>
        <w:drawing>
          <wp:inline distT="0" distB="0" distL="114300" distR="114300">
            <wp:extent cx="5946140" cy="4854575"/>
            <wp:effectExtent l="0" t="0" r="12700" b="6985"/>
            <wp:docPr id="4" name="Picture 4" descr="D:/zhengning/paper/figures/FigS4_acceleration_all.pngFigS4_acceleration_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:/zhengning/paper/figures/FigS4_acceleration_all.pngFigS4_acceleration_all"/>
                    <pic:cNvPicPr>
                      <a:picLocks noChangeAspect="1"/>
                    </pic:cNvPicPr>
                  </pic:nvPicPr>
                  <pic:blipFill>
                    <a:blip r:embed="rId9"/>
                    <a:srcRect l="1489" r="296"/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485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B16C">
      <w:pPr>
        <w:spacing w:after="200"/>
      </w:pPr>
      <w:r>
        <w:rPr>
          <w:b/>
          <w:sz w:val="18"/>
        </w:rPr>
        <w:t xml:space="preserve">Figure S4. </w:t>
      </w:r>
      <w:r>
        <w:rPr>
          <w:sz w:val="18"/>
        </w:rPr>
        <w:t>Complete set of 47 LOS acceleration fields (μm d⁻²) derived as the second SG derivative of the displacement series. Acceleration anomalies remain near the noise level during 2024, intensify from September 2025 and peak in October-December 2025, coincident with the microseismic activity maximum (Section 4.3).</w:t>
      </w:r>
    </w:p>
    <w:p w14:paraId="724D6280">
      <w:r>
        <w:br w:type="textWrapping"/>
      </w:r>
      <w:r>
        <w:br w:type="page"/>
      </w:r>
    </w:p>
    <w:p w14:paraId="23907E7D">
      <w:pPr>
        <w:spacing w:after="80"/>
        <w:jc w:val="center"/>
      </w:pPr>
      <w:r>
        <w:drawing>
          <wp:inline distT="0" distB="0" distL="114300" distR="114300">
            <wp:extent cx="5955030" cy="4900930"/>
            <wp:effectExtent l="0" t="0" r="3810" b="6350"/>
            <wp:docPr id="5" name="Picture 5" descr="D:/zhengning/paper/figures/FigS5_gradient_all.pngFigS5_gradient_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:/zhengning/paper/figures/FigS5_gradient_all.pngFigS5_gradient_all"/>
                    <pic:cNvPicPr>
                      <a:picLocks noChangeAspect="1"/>
                    </pic:cNvPicPr>
                  </pic:nvPicPr>
                  <pic:blipFill>
                    <a:blip r:embed="rId10"/>
                    <a:srcRect l="1183" r="950"/>
                    <a:stretch>
                      <a:fillRect/>
                    </a:stretch>
                  </pic:blipFill>
                  <pic:spPr>
                    <a:xfrm>
                      <a:off x="0" y="0"/>
                      <a:ext cx="5955030" cy="490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CE7B">
      <w:pPr>
        <w:spacing w:after="200"/>
      </w:pPr>
      <w:r>
        <w:rPr>
          <w:b/>
          <w:sz w:val="18"/>
        </w:rPr>
        <w:t xml:space="preserve">Figure S5. </w:t>
      </w:r>
      <w:r>
        <w:rPr>
          <w:sz w:val="18"/>
        </w:rPr>
        <w:t>Complete set of 47 displacement-gradient magnitude fields |∇d| (mm m⁻¹) computed with finite-difference operators on the deformation grid (Section 3.3). High-gradient belts develop along the flanks of the two subsidence basins and, from mid-2025, along the coalescing composite basin; these belts spatially control the UAV-mapped surface ruptures (Fig. 4).</w:t>
      </w:r>
    </w:p>
    <w:p w14:paraId="5963A6DC">
      <w:r>
        <w:br w:type="textWrapping"/>
      </w:r>
      <w:r>
        <w:br w:type="page"/>
      </w:r>
    </w:p>
    <w:p w14:paraId="64583C9E">
      <w:pPr>
        <w:spacing w:after="80"/>
        <w:jc w:val="center"/>
      </w:pPr>
      <w:r>
        <w:drawing>
          <wp:inline distT="0" distB="0" distL="114300" distR="114300">
            <wp:extent cx="5941695" cy="3731895"/>
            <wp:effectExtent l="0" t="0" r="1905" b="1905"/>
            <wp:docPr id="6" name="Picture 6" descr="D:/zhengning/paper/figures/FigS6_uav_products_00.pngFigS6_uav_products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:/zhengning/paper/figures/FigS6_uav_products_00.pngFigS6_uav_products_00"/>
                    <pic:cNvPicPr>
                      <a:picLocks noChangeAspect="1"/>
                    </pic:cNvPicPr>
                  </pic:nvPicPr>
                  <pic:blipFill>
                    <a:blip r:embed="rId11"/>
                    <a:srcRect l="161" r="39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6CA3">
      <w:pPr>
        <w:spacing w:after="200"/>
      </w:pPr>
      <w:r>
        <w:rPr>
          <w:b/>
          <w:sz w:val="18"/>
        </w:rPr>
        <w:t xml:space="preserve">Figure S6. </w:t>
      </w:r>
      <w:r>
        <w:rPr>
          <w:sz w:val="18"/>
        </w:rPr>
        <w:t>Original UAV photogrammetric products over the principal fracture zone (survey of 3,629 photographs, Section 3.4). (a) Digital orthophoto mosaic (DOM) resampled to 0.39 m px⁻¹ for co-registration with the InSAR grid (registration RMS ≈ 3.0 m), with interpreted crack traces overlaid in red. (b) Digitised crack-interpretation raster used for the statistical comparison with the displacement-gradient field in Fig. 4.</w:t>
      </w:r>
    </w:p>
    <w:p w14:paraId="5069D926">
      <w:r>
        <w:br w:type="textWrapping"/>
      </w:r>
    </w:p>
    <w:p w14:paraId="0918A5F7"/>
    <w:p w14:paraId="12FD77CA"/>
    <w:p w14:paraId="42887060"/>
    <w:p w14:paraId="44B8A04A"/>
    <w:p w14:paraId="3BBC7A71"/>
    <w:p w14:paraId="47965C0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85180" cy="3718560"/>
            <wp:effectExtent l="0" t="0" r="12700" b="0"/>
            <wp:docPr id="12" name="图片 12" descr="未命名2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未命名2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3FF0">
      <w:pPr>
        <w:spacing w:after="200"/>
      </w:pPr>
      <w:r>
        <w:rPr>
          <w:b/>
          <w:sz w:val="18"/>
        </w:rPr>
        <w:t>Figure S</w:t>
      </w:r>
      <w:r>
        <w:rPr>
          <w:rFonts w:hint="eastAsia" w:eastAsia="宋体"/>
          <w:b/>
          <w:sz w:val="18"/>
          <w:lang w:val="en-US" w:eastAsia="zh-CN"/>
        </w:rPr>
        <w:t>7</w:t>
      </w:r>
      <w:r>
        <w:rPr>
          <w:b/>
          <w:sz w:val="18"/>
        </w:rPr>
        <w:t xml:space="preserve">. </w:t>
      </w:r>
      <w:r>
        <w:rPr>
          <w:rFonts w:hint="eastAsia" w:eastAsia="宋体"/>
          <w:sz w:val="18"/>
          <w:lang w:val="en-US" w:eastAsia="zh-CN"/>
        </w:rPr>
        <w:t>Field photographs of representative surface fractures</w:t>
      </w:r>
      <w:r>
        <w:rPr>
          <w:sz w:val="18"/>
        </w:rPr>
        <w:t>.</w:t>
      </w:r>
    </w:p>
    <w:p w14:paraId="169630D3">
      <w:r>
        <w:br w:type="page"/>
      </w:r>
    </w:p>
    <w:p w14:paraId="0BCB155C">
      <w:pPr>
        <w:spacing w:after="80"/>
        <w:jc w:val="center"/>
      </w:pPr>
      <w:r>
        <w:drawing>
          <wp:inline distT="0" distB="0" distL="114300" distR="114300">
            <wp:extent cx="5939790" cy="3634740"/>
            <wp:effectExtent l="0" t="0" r="3810" b="7620"/>
            <wp:docPr id="7" name="Picture 7" descr="D:/zhengning/paper/figures/FigS8_microseismic_sequence_00.pngFigS8_microseismic_sequence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:/zhengning/paper/figures/FigS8_microseismic_sequence_00.pngFigS8_microseismic_sequence_00"/>
                    <pic:cNvPicPr>
                      <a:picLocks noChangeAspect="1"/>
                    </pic:cNvPicPr>
                  </pic:nvPicPr>
                  <pic:blipFill>
                    <a:blip r:embed="rId13"/>
                    <a:srcRect t="117" b="1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09975">
      <w:pPr>
        <w:spacing w:after="200"/>
      </w:pPr>
      <w:r>
        <w:rPr>
          <w:b/>
          <w:sz w:val="18"/>
        </w:rPr>
        <w:t xml:space="preserve">Figure S8. </w:t>
      </w:r>
      <w:r>
        <w:rPr>
          <w:sz w:val="18"/>
        </w:rPr>
        <w:t>Space-time evolution of the underground microseismic sequence (6,684 events, 2025-09-01 to 2025-12-07), shown as seven consecutive 14-day windows plus the complete catalogue (bottom right). Symbol colour denotes log₁₀ of the radiated energy; gold stars mark high-energy events (E &gt; 10⁸ J), including the 25 October and 6 December events discussed in Section 4.3. Black outlines: longwall panels; grey lines: roadways.</w:t>
      </w:r>
    </w:p>
    <w:p w14:paraId="7C8D7070">
      <w:r>
        <w:br w:type="textWrapping"/>
      </w:r>
      <w:r>
        <w:br w:type="page"/>
      </w:r>
    </w:p>
    <w:p w14:paraId="43804740">
      <w:pPr>
        <w:spacing w:after="80"/>
        <w:jc w:val="center"/>
      </w:pPr>
      <w:r>
        <w:drawing>
          <wp:inline distT="0" distB="0" distL="114300" distR="114300">
            <wp:extent cx="5975985" cy="3987800"/>
            <wp:effectExtent l="0" t="0" r="5715" b="127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8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6A914">
      <w:pPr>
        <w:spacing w:after="200"/>
      </w:pPr>
      <w:r>
        <w:rPr>
          <w:b/>
          <w:sz w:val="18"/>
        </w:rPr>
        <w:t xml:space="preserve">Figure S9. </w:t>
      </w:r>
      <w:r>
        <w:rPr>
          <w:sz w:val="18"/>
        </w:rPr>
        <w:t>Sensitivity of the Savitzky-Golay differentiation to window length (7, 15, 31 and 45 d; second-order polynomial). (a) Smoothed displacement at P1 for the four windows compared with the raw LOS epochs. (b) Corresponding second-derivative (acceleration) series; the annotated standard deviation quantifies noise amplification for short windows. (c) Fidelity-roughness trade-off (mean of P1-P3): fit residual RMS versus acceleration roughness. The 31-d window (black-edged symbol) occupies the knee of the L-curve and is adopted in Section 3.3. See Text S1.</w:t>
      </w:r>
    </w:p>
    <w:p w14:paraId="404E0D3E">
      <w:r>
        <w:br w:type="textWrapping"/>
      </w:r>
      <w:r>
        <w:br w:type="page"/>
      </w:r>
    </w:p>
    <w:p w14:paraId="0BBCCB6B">
      <w:pPr>
        <w:spacing w:after="80"/>
        <w:jc w:val="center"/>
      </w:pPr>
      <w:r>
        <w:drawing>
          <wp:inline distT="0" distB="0" distL="114300" distR="114300">
            <wp:extent cx="5975985" cy="2582545"/>
            <wp:effectExtent l="0" t="0" r="5715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58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8061">
      <w:pPr>
        <w:spacing w:after="200"/>
      </w:pPr>
      <w:r>
        <w:rPr>
          <w:b/>
          <w:sz w:val="18"/>
        </w:rPr>
        <w:t xml:space="preserve">Figure S10. </w:t>
      </w:r>
      <w:r>
        <w:rPr>
          <w:sz w:val="18"/>
        </w:rPr>
        <w:t>Sensitivity of the seismicity-deformation lead-lag estimate to the Benioff accumulation window. (a) Cross-correlation of first-differenced windowed Benioff strain and daily maximum surface acceleration for windows of 7, 14, 21 and 28 d; the shaded band shows the 95% confidence bounds (±1.96/√(n − |lag|)). (b) Peak lag per window: the maximum correlation occurs at +17 d (R = 0.45-0.49) for all four windows, demonstrating that the ≈17-day lead reported in Section 4.3 is window-independent. See Text S2.</w:t>
      </w:r>
    </w:p>
    <w:p w14:paraId="70663D95">
      <w:r>
        <w:br w:type="textWrapping"/>
      </w:r>
      <w:r>
        <w:br w:type="page"/>
      </w:r>
    </w:p>
    <w:p w14:paraId="2FA14C86">
      <w:pPr>
        <w:spacing w:after="80"/>
        <w:jc w:val="center"/>
      </w:pPr>
      <w:r>
        <w:drawing>
          <wp:inline distT="0" distB="0" distL="114300" distR="114300">
            <wp:extent cx="5975985" cy="2610485"/>
            <wp:effectExtent l="0" t="0" r="5715" b="184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61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D73F3">
      <w:pPr>
        <w:spacing w:after="200"/>
      </w:pPr>
      <w:r>
        <w:rPr>
          <w:b/>
          <w:sz w:val="18"/>
        </w:rPr>
        <w:t xml:space="preserve">Figure S11. </w:t>
      </w:r>
      <w:r>
        <w:rPr>
          <w:sz w:val="18"/>
        </w:rPr>
        <w:t>Complete final population of the NSGA-II early-warning optimization (40 non-dominated solutions; Section 3.6). (a) Objective space (small jitter added for visibility): the solutions collapse onto two objective vectors, n = 36 with POD = 1.00 / FAR = 0.629 and n = 4 with POD ≈ 0.60 / FAR ≈ 0.57; the red star marks the knee solution closest to the ideal point. (b) Decision space: alarm threshold θ versus persistence window w, coloured by POD; the knee solution corresponds to θ = 0.0396 and w = 19 d. See Text S3.</w:t>
      </w:r>
    </w:p>
    <w:p w14:paraId="1259E9D2">
      <w:r>
        <w:br w:type="textWrapping"/>
      </w:r>
      <w:r>
        <w:br w:type="page"/>
      </w:r>
    </w:p>
    <w:p w14:paraId="382B7DB1">
      <w:pPr>
        <w:spacing w:after="160"/>
      </w:pPr>
      <w:r>
        <w:rPr>
          <w:b/>
          <w:sz w:val="24"/>
        </w:rPr>
        <w:t>Supplementary Tables</w:t>
      </w:r>
    </w:p>
    <w:p w14:paraId="587609F5">
      <w:pPr>
        <w:spacing w:after="200"/>
      </w:pPr>
      <w:r>
        <w:rPr>
          <w:b/>
          <w:sz w:val="18"/>
        </w:rPr>
        <w:t xml:space="preserve">Table S1. </w:t>
      </w:r>
      <w:r>
        <w:rPr>
          <w:sz w:val="18"/>
        </w:rPr>
        <w:t>All 47 Sentinel-1 acquisitions used in this study (ascending Track 84, IW mode, VV polarization).</w:t>
      </w:r>
    </w:p>
    <w:tbl>
      <w:tblPr>
        <w:tblStyle w:val="32"/>
        <w:tblW w:w="0" w:type="auto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7"/>
        <w:gridCol w:w="3137"/>
        <w:gridCol w:w="3137"/>
      </w:tblGrid>
      <w:tr w14:paraId="62FFCE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bottom w:val="single" w:color="000000" w:sz="6" w:space="0"/>
            </w:tcBorders>
          </w:tcPr>
          <w:p w14:paraId="153BE9C0">
            <w:r>
              <w:rPr>
                <w:b/>
                <w:sz w:val="18"/>
              </w:rPr>
              <w:t>No.</w:t>
            </w:r>
          </w:p>
        </w:tc>
        <w:tc>
          <w:tcPr>
            <w:tcW w:w="2551" w:type="dxa"/>
            <w:tcBorders>
              <w:bottom w:val="single" w:color="000000" w:sz="6" w:space="0"/>
            </w:tcBorders>
          </w:tcPr>
          <w:p w14:paraId="4B60B709">
            <w:r>
              <w:rPr>
                <w:b/>
                <w:sz w:val="18"/>
              </w:rPr>
              <w:t>Acquisition date</w:t>
            </w:r>
          </w:p>
        </w:tc>
        <w:tc>
          <w:tcPr>
            <w:tcW w:w="2835" w:type="dxa"/>
            <w:tcBorders>
              <w:bottom w:val="single" w:color="000000" w:sz="6" w:space="0"/>
            </w:tcBorders>
          </w:tcPr>
          <w:p w14:paraId="43466ABE">
            <w:r>
              <w:rPr>
                <w:b/>
                <w:sz w:val="18"/>
              </w:rPr>
              <w:t>Interval to previous (d)</w:t>
            </w:r>
          </w:p>
        </w:tc>
      </w:tr>
      <w:tr w14:paraId="566681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12A4DAA0">
            <w:r>
              <w:rPr>
                <w:sz w:val="16"/>
              </w:rPr>
              <w:t>1</w:t>
            </w:r>
          </w:p>
        </w:tc>
        <w:tc>
          <w:tcPr>
            <w:tcW w:w="2551" w:type="dxa"/>
          </w:tcPr>
          <w:p w14:paraId="425A57F1">
            <w:r>
              <w:rPr>
                <w:sz w:val="16"/>
              </w:rPr>
              <w:t>2024-01-28</w:t>
            </w:r>
          </w:p>
        </w:tc>
        <w:tc>
          <w:tcPr>
            <w:tcW w:w="2835" w:type="dxa"/>
          </w:tcPr>
          <w:p w14:paraId="3510642D">
            <w:r>
              <w:rPr>
                <w:sz w:val="16"/>
              </w:rPr>
              <w:t>-</w:t>
            </w:r>
          </w:p>
        </w:tc>
      </w:tr>
      <w:tr w14:paraId="0CCB76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0A343658">
            <w:r>
              <w:rPr>
                <w:sz w:val="16"/>
              </w:rPr>
              <w:t>2</w:t>
            </w:r>
          </w:p>
        </w:tc>
        <w:tc>
          <w:tcPr>
            <w:tcW w:w="2551" w:type="dxa"/>
          </w:tcPr>
          <w:p w14:paraId="44C974EC">
            <w:r>
              <w:rPr>
                <w:sz w:val="16"/>
              </w:rPr>
              <w:t>2024-02-09</w:t>
            </w:r>
          </w:p>
        </w:tc>
        <w:tc>
          <w:tcPr>
            <w:tcW w:w="2835" w:type="dxa"/>
          </w:tcPr>
          <w:p w14:paraId="6EC3E94F">
            <w:r>
              <w:rPr>
                <w:sz w:val="16"/>
              </w:rPr>
              <w:t>12</w:t>
            </w:r>
          </w:p>
        </w:tc>
      </w:tr>
      <w:tr w14:paraId="66C6B4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38ACCD5B">
            <w:r>
              <w:rPr>
                <w:sz w:val="16"/>
              </w:rPr>
              <w:t>3</w:t>
            </w:r>
          </w:p>
        </w:tc>
        <w:tc>
          <w:tcPr>
            <w:tcW w:w="2551" w:type="dxa"/>
          </w:tcPr>
          <w:p w14:paraId="4D6EDA51">
            <w:r>
              <w:rPr>
                <w:sz w:val="16"/>
              </w:rPr>
              <w:t>2024-05-27</w:t>
            </w:r>
          </w:p>
        </w:tc>
        <w:tc>
          <w:tcPr>
            <w:tcW w:w="2835" w:type="dxa"/>
          </w:tcPr>
          <w:p w14:paraId="14B0E369">
            <w:r>
              <w:rPr>
                <w:sz w:val="16"/>
              </w:rPr>
              <w:t>108</w:t>
            </w:r>
          </w:p>
        </w:tc>
      </w:tr>
      <w:tr w14:paraId="785E47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2DE6896">
            <w:r>
              <w:rPr>
                <w:sz w:val="16"/>
              </w:rPr>
              <w:t>4</w:t>
            </w:r>
          </w:p>
        </w:tc>
        <w:tc>
          <w:tcPr>
            <w:tcW w:w="2551" w:type="dxa"/>
          </w:tcPr>
          <w:p w14:paraId="6A1CE28C">
            <w:r>
              <w:rPr>
                <w:sz w:val="16"/>
              </w:rPr>
              <w:t>2024-06-20</w:t>
            </w:r>
          </w:p>
        </w:tc>
        <w:tc>
          <w:tcPr>
            <w:tcW w:w="2835" w:type="dxa"/>
          </w:tcPr>
          <w:p w14:paraId="34A85113">
            <w:r>
              <w:rPr>
                <w:sz w:val="16"/>
              </w:rPr>
              <w:t>24</w:t>
            </w:r>
          </w:p>
        </w:tc>
      </w:tr>
      <w:tr w14:paraId="6D78FC9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1CA6A412">
            <w:r>
              <w:rPr>
                <w:sz w:val="16"/>
              </w:rPr>
              <w:t>5</w:t>
            </w:r>
          </w:p>
        </w:tc>
        <w:tc>
          <w:tcPr>
            <w:tcW w:w="2551" w:type="dxa"/>
          </w:tcPr>
          <w:p w14:paraId="29C2D405">
            <w:r>
              <w:rPr>
                <w:sz w:val="16"/>
              </w:rPr>
              <w:t>2024-07-14</w:t>
            </w:r>
          </w:p>
        </w:tc>
        <w:tc>
          <w:tcPr>
            <w:tcW w:w="2835" w:type="dxa"/>
          </w:tcPr>
          <w:p w14:paraId="2FAD54F6">
            <w:r>
              <w:rPr>
                <w:sz w:val="16"/>
              </w:rPr>
              <w:t>24</w:t>
            </w:r>
          </w:p>
        </w:tc>
      </w:tr>
      <w:tr w14:paraId="49F0977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431CB97">
            <w:r>
              <w:rPr>
                <w:sz w:val="16"/>
              </w:rPr>
              <w:t>6</w:t>
            </w:r>
          </w:p>
        </w:tc>
        <w:tc>
          <w:tcPr>
            <w:tcW w:w="2551" w:type="dxa"/>
          </w:tcPr>
          <w:p w14:paraId="32C88D62">
            <w:r>
              <w:rPr>
                <w:sz w:val="16"/>
              </w:rPr>
              <w:t>2024-07-26</w:t>
            </w:r>
          </w:p>
        </w:tc>
        <w:tc>
          <w:tcPr>
            <w:tcW w:w="2835" w:type="dxa"/>
          </w:tcPr>
          <w:p w14:paraId="3DFE2E0B">
            <w:r>
              <w:rPr>
                <w:sz w:val="16"/>
              </w:rPr>
              <w:t>12</w:t>
            </w:r>
          </w:p>
        </w:tc>
      </w:tr>
      <w:tr w14:paraId="256180B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E9A0181">
            <w:r>
              <w:rPr>
                <w:sz w:val="16"/>
              </w:rPr>
              <w:t>7</w:t>
            </w:r>
          </w:p>
        </w:tc>
        <w:tc>
          <w:tcPr>
            <w:tcW w:w="2551" w:type="dxa"/>
          </w:tcPr>
          <w:p w14:paraId="3792861E">
            <w:r>
              <w:rPr>
                <w:sz w:val="16"/>
              </w:rPr>
              <w:t>2024-08-07</w:t>
            </w:r>
          </w:p>
        </w:tc>
        <w:tc>
          <w:tcPr>
            <w:tcW w:w="2835" w:type="dxa"/>
          </w:tcPr>
          <w:p w14:paraId="4F948DE2">
            <w:r>
              <w:rPr>
                <w:sz w:val="16"/>
              </w:rPr>
              <w:t>12</w:t>
            </w:r>
          </w:p>
        </w:tc>
      </w:tr>
      <w:tr w14:paraId="31763A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4BE917F">
            <w:r>
              <w:rPr>
                <w:sz w:val="16"/>
              </w:rPr>
              <w:t>8</w:t>
            </w:r>
          </w:p>
        </w:tc>
        <w:tc>
          <w:tcPr>
            <w:tcW w:w="2551" w:type="dxa"/>
          </w:tcPr>
          <w:p w14:paraId="07A02BD5">
            <w:r>
              <w:rPr>
                <w:sz w:val="16"/>
              </w:rPr>
              <w:t>2024-08-19</w:t>
            </w:r>
          </w:p>
        </w:tc>
        <w:tc>
          <w:tcPr>
            <w:tcW w:w="2835" w:type="dxa"/>
          </w:tcPr>
          <w:p w14:paraId="3832BF60">
            <w:r>
              <w:rPr>
                <w:sz w:val="16"/>
              </w:rPr>
              <w:t>12</w:t>
            </w:r>
          </w:p>
        </w:tc>
      </w:tr>
      <w:tr w14:paraId="7F9E95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A23983C">
            <w:r>
              <w:rPr>
                <w:sz w:val="16"/>
              </w:rPr>
              <w:t>9</w:t>
            </w:r>
          </w:p>
        </w:tc>
        <w:tc>
          <w:tcPr>
            <w:tcW w:w="2551" w:type="dxa"/>
          </w:tcPr>
          <w:p w14:paraId="2A6A1CB4">
            <w:r>
              <w:rPr>
                <w:sz w:val="16"/>
              </w:rPr>
              <w:t>2024-08-31</w:t>
            </w:r>
          </w:p>
        </w:tc>
        <w:tc>
          <w:tcPr>
            <w:tcW w:w="2835" w:type="dxa"/>
          </w:tcPr>
          <w:p w14:paraId="4FDF986C">
            <w:r>
              <w:rPr>
                <w:sz w:val="16"/>
              </w:rPr>
              <w:t>12</w:t>
            </w:r>
          </w:p>
        </w:tc>
      </w:tr>
      <w:tr w14:paraId="0D94C3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C2B982D">
            <w:r>
              <w:rPr>
                <w:sz w:val="16"/>
              </w:rPr>
              <w:t>10</w:t>
            </w:r>
          </w:p>
        </w:tc>
        <w:tc>
          <w:tcPr>
            <w:tcW w:w="2551" w:type="dxa"/>
          </w:tcPr>
          <w:p w14:paraId="6CE8885E">
            <w:r>
              <w:rPr>
                <w:sz w:val="16"/>
              </w:rPr>
              <w:t>2024-09-12</w:t>
            </w:r>
          </w:p>
        </w:tc>
        <w:tc>
          <w:tcPr>
            <w:tcW w:w="2835" w:type="dxa"/>
          </w:tcPr>
          <w:p w14:paraId="1D30492B">
            <w:r>
              <w:rPr>
                <w:sz w:val="16"/>
              </w:rPr>
              <w:t>12</w:t>
            </w:r>
          </w:p>
        </w:tc>
      </w:tr>
      <w:tr w14:paraId="77AFD7D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16C582D5">
            <w:r>
              <w:rPr>
                <w:sz w:val="16"/>
              </w:rPr>
              <w:t>11</w:t>
            </w:r>
          </w:p>
        </w:tc>
        <w:tc>
          <w:tcPr>
            <w:tcW w:w="2551" w:type="dxa"/>
          </w:tcPr>
          <w:p w14:paraId="6FF56D72">
            <w:r>
              <w:rPr>
                <w:sz w:val="16"/>
              </w:rPr>
              <w:t>2024-09-24</w:t>
            </w:r>
          </w:p>
        </w:tc>
        <w:tc>
          <w:tcPr>
            <w:tcW w:w="2835" w:type="dxa"/>
          </w:tcPr>
          <w:p w14:paraId="480294CB">
            <w:r>
              <w:rPr>
                <w:sz w:val="16"/>
              </w:rPr>
              <w:t>12</w:t>
            </w:r>
          </w:p>
        </w:tc>
      </w:tr>
      <w:tr w14:paraId="0686209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4C40ECF">
            <w:r>
              <w:rPr>
                <w:sz w:val="16"/>
              </w:rPr>
              <w:t>12</w:t>
            </w:r>
          </w:p>
        </w:tc>
        <w:tc>
          <w:tcPr>
            <w:tcW w:w="2551" w:type="dxa"/>
          </w:tcPr>
          <w:p w14:paraId="543550F3">
            <w:r>
              <w:rPr>
                <w:sz w:val="16"/>
              </w:rPr>
              <w:t>2024-10-06</w:t>
            </w:r>
          </w:p>
        </w:tc>
        <w:tc>
          <w:tcPr>
            <w:tcW w:w="2835" w:type="dxa"/>
          </w:tcPr>
          <w:p w14:paraId="5B4A9290">
            <w:r>
              <w:rPr>
                <w:sz w:val="16"/>
              </w:rPr>
              <w:t>12</w:t>
            </w:r>
          </w:p>
        </w:tc>
      </w:tr>
      <w:tr w14:paraId="4CA64DB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9B91E2F">
            <w:r>
              <w:rPr>
                <w:sz w:val="16"/>
              </w:rPr>
              <w:t>13</w:t>
            </w:r>
          </w:p>
        </w:tc>
        <w:tc>
          <w:tcPr>
            <w:tcW w:w="2551" w:type="dxa"/>
          </w:tcPr>
          <w:p w14:paraId="202F22CF">
            <w:r>
              <w:rPr>
                <w:sz w:val="16"/>
              </w:rPr>
              <w:t>2024-10-18</w:t>
            </w:r>
          </w:p>
        </w:tc>
        <w:tc>
          <w:tcPr>
            <w:tcW w:w="2835" w:type="dxa"/>
          </w:tcPr>
          <w:p w14:paraId="20B368BE">
            <w:r>
              <w:rPr>
                <w:sz w:val="16"/>
              </w:rPr>
              <w:t>12</w:t>
            </w:r>
          </w:p>
        </w:tc>
      </w:tr>
      <w:tr w14:paraId="0F6470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3499E17A">
            <w:r>
              <w:rPr>
                <w:sz w:val="16"/>
              </w:rPr>
              <w:t>14</w:t>
            </w:r>
          </w:p>
        </w:tc>
        <w:tc>
          <w:tcPr>
            <w:tcW w:w="2551" w:type="dxa"/>
          </w:tcPr>
          <w:p w14:paraId="5E8F638B">
            <w:r>
              <w:rPr>
                <w:sz w:val="16"/>
              </w:rPr>
              <w:t>2024-10-30</w:t>
            </w:r>
          </w:p>
        </w:tc>
        <w:tc>
          <w:tcPr>
            <w:tcW w:w="2835" w:type="dxa"/>
          </w:tcPr>
          <w:p w14:paraId="717C5825">
            <w:r>
              <w:rPr>
                <w:sz w:val="16"/>
              </w:rPr>
              <w:t>12</w:t>
            </w:r>
          </w:p>
        </w:tc>
      </w:tr>
      <w:tr w14:paraId="525E0DD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30487F6">
            <w:r>
              <w:rPr>
                <w:sz w:val="16"/>
              </w:rPr>
              <w:t>15</w:t>
            </w:r>
          </w:p>
        </w:tc>
        <w:tc>
          <w:tcPr>
            <w:tcW w:w="2551" w:type="dxa"/>
          </w:tcPr>
          <w:p w14:paraId="5ABB221B">
            <w:r>
              <w:rPr>
                <w:sz w:val="16"/>
              </w:rPr>
              <w:t>2024-11-23</w:t>
            </w:r>
          </w:p>
        </w:tc>
        <w:tc>
          <w:tcPr>
            <w:tcW w:w="2835" w:type="dxa"/>
          </w:tcPr>
          <w:p w14:paraId="3EDB1738">
            <w:r>
              <w:rPr>
                <w:sz w:val="16"/>
              </w:rPr>
              <w:t>24</w:t>
            </w:r>
          </w:p>
        </w:tc>
      </w:tr>
      <w:tr w14:paraId="3ED72B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F60F081">
            <w:r>
              <w:rPr>
                <w:sz w:val="16"/>
              </w:rPr>
              <w:t>16</w:t>
            </w:r>
          </w:p>
        </w:tc>
        <w:tc>
          <w:tcPr>
            <w:tcW w:w="2551" w:type="dxa"/>
          </w:tcPr>
          <w:p w14:paraId="1C888266">
            <w:r>
              <w:rPr>
                <w:sz w:val="16"/>
              </w:rPr>
              <w:t>2024-12-05</w:t>
            </w:r>
          </w:p>
        </w:tc>
        <w:tc>
          <w:tcPr>
            <w:tcW w:w="2835" w:type="dxa"/>
          </w:tcPr>
          <w:p w14:paraId="10AC512C">
            <w:r>
              <w:rPr>
                <w:sz w:val="16"/>
              </w:rPr>
              <w:t>12</w:t>
            </w:r>
          </w:p>
        </w:tc>
      </w:tr>
      <w:tr w14:paraId="3B144D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13BCE6A6">
            <w:r>
              <w:rPr>
                <w:sz w:val="16"/>
              </w:rPr>
              <w:t>17</w:t>
            </w:r>
          </w:p>
        </w:tc>
        <w:tc>
          <w:tcPr>
            <w:tcW w:w="2551" w:type="dxa"/>
          </w:tcPr>
          <w:p w14:paraId="7BDEEE42">
            <w:r>
              <w:rPr>
                <w:sz w:val="16"/>
              </w:rPr>
              <w:t>2024-12-17</w:t>
            </w:r>
          </w:p>
        </w:tc>
        <w:tc>
          <w:tcPr>
            <w:tcW w:w="2835" w:type="dxa"/>
          </w:tcPr>
          <w:p w14:paraId="34BE90C8">
            <w:r>
              <w:rPr>
                <w:sz w:val="16"/>
              </w:rPr>
              <w:t>12</w:t>
            </w:r>
          </w:p>
        </w:tc>
      </w:tr>
      <w:tr w14:paraId="79F7EE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00826572">
            <w:r>
              <w:rPr>
                <w:sz w:val="16"/>
              </w:rPr>
              <w:t>18</w:t>
            </w:r>
          </w:p>
        </w:tc>
        <w:tc>
          <w:tcPr>
            <w:tcW w:w="2551" w:type="dxa"/>
          </w:tcPr>
          <w:p w14:paraId="42588C72">
            <w:r>
              <w:rPr>
                <w:sz w:val="16"/>
              </w:rPr>
              <w:t>2024-12-29</w:t>
            </w:r>
          </w:p>
        </w:tc>
        <w:tc>
          <w:tcPr>
            <w:tcW w:w="2835" w:type="dxa"/>
          </w:tcPr>
          <w:p w14:paraId="171B44B3">
            <w:r>
              <w:rPr>
                <w:sz w:val="16"/>
              </w:rPr>
              <w:t>12</w:t>
            </w:r>
          </w:p>
        </w:tc>
      </w:tr>
      <w:tr w14:paraId="78341C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3B70503">
            <w:r>
              <w:rPr>
                <w:sz w:val="16"/>
              </w:rPr>
              <w:t>19</w:t>
            </w:r>
          </w:p>
        </w:tc>
        <w:tc>
          <w:tcPr>
            <w:tcW w:w="2551" w:type="dxa"/>
          </w:tcPr>
          <w:p w14:paraId="6956587A">
            <w:r>
              <w:rPr>
                <w:sz w:val="16"/>
              </w:rPr>
              <w:t>2025-01-10</w:t>
            </w:r>
          </w:p>
        </w:tc>
        <w:tc>
          <w:tcPr>
            <w:tcW w:w="2835" w:type="dxa"/>
          </w:tcPr>
          <w:p w14:paraId="68E7AE67">
            <w:r>
              <w:rPr>
                <w:sz w:val="16"/>
              </w:rPr>
              <w:t>12</w:t>
            </w:r>
          </w:p>
        </w:tc>
      </w:tr>
      <w:tr w14:paraId="0B3AC26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5AE19C0">
            <w:r>
              <w:rPr>
                <w:sz w:val="16"/>
              </w:rPr>
              <w:t>20</w:t>
            </w:r>
          </w:p>
        </w:tc>
        <w:tc>
          <w:tcPr>
            <w:tcW w:w="2551" w:type="dxa"/>
          </w:tcPr>
          <w:p w14:paraId="2D8B1939">
            <w:r>
              <w:rPr>
                <w:sz w:val="16"/>
              </w:rPr>
              <w:t>2025-01-22</w:t>
            </w:r>
          </w:p>
        </w:tc>
        <w:tc>
          <w:tcPr>
            <w:tcW w:w="2835" w:type="dxa"/>
          </w:tcPr>
          <w:p w14:paraId="72187B7A">
            <w:r>
              <w:rPr>
                <w:sz w:val="16"/>
              </w:rPr>
              <w:t>12</w:t>
            </w:r>
          </w:p>
        </w:tc>
      </w:tr>
      <w:tr w14:paraId="72DF9A0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19A3BB7">
            <w:r>
              <w:rPr>
                <w:sz w:val="16"/>
              </w:rPr>
              <w:t>21</w:t>
            </w:r>
          </w:p>
        </w:tc>
        <w:tc>
          <w:tcPr>
            <w:tcW w:w="2551" w:type="dxa"/>
          </w:tcPr>
          <w:p w14:paraId="44F42156">
            <w:r>
              <w:rPr>
                <w:sz w:val="16"/>
              </w:rPr>
              <w:t>2025-02-03</w:t>
            </w:r>
          </w:p>
        </w:tc>
        <w:tc>
          <w:tcPr>
            <w:tcW w:w="2835" w:type="dxa"/>
          </w:tcPr>
          <w:p w14:paraId="32CAD961">
            <w:r>
              <w:rPr>
                <w:sz w:val="16"/>
              </w:rPr>
              <w:t>12</w:t>
            </w:r>
          </w:p>
        </w:tc>
      </w:tr>
      <w:tr w14:paraId="0CDBE65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DC761D3">
            <w:r>
              <w:rPr>
                <w:sz w:val="16"/>
              </w:rPr>
              <w:t>22</w:t>
            </w:r>
          </w:p>
        </w:tc>
        <w:tc>
          <w:tcPr>
            <w:tcW w:w="2551" w:type="dxa"/>
          </w:tcPr>
          <w:p w14:paraId="6F099843">
            <w:r>
              <w:rPr>
                <w:sz w:val="16"/>
              </w:rPr>
              <w:t>2025-02-27</w:t>
            </w:r>
          </w:p>
        </w:tc>
        <w:tc>
          <w:tcPr>
            <w:tcW w:w="2835" w:type="dxa"/>
          </w:tcPr>
          <w:p w14:paraId="359B7F01">
            <w:r>
              <w:rPr>
                <w:sz w:val="16"/>
              </w:rPr>
              <w:t>24</w:t>
            </w:r>
          </w:p>
        </w:tc>
      </w:tr>
      <w:tr w14:paraId="55E3C3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F261C2F">
            <w:r>
              <w:rPr>
                <w:sz w:val="16"/>
              </w:rPr>
              <w:t>23</w:t>
            </w:r>
          </w:p>
        </w:tc>
        <w:tc>
          <w:tcPr>
            <w:tcW w:w="2551" w:type="dxa"/>
          </w:tcPr>
          <w:p w14:paraId="095DECB5">
            <w:r>
              <w:rPr>
                <w:sz w:val="16"/>
              </w:rPr>
              <w:t>2025-03-11</w:t>
            </w:r>
          </w:p>
        </w:tc>
        <w:tc>
          <w:tcPr>
            <w:tcW w:w="2835" w:type="dxa"/>
          </w:tcPr>
          <w:p w14:paraId="4CB5441D">
            <w:r>
              <w:rPr>
                <w:sz w:val="16"/>
              </w:rPr>
              <w:t>12</w:t>
            </w:r>
          </w:p>
        </w:tc>
      </w:tr>
      <w:tr w14:paraId="243F52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F0FD4C4">
            <w:r>
              <w:rPr>
                <w:sz w:val="16"/>
              </w:rPr>
              <w:t>24</w:t>
            </w:r>
          </w:p>
        </w:tc>
        <w:tc>
          <w:tcPr>
            <w:tcW w:w="2551" w:type="dxa"/>
          </w:tcPr>
          <w:p w14:paraId="7EA4291F">
            <w:r>
              <w:rPr>
                <w:sz w:val="16"/>
              </w:rPr>
              <w:t>2025-03-23</w:t>
            </w:r>
          </w:p>
        </w:tc>
        <w:tc>
          <w:tcPr>
            <w:tcW w:w="2835" w:type="dxa"/>
          </w:tcPr>
          <w:p w14:paraId="6EECE386">
            <w:r>
              <w:rPr>
                <w:sz w:val="16"/>
              </w:rPr>
              <w:t>12</w:t>
            </w:r>
          </w:p>
        </w:tc>
      </w:tr>
      <w:tr w14:paraId="48D7DA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3022FFB">
            <w:r>
              <w:rPr>
                <w:sz w:val="16"/>
              </w:rPr>
              <w:t>25</w:t>
            </w:r>
          </w:p>
        </w:tc>
        <w:tc>
          <w:tcPr>
            <w:tcW w:w="2551" w:type="dxa"/>
          </w:tcPr>
          <w:p w14:paraId="1A779448">
            <w:r>
              <w:rPr>
                <w:sz w:val="16"/>
              </w:rPr>
              <w:t>2025-04-04</w:t>
            </w:r>
          </w:p>
        </w:tc>
        <w:tc>
          <w:tcPr>
            <w:tcW w:w="2835" w:type="dxa"/>
          </w:tcPr>
          <w:p w14:paraId="6A20CFE9">
            <w:r>
              <w:rPr>
                <w:sz w:val="16"/>
              </w:rPr>
              <w:t>12</w:t>
            </w:r>
          </w:p>
        </w:tc>
      </w:tr>
      <w:tr w14:paraId="6C0673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056C584C">
            <w:r>
              <w:rPr>
                <w:sz w:val="16"/>
              </w:rPr>
              <w:t>26</w:t>
            </w:r>
          </w:p>
        </w:tc>
        <w:tc>
          <w:tcPr>
            <w:tcW w:w="2551" w:type="dxa"/>
          </w:tcPr>
          <w:p w14:paraId="55C49AC8">
            <w:r>
              <w:rPr>
                <w:sz w:val="16"/>
              </w:rPr>
              <w:t>2025-04-28</w:t>
            </w:r>
          </w:p>
        </w:tc>
        <w:tc>
          <w:tcPr>
            <w:tcW w:w="2835" w:type="dxa"/>
          </w:tcPr>
          <w:p w14:paraId="031C07DF">
            <w:r>
              <w:rPr>
                <w:sz w:val="16"/>
              </w:rPr>
              <w:t>24</w:t>
            </w:r>
          </w:p>
        </w:tc>
      </w:tr>
      <w:tr w14:paraId="54680A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E323AFA">
            <w:r>
              <w:rPr>
                <w:sz w:val="16"/>
              </w:rPr>
              <w:t>27</w:t>
            </w:r>
          </w:p>
        </w:tc>
        <w:tc>
          <w:tcPr>
            <w:tcW w:w="2551" w:type="dxa"/>
          </w:tcPr>
          <w:p w14:paraId="436DDACF">
            <w:r>
              <w:rPr>
                <w:sz w:val="16"/>
              </w:rPr>
              <w:t>2025-05-10</w:t>
            </w:r>
          </w:p>
        </w:tc>
        <w:tc>
          <w:tcPr>
            <w:tcW w:w="2835" w:type="dxa"/>
          </w:tcPr>
          <w:p w14:paraId="47ADB91C">
            <w:r>
              <w:rPr>
                <w:sz w:val="16"/>
              </w:rPr>
              <w:t>12</w:t>
            </w:r>
          </w:p>
        </w:tc>
      </w:tr>
      <w:tr w14:paraId="25B659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3216F788">
            <w:r>
              <w:rPr>
                <w:sz w:val="16"/>
              </w:rPr>
              <w:t>28</w:t>
            </w:r>
          </w:p>
        </w:tc>
        <w:tc>
          <w:tcPr>
            <w:tcW w:w="2551" w:type="dxa"/>
          </w:tcPr>
          <w:p w14:paraId="2B4DB717">
            <w:r>
              <w:rPr>
                <w:sz w:val="16"/>
              </w:rPr>
              <w:t>2025-06-03</w:t>
            </w:r>
          </w:p>
        </w:tc>
        <w:tc>
          <w:tcPr>
            <w:tcW w:w="2835" w:type="dxa"/>
          </w:tcPr>
          <w:p w14:paraId="3105CA0B">
            <w:r>
              <w:rPr>
                <w:sz w:val="16"/>
              </w:rPr>
              <w:t>24</w:t>
            </w:r>
          </w:p>
        </w:tc>
      </w:tr>
      <w:tr w14:paraId="7810DF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01A84BA5">
            <w:r>
              <w:rPr>
                <w:sz w:val="16"/>
              </w:rPr>
              <w:t>29</w:t>
            </w:r>
          </w:p>
        </w:tc>
        <w:tc>
          <w:tcPr>
            <w:tcW w:w="2551" w:type="dxa"/>
          </w:tcPr>
          <w:p w14:paraId="5A2CB376">
            <w:r>
              <w:rPr>
                <w:sz w:val="16"/>
              </w:rPr>
              <w:t>2025-06-15</w:t>
            </w:r>
          </w:p>
        </w:tc>
        <w:tc>
          <w:tcPr>
            <w:tcW w:w="2835" w:type="dxa"/>
          </w:tcPr>
          <w:p w14:paraId="61988708">
            <w:r>
              <w:rPr>
                <w:sz w:val="16"/>
              </w:rPr>
              <w:t>12</w:t>
            </w:r>
          </w:p>
        </w:tc>
      </w:tr>
      <w:tr w14:paraId="09E1DE4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B8F2F2C">
            <w:r>
              <w:rPr>
                <w:sz w:val="16"/>
              </w:rPr>
              <w:t>30</w:t>
            </w:r>
          </w:p>
        </w:tc>
        <w:tc>
          <w:tcPr>
            <w:tcW w:w="2551" w:type="dxa"/>
          </w:tcPr>
          <w:p w14:paraId="1D259CD1">
            <w:r>
              <w:rPr>
                <w:sz w:val="16"/>
              </w:rPr>
              <w:t>2025-06-27</w:t>
            </w:r>
          </w:p>
        </w:tc>
        <w:tc>
          <w:tcPr>
            <w:tcW w:w="2835" w:type="dxa"/>
          </w:tcPr>
          <w:p w14:paraId="43E304F4">
            <w:r>
              <w:rPr>
                <w:sz w:val="16"/>
              </w:rPr>
              <w:t>12</w:t>
            </w:r>
          </w:p>
        </w:tc>
      </w:tr>
      <w:tr w14:paraId="64A7A9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FBCCEFC">
            <w:r>
              <w:rPr>
                <w:sz w:val="16"/>
              </w:rPr>
              <w:t>31</w:t>
            </w:r>
          </w:p>
        </w:tc>
        <w:tc>
          <w:tcPr>
            <w:tcW w:w="2551" w:type="dxa"/>
          </w:tcPr>
          <w:p w14:paraId="442619E5">
            <w:r>
              <w:rPr>
                <w:sz w:val="16"/>
              </w:rPr>
              <w:t>2025-07-09</w:t>
            </w:r>
          </w:p>
        </w:tc>
        <w:tc>
          <w:tcPr>
            <w:tcW w:w="2835" w:type="dxa"/>
          </w:tcPr>
          <w:p w14:paraId="12CF79E9">
            <w:r>
              <w:rPr>
                <w:sz w:val="16"/>
              </w:rPr>
              <w:t>12</w:t>
            </w:r>
          </w:p>
        </w:tc>
      </w:tr>
      <w:tr w14:paraId="4FA83B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4C60916">
            <w:r>
              <w:rPr>
                <w:sz w:val="16"/>
              </w:rPr>
              <w:t>32</w:t>
            </w:r>
          </w:p>
        </w:tc>
        <w:tc>
          <w:tcPr>
            <w:tcW w:w="2551" w:type="dxa"/>
          </w:tcPr>
          <w:p w14:paraId="4A0B11C9">
            <w:r>
              <w:rPr>
                <w:sz w:val="16"/>
              </w:rPr>
              <w:t>2025-07-21</w:t>
            </w:r>
          </w:p>
        </w:tc>
        <w:tc>
          <w:tcPr>
            <w:tcW w:w="2835" w:type="dxa"/>
          </w:tcPr>
          <w:p w14:paraId="37462BB5">
            <w:r>
              <w:rPr>
                <w:sz w:val="16"/>
              </w:rPr>
              <w:t>12</w:t>
            </w:r>
          </w:p>
        </w:tc>
      </w:tr>
      <w:tr w14:paraId="07C47AB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A848CC9">
            <w:r>
              <w:rPr>
                <w:sz w:val="16"/>
              </w:rPr>
              <w:t>33</w:t>
            </w:r>
          </w:p>
        </w:tc>
        <w:tc>
          <w:tcPr>
            <w:tcW w:w="2551" w:type="dxa"/>
          </w:tcPr>
          <w:p w14:paraId="2A12788F">
            <w:r>
              <w:rPr>
                <w:sz w:val="16"/>
              </w:rPr>
              <w:t>2025-08-02</w:t>
            </w:r>
          </w:p>
        </w:tc>
        <w:tc>
          <w:tcPr>
            <w:tcW w:w="2835" w:type="dxa"/>
          </w:tcPr>
          <w:p w14:paraId="7BDDC63D">
            <w:r>
              <w:rPr>
                <w:sz w:val="16"/>
              </w:rPr>
              <w:t>12</w:t>
            </w:r>
          </w:p>
        </w:tc>
      </w:tr>
      <w:tr w14:paraId="50DEBA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5FF786D5">
            <w:r>
              <w:rPr>
                <w:sz w:val="16"/>
              </w:rPr>
              <w:t>34</w:t>
            </w:r>
          </w:p>
        </w:tc>
        <w:tc>
          <w:tcPr>
            <w:tcW w:w="2551" w:type="dxa"/>
          </w:tcPr>
          <w:p w14:paraId="4DC1BC71">
            <w:r>
              <w:rPr>
                <w:sz w:val="16"/>
              </w:rPr>
              <w:t>2025-08-14</w:t>
            </w:r>
          </w:p>
        </w:tc>
        <w:tc>
          <w:tcPr>
            <w:tcW w:w="2835" w:type="dxa"/>
          </w:tcPr>
          <w:p w14:paraId="2B58BA72">
            <w:r>
              <w:rPr>
                <w:sz w:val="16"/>
              </w:rPr>
              <w:t>12</w:t>
            </w:r>
          </w:p>
        </w:tc>
      </w:tr>
      <w:tr w14:paraId="3F3FA2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8A62AB4">
            <w:r>
              <w:rPr>
                <w:sz w:val="16"/>
              </w:rPr>
              <w:t>35</w:t>
            </w:r>
          </w:p>
        </w:tc>
        <w:tc>
          <w:tcPr>
            <w:tcW w:w="2551" w:type="dxa"/>
          </w:tcPr>
          <w:p w14:paraId="6F4CB321">
            <w:r>
              <w:rPr>
                <w:sz w:val="16"/>
              </w:rPr>
              <w:t>2025-08-26</w:t>
            </w:r>
          </w:p>
        </w:tc>
        <w:tc>
          <w:tcPr>
            <w:tcW w:w="2835" w:type="dxa"/>
          </w:tcPr>
          <w:p w14:paraId="6B4CD772">
            <w:r>
              <w:rPr>
                <w:sz w:val="16"/>
              </w:rPr>
              <w:t>12</w:t>
            </w:r>
          </w:p>
        </w:tc>
      </w:tr>
      <w:tr w14:paraId="4535A8E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3A406B0A">
            <w:r>
              <w:rPr>
                <w:sz w:val="16"/>
              </w:rPr>
              <w:t>36</w:t>
            </w:r>
          </w:p>
        </w:tc>
        <w:tc>
          <w:tcPr>
            <w:tcW w:w="2551" w:type="dxa"/>
          </w:tcPr>
          <w:p w14:paraId="5A0C26ED">
            <w:r>
              <w:rPr>
                <w:sz w:val="16"/>
              </w:rPr>
              <w:t>2025-09-07</w:t>
            </w:r>
          </w:p>
        </w:tc>
        <w:tc>
          <w:tcPr>
            <w:tcW w:w="2835" w:type="dxa"/>
          </w:tcPr>
          <w:p w14:paraId="44524C39">
            <w:r>
              <w:rPr>
                <w:sz w:val="16"/>
              </w:rPr>
              <w:t>12</w:t>
            </w:r>
          </w:p>
        </w:tc>
      </w:tr>
      <w:tr w14:paraId="57947FA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BB19FE8">
            <w:r>
              <w:rPr>
                <w:sz w:val="16"/>
              </w:rPr>
              <w:t>37</w:t>
            </w:r>
          </w:p>
        </w:tc>
        <w:tc>
          <w:tcPr>
            <w:tcW w:w="2551" w:type="dxa"/>
          </w:tcPr>
          <w:p w14:paraId="4BC4FD67">
            <w:r>
              <w:rPr>
                <w:sz w:val="16"/>
              </w:rPr>
              <w:t>2025-09-19</w:t>
            </w:r>
          </w:p>
        </w:tc>
        <w:tc>
          <w:tcPr>
            <w:tcW w:w="2835" w:type="dxa"/>
          </w:tcPr>
          <w:p w14:paraId="68BBBCB9">
            <w:r>
              <w:rPr>
                <w:sz w:val="16"/>
              </w:rPr>
              <w:t>12</w:t>
            </w:r>
          </w:p>
        </w:tc>
      </w:tr>
      <w:tr w14:paraId="4688AB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05BD519">
            <w:r>
              <w:rPr>
                <w:sz w:val="16"/>
              </w:rPr>
              <w:t>38</w:t>
            </w:r>
          </w:p>
        </w:tc>
        <w:tc>
          <w:tcPr>
            <w:tcW w:w="2551" w:type="dxa"/>
          </w:tcPr>
          <w:p w14:paraId="3A3666DB">
            <w:r>
              <w:rPr>
                <w:sz w:val="16"/>
              </w:rPr>
              <w:t>2025-11-06</w:t>
            </w:r>
          </w:p>
        </w:tc>
        <w:tc>
          <w:tcPr>
            <w:tcW w:w="2835" w:type="dxa"/>
          </w:tcPr>
          <w:p w14:paraId="1E121BE0">
            <w:r>
              <w:rPr>
                <w:sz w:val="16"/>
              </w:rPr>
              <w:t>48</w:t>
            </w:r>
          </w:p>
        </w:tc>
      </w:tr>
      <w:tr w14:paraId="6B0CD02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CCAAFED">
            <w:r>
              <w:rPr>
                <w:sz w:val="16"/>
              </w:rPr>
              <w:t>39</w:t>
            </w:r>
          </w:p>
        </w:tc>
        <w:tc>
          <w:tcPr>
            <w:tcW w:w="2551" w:type="dxa"/>
          </w:tcPr>
          <w:p w14:paraId="537FE71E">
            <w:r>
              <w:rPr>
                <w:sz w:val="16"/>
              </w:rPr>
              <w:t>2025-11-18</w:t>
            </w:r>
          </w:p>
        </w:tc>
        <w:tc>
          <w:tcPr>
            <w:tcW w:w="2835" w:type="dxa"/>
          </w:tcPr>
          <w:p w14:paraId="67244B25">
            <w:r>
              <w:rPr>
                <w:sz w:val="16"/>
              </w:rPr>
              <w:t>12</w:t>
            </w:r>
          </w:p>
        </w:tc>
      </w:tr>
      <w:tr w14:paraId="6DA554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F1BA622">
            <w:r>
              <w:rPr>
                <w:sz w:val="16"/>
              </w:rPr>
              <w:t>40</w:t>
            </w:r>
          </w:p>
        </w:tc>
        <w:tc>
          <w:tcPr>
            <w:tcW w:w="2551" w:type="dxa"/>
          </w:tcPr>
          <w:p w14:paraId="1B129427">
            <w:r>
              <w:rPr>
                <w:sz w:val="16"/>
              </w:rPr>
              <w:t>2025-11-30</w:t>
            </w:r>
          </w:p>
        </w:tc>
        <w:tc>
          <w:tcPr>
            <w:tcW w:w="2835" w:type="dxa"/>
          </w:tcPr>
          <w:p w14:paraId="4F3D9E12">
            <w:r>
              <w:rPr>
                <w:sz w:val="16"/>
              </w:rPr>
              <w:t>12</w:t>
            </w:r>
          </w:p>
        </w:tc>
      </w:tr>
      <w:tr w14:paraId="25D736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0649FA02">
            <w:r>
              <w:rPr>
                <w:sz w:val="16"/>
              </w:rPr>
              <w:t>41</w:t>
            </w:r>
          </w:p>
        </w:tc>
        <w:tc>
          <w:tcPr>
            <w:tcW w:w="2551" w:type="dxa"/>
          </w:tcPr>
          <w:p w14:paraId="75DE855B">
            <w:r>
              <w:rPr>
                <w:sz w:val="16"/>
              </w:rPr>
              <w:t>2025-12-12</w:t>
            </w:r>
          </w:p>
        </w:tc>
        <w:tc>
          <w:tcPr>
            <w:tcW w:w="2835" w:type="dxa"/>
          </w:tcPr>
          <w:p w14:paraId="035156BF">
            <w:r>
              <w:rPr>
                <w:sz w:val="16"/>
              </w:rPr>
              <w:t>12</w:t>
            </w:r>
          </w:p>
        </w:tc>
      </w:tr>
      <w:tr w14:paraId="34A97F9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7F611C61">
            <w:r>
              <w:rPr>
                <w:sz w:val="16"/>
              </w:rPr>
              <w:t>42</w:t>
            </w:r>
          </w:p>
        </w:tc>
        <w:tc>
          <w:tcPr>
            <w:tcW w:w="2551" w:type="dxa"/>
          </w:tcPr>
          <w:p w14:paraId="5957D08B">
            <w:r>
              <w:rPr>
                <w:sz w:val="16"/>
              </w:rPr>
              <w:t>2025-12-24</w:t>
            </w:r>
          </w:p>
        </w:tc>
        <w:tc>
          <w:tcPr>
            <w:tcW w:w="2835" w:type="dxa"/>
          </w:tcPr>
          <w:p w14:paraId="3EEF5DD2">
            <w:r>
              <w:rPr>
                <w:sz w:val="16"/>
              </w:rPr>
              <w:t>12</w:t>
            </w:r>
          </w:p>
        </w:tc>
      </w:tr>
      <w:tr w14:paraId="74405BB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08EFFC5">
            <w:r>
              <w:rPr>
                <w:sz w:val="16"/>
              </w:rPr>
              <w:t>43</w:t>
            </w:r>
          </w:p>
        </w:tc>
        <w:tc>
          <w:tcPr>
            <w:tcW w:w="2551" w:type="dxa"/>
          </w:tcPr>
          <w:p w14:paraId="52EA6207">
            <w:r>
              <w:rPr>
                <w:sz w:val="16"/>
              </w:rPr>
              <w:t>2026-01-17</w:t>
            </w:r>
          </w:p>
        </w:tc>
        <w:tc>
          <w:tcPr>
            <w:tcW w:w="2835" w:type="dxa"/>
          </w:tcPr>
          <w:p w14:paraId="657A3AE4">
            <w:r>
              <w:rPr>
                <w:sz w:val="16"/>
              </w:rPr>
              <w:t>24</w:t>
            </w:r>
          </w:p>
        </w:tc>
      </w:tr>
      <w:tr w14:paraId="274ACC8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462B6CF2">
            <w:r>
              <w:rPr>
                <w:sz w:val="16"/>
              </w:rPr>
              <w:t>44</w:t>
            </w:r>
          </w:p>
        </w:tc>
        <w:tc>
          <w:tcPr>
            <w:tcW w:w="2551" w:type="dxa"/>
          </w:tcPr>
          <w:p w14:paraId="3182600A">
            <w:r>
              <w:rPr>
                <w:sz w:val="16"/>
              </w:rPr>
              <w:t>2026-01-29</w:t>
            </w:r>
          </w:p>
        </w:tc>
        <w:tc>
          <w:tcPr>
            <w:tcW w:w="2835" w:type="dxa"/>
          </w:tcPr>
          <w:p w14:paraId="531D1D42">
            <w:r>
              <w:rPr>
                <w:sz w:val="16"/>
              </w:rPr>
              <w:t>12</w:t>
            </w:r>
          </w:p>
        </w:tc>
      </w:tr>
      <w:tr w14:paraId="7DED311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6BD62019">
            <w:r>
              <w:rPr>
                <w:sz w:val="16"/>
              </w:rPr>
              <w:t>45</w:t>
            </w:r>
          </w:p>
        </w:tc>
        <w:tc>
          <w:tcPr>
            <w:tcW w:w="2551" w:type="dxa"/>
          </w:tcPr>
          <w:p w14:paraId="5B713437">
            <w:r>
              <w:rPr>
                <w:sz w:val="16"/>
              </w:rPr>
              <w:t>2026-02-22</w:t>
            </w:r>
          </w:p>
        </w:tc>
        <w:tc>
          <w:tcPr>
            <w:tcW w:w="2835" w:type="dxa"/>
          </w:tcPr>
          <w:p w14:paraId="7F6C00E7">
            <w:r>
              <w:rPr>
                <w:sz w:val="16"/>
              </w:rPr>
              <w:t>24</w:t>
            </w:r>
          </w:p>
        </w:tc>
      </w:tr>
      <w:tr w14:paraId="41E7D4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1A105BBB">
            <w:r>
              <w:rPr>
                <w:sz w:val="16"/>
              </w:rPr>
              <w:t>46</w:t>
            </w:r>
          </w:p>
        </w:tc>
        <w:tc>
          <w:tcPr>
            <w:tcW w:w="2551" w:type="dxa"/>
          </w:tcPr>
          <w:p w14:paraId="690CA2F1">
            <w:r>
              <w:rPr>
                <w:sz w:val="16"/>
              </w:rPr>
              <w:t>2026-03-06</w:t>
            </w:r>
          </w:p>
        </w:tc>
        <w:tc>
          <w:tcPr>
            <w:tcW w:w="2835" w:type="dxa"/>
          </w:tcPr>
          <w:p w14:paraId="5FE59F89">
            <w:r>
              <w:rPr>
                <w:sz w:val="16"/>
              </w:rPr>
              <w:t>12</w:t>
            </w:r>
          </w:p>
        </w:tc>
      </w:tr>
      <w:tr w14:paraId="43AD84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3FBEABAD">
            <w:r>
              <w:rPr>
                <w:sz w:val="16"/>
              </w:rPr>
              <w:t>47</w:t>
            </w:r>
          </w:p>
        </w:tc>
        <w:tc>
          <w:tcPr>
            <w:tcW w:w="2551" w:type="dxa"/>
          </w:tcPr>
          <w:p w14:paraId="2B5DFCFC">
            <w:r>
              <w:rPr>
                <w:sz w:val="16"/>
              </w:rPr>
              <w:t>2026-03-18</w:t>
            </w:r>
          </w:p>
        </w:tc>
        <w:tc>
          <w:tcPr>
            <w:tcW w:w="2835" w:type="dxa"/>
          </w:tcPr>
          <w:p w14:paraId="2357E2D3">
            <w:r>
              <w:rPr>
                <w:sz w:val="16"/>
              </w:rPr>
              <w:t>12</w:t>
            </w:r>
          </w:p>
        </w:tc>
      </w:tr>
    </w:tbl>
    <w:p w14:paraId="262AB534"/>
    <w:p w14:paraId="64974943">
      <w:r>
        <w:br w:type="textWrapping"/>
      </w:r>
      <w:r>
        <w:br w:type="page"/>
      </w:r>
    </w:p>
    <w:p w14:paraId="72AD5D61">
      <w:pPr>
        <w:spacing w:after="200"/>
      </w:pPr>
      <w:r>
        <w:rPr>
          <w:b/>
          <w:sz w:val="18"/>
        </w:rPr>
        <w:t xml:space="preserve">Table S2. </w:t>
      </w:r>
      <w:r>
        <w:rPr>
          <w:sz w:val="18"/>
        </w:rPr>
        <w:t>Monthly statistics of the underground microseismic catalogue (2025-09-01 to 2025-12-07, 6,684 events).</w:t>
      </w:r>
    </w:p>
    <w:tbl>
      <w:tblPr>
        <w:tblStyle w:val="32"/>
        <w:tblW w:w="0" w:type="auto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 w14:paraId="6180DE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Borders>
              <w:bottom w:val="single" w:color="000000" w:sz="6" w:space="0"/>
            </w:tcBorders>
          </w:tcPr>
          <w:p w14:paraId="689DCF66">
            <w:r>
              <w:rPr>
                <w:b/>
                <w:sz w:val="18"/>
              </w:rPr>
              <w:t>Month</w:t>
            </w:r>
          </w:p>
        </w:tc>
        <w:tc>
          <w:tcPr>
            <w:tcW w:w="1020" w:type="dxa"/>
            <w:tcBorders>
              <w:bottom w:val="single" w:color="000000" w:sz="6" w:space="0"/>
            </w:tcBorders>
          </w:tcPr>
          <w:p w14:paraId="10C55A37">
            <w:r>
              <w:rPr>
                <w:b/>
                <w:sz w:val="18"/>
              </w:rPr>
              <w:t>Events</w:t>
            </w:r>
          </w:p>
        </w:tc>
        <w:tc>
          <w:tcPr>
            <w:tcW w:w="1134" w:type="dxa"/>
            <w:tcBorders>
              <w:bottom w:val="single" w:color="000000" w:sz="6" w:space="0"/>
            </w:tcBorders>
          </w:tcPr>
          <w:p w14:paraId="2C267313">
            <w:r>
              <w:rPr>
                <w:b/>
                <w:sz w:val="18"/>
              </w:rPr>
              <w:t>Events/day</w:t>
            </w:r>
          </w:p>
        </w:tc>
        <w:tc>
          <w:tcPr>
            <w:tcW w:w="1474" w:type="dxa"/>
            <w:tcBorders>
              <w:bottom w:val="single" w:color="000000" w:sz="6" w:space="0"/>
            </w:tcBorders>
          </w:tcPr>
          <w:p w14:paraId="3EF5F9B0">
            <w:r>
              <w:rPr>
                <w:b/>
                <w:sz w:val="18"/>
              </w:rPr>
              <w:t>Total E (J)</w:t>
            </w:r>
          </w:p>
        </w:tc>
        <w:tc>
          <w:tcPr>
            <w:tcW w:w="1361" w:type="dxa"/>
            <w:tcBorders>
              <w:bottom w:val="single" w:color="000000" w:sz="6" w:space="0"/>
            </w:tcBorders>
          </w:tcPr>
          <w:p w14:paraId="38AEFED1">
            <w:r>
              <w:rPr>
                <w:b/>
                <w:sz w:val="18"/>
              </w:rPr>
              <w:t>Median E (J)</w:t>
            </w:r>
          </w:p>
        </w:tc>
        <w:tc>
          <w:tcPr>
            <w:tcW w:w="1361" w:type="dxa"/>
            <w:tcBorders>
              <w:bottom w:val="single" w:color="000000" w:sz="6" w:space="0"/>
            </w:tcBorders>
          </w:tcPr>
          <w:p w14:paraId="2ABCB7D6">
            <w:r>
              <w:rPr>
                <w:b/>
                <w:sz w:val="18"/>
              </w:rPr>
              <w:t>Max E (J)</w:t>
            </w:r>
          </w:p>
        </w:tc>
        <w:tc>
          <w:tcPr>
            <w:tcW w:w="1474" w:type="dxa"/>
            <w:tcBorders>
              <w:bottom w:val="single" w:color="000000" w:sz="6" w:space="0"/>
            </w:tcBorders>
          </w:tcPr>
          <w:p w14:paraId="027B186E">
            <w:r>
              <w:rPr>
                <w:b/>
                <w:sz w:val="18"/>
              </w:rPr>
              <w:t>Median depth (m)</w:t>
            </w:r>
          </w:p>
        </w:tc>
      </w:tr>
      <w:tr w14:paraId="10E681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7CB74A2B">
            <w:r>
              <w:rPr>
                <w:sz w:val="17"/>
              </w:rPr>
              <w:t>2025-09</w:t>
            </w:r>
          </w:p>
        </w:tc>
        <w:tc>
          <w:tcPr>
            <w:tcW w:w="1020" w:type="dxa"/>
          </w:tcPr>
          <w:p w14:paraId="092334EE">
            <w:r>
              <w:rPr>
                <w:sz w:val="17"/>
              </w:rPr>
              <w:t>1909</w:t>
            </w:r>
          </w:p>
        </w:tc>
        <w:tc>
          <w:tcPr>
            <w:tcW w:w="1134" w:type="dxa"/>
          </w:tcPr>
          <w:p w14:paraId="10966B61">
            <w:r>
              <w:rPr>
                <w:sz w:val="17"/>
              </w:rPr>
              <w:t>63.6</w:t>
            </w:r>
          </w:p>
        </w:tc>
        <w:tc>
          <w:tcPr>
            <w:tcW w:w="1474" w:type="dxa"/>
          </w:tcPr>
          <w:p w14:paraId="0E914FDD">
            <w:r>
              <w:rPr>
                <w:sz w:val="17"/>
              </w:rPr>
              <w:t>3.41e+06</w:t>
            </w:r>
          </w:p>
        </w:tc>
        <w:tc>
          <w:tcPr>
            <w:tcW w:w="1361" w:type="dxa"/>
          </w:tcPr>
          <w:p w14:paraId="12989E05">
            <w:r>
              <w:rPr>
                <w:sz w:val="17"/>
              </w:rPr>
              <w:t>1194</w:t>
            </w:r>
          </w:p>
        </w:tc>
        <w:tc>
          <w:tcPr>
            <w:tcW w:w="1361" w:type="dxa"/>
          </w:tcPr>
          <w:p w14:paraId="23DF527D">
            <w:r>
              <w:rPr>
                <w:sz w:val="17"/>
              </w:rPr>
              <w:t>6.5e+03</w:t>
            </w:r>
          </w:p>
        </w:tc>
        <w:tc>
          <w:tcPr>
            <w:tcW w:w="1474" w:type="dxa"/>
          </w:tcPr>
          <w:p w14:paraId="43BB6709">
            <w:r>
              <w:rPr>
                <w:sz w:val="17"/>
              </w:rPr>
              <w:t>194</w:t>
            </w:r>
          </w:p>
        </w:tc>
      </w:tr>
      <w:tr w14:paraId="5DEE54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5AEB31FF">
            <w:r>
              <w:rPr>
                <w:sz w:val="17"/>
              </w:rPr>
              <w:t>2025-10</w:t>
            </w:r>
          </w:p>
        </w:tc>
        <w:tc>
          <w:tcPr>
            <w:tcW w:w="1020" w:type="dxa"/>
          </w:tcPr>
          <w:p w14:paraId="4BDB0A79">
            <w:r>
              <w:rPr>
                <w:sz w:val="17"/>
              </w:rPr>
              <w:t>1937</w:t>
            </w:r>
          </w:p>
        </w:tc>
        <w:tc>
          <w:tcPr>
            <w:tcW w:w="1134" w:type="dxa"/>
          </w:tcPr>
          <w:p w14:paraId="229D661B">
            <w:r>
              <w:rPr>
                <w:sz w:val="17"/>
              </w:rPr>
              <w:t>62.5</w:t>
            </w:r>
          </w:p>
        </w:tc>
        <w:tc>
          <w:tcPr>
            <w:tcW w:w="1474" w:type="dxa"/>
          </w:tcPr>
          <w:p w14:paraId="45D9BF83">
            <w:r>
              <w:rPr>
                <w:sz w:val="17"/>
              </w:rPr>
              <w:t>7.16e+08</w:t>
            </w:r>
          </w:p>
        </w:tc>
        <w:tc>
          <w:tcPr>
            <w:tcW w:w="1361" w:type="dxa"/>
          </w:tcPr>
          <w:p w14:paraId="60E159F8">
            <w:r>
              <w:rPr>
                <w:sz w:val="17"/>
              </w:rPr>
              <w:t>1035</w:t>
            </w:r>
          </w:p>
        </w:tc>
        <w:tc>
          <w:tcPr>
            <w:tcW w:w="1361" w:type="dxa"/>
          </w:tcPr>
          <w:p w14:paraId="5DA7F463">
            <w:r>
              <w:rPr>
                <w:sz w:val="17"/>
              </w:rPr>
              <w:t>7.1e+08</w:t>
            </w:r>
          </w:p>
        </w:tc>
        <w:tc>
          <w:tcPr>
            <w:tcW w:w="1474" w:type="dxa"/>
          </w:tcPr>
          <w:p w14:paraId="2130F197">
            <w:r>
              <w:rPr>
                <w:sz w:val="17"/>
              </w:rPr>
              <w:t>194</w:t>
            </w:r>
          </w:p>
        </w:tc>
      </w:tr>
      <w:tr w14:paraId="5BED90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078D3424">
            <w:r>
              <w:rPr>
                <w:sz w:val="17"/>
              </w:rPr>
              <w:t>2025-11</w:t>
            </w:r>
          </w:p>
        </w:tc>
        <w:tc>
          <w:tcPr>
            <w:tcW w:w="1020" w:type="dxa"/>
          </w:tcPr>
          <w:p w14:paraId="4B7CAEF5">
            <w:r>
              <w:rPr>
                <w:sz w:val="17"/>
              </w:rPr>
              <w:t>2363</w:t>
            </w:r>
          </w:p>
        </w:tc>
        <w:tc>
          <w:tcPr>
            <w:tcW w:w="1134" w:type="dxa"/>
          </w:tcPr>
          <w:p w14:paraId="121371CC">
            <w:r>
              <w:rPr>
                <w:sz w:val="17"/>
              </w:rPr>
              <w:t>78.8</w:t>
            </w:r>
          </w:p>
        </w:tc>
        <w:tc>
          <w:tcPr>
            <w:tcW w:w="1474" w:type="dxa"/>
          </w:tcPr>
          <w:p w14:paraId="444D11BC">
            <w:r>
              <w:rPr>
                <w:sz w:val="17"/>
              </w:rPr>
              <w:t>4.24e+06</w:t>
            </w:r>
          </w:p>
        </w:tc>
        <w:tc>
          <w:tcPr>
            <w:tcW w:w="1361" w:type="dxa"/>
          </w:tcPr>
          <w:p w14:paraId="6B1DA679">
            <w:r>
              <w:rPr>
                <w:sz w:val="17"/>
              </w:rPr>
              <w:t>1174</w:t>
            </w:r>
          </w:p>
        </w:tc>
        <w:tc>
          <w:tcPr>
            <w:tcW w:w="1361" w:type="dxa"/>
          </w:tcPr>
          <w:p w14:paraId="01807389">
            <w:r>
              <w:rPr>
                <w:sz w:val="17"/>
              </w:rPr>
              <w:t>6.5e+03</w:t>
            </w:r>
          </w:p>
        </w:tc>
        <w:tc>
          <w:tcPr>
            <w:tcW w:w="1474" w:type="dxa"/>
          </w:tcPr>
          <w:p w14:paraId="002053B3">
            <w:r>
              <w:rPr>
                <w:sz w:val="17"/>
              </w:rPr>
              <w:t>195</w:t>
            </w:r>
          </w:p>
        </w:tc>
      </w:tr>
      <w:tr w14:paraId="66DF682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4F0AFF0D">
            <w:r>
              <w:rPr>
                <w:sz w:val="17"/>
              </w:rPr>
              <w:t>2025-12</w:t>
            </w:r>
          </w:p>
        </w:tc>
        <w:tc>
          <w:tcPr>
            <w:tcW w:w="1020" w:type="dxa"/>
          </w:tcPr>
          <w:p w14:paraId="77F76942">
            <w:r>
              <w:rPr>
                <w:sz w:val="17"/>
              </w:rPr>
              <w:t>475</w:t>
            </w:r>
          </w:p>
        </w:tc>
        <w:tc>
          <w:tcPr>
            <w:tcW w:w="1134" w:type="dxa"/>
          </w:tcPr>
          <w:p w14:paraId="2A5BC10B">
            <w:r>
              <w:rPr>
                <w:sz w:val="17"/>
              </w:rPr>
              <w:t>67.9</w:t>
            </w:r>
          </w:p>
        </w:tc>
        <w:tc>
          <w:tcPr>
            <w:tcW w:w="1474" w:type="dxa"/>
          </w:tcPr>
          <w:p w14:paraId="4E1AE72B">
            <w:r>
              <w:rPr>
                <w:sz w:val="17"/>
              </w:rPr>
              <w:t>3.70e+09</w:t>
            </w:r>
          </w:p>
        </w:tc>
        <w:tc>
          <w:tcPr>
            <w:tcW w:w="1361" w:type="dxa"/>
          </w:tcPr>
          <w:p w14:paraId="4B918826">
            <w:r>
              <w:rPr>
                <w:sz w:val="17"/>
              </w:rPr>
              <w:t>1394</w:t>
            </w:r>
          </w:p>
        </w:tc>
        <w:tc>
          <w:tcPr>
            <w:tcW w:w="1361" w:type="dxa"/>
          </w:tcPr>
          <w:p w14:paraId="6162CBEB">
            <w:r>
              <w:rPr>
                <w:sz w:val="17"/>
              </w:rPr>
              <w:t>3.7e+09</w:t>
            </w:r>
          </w:p>
        </w:tc>
        <w:tc>
          <w:tcPr>
            <w:tcW w:w="1474" w:type="dxa"/>
          </w:tcPr>
          <w:p w14:paraId="50788868">
            <w:r>
              <w:rPr>
                <w:sz w:val="17"/>
              </w:rPr>
              <w:t>199</w:t>
            </w:r>
          </w:p>
        </w:tc>
      </w:tr>
      <w:tr w14:paraId="78A13D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58A25452">
            <w:r>
              <w:rPr>
                <w:sz w:val="17"/>
              </w:rPr>
              <w:t>Total</w:t>
            </w:r>
          </w:p>
        </w:tc>
        <w:tc>
          <w:tcPr>
            <w:tcW w:w="1020" w:type="dxa"/>
          </w:tcPr>
          <w:p w14:paraId="3EE5D718">
            <w:r>
              <w:rPr>
                <w:sz w:val="17"/>
              </w:rPr>
              <w:t>6684</w:t>
            </w:r>
          </w:p>
        </w:tc>
        <w:tc>
          <w:tcPr>
            <w:tcW w:w="1134" w:type="dxa"/>
          </w:tcPr>
          <w:p w14:paraId="79548D8E">
            <w:r>
              <w:rPr>
                <w:sz w:val="17"/>
              </w:rPr>
              <w:t>-</w:t>
            </w:r>
          </w:p>
        </w:tc>
        <w:tc>
          <w:tcPr>
            <w:tcW w:w="1474" w:type="dxa"/>
          </w:tcPr>
          <w:p w14:paraId="15A7CA29">
            <w:r>
              <w:rPr>
                <w:sz w:val="17"/>
              </w:rPr>
              <w:t>4.42e+09</w:t>
            </w:r>
          </w:p>
        </w:tc>
        <w:tc>
          <w:tcPr>
            <w:tcW w:w="1361" w:type="dxa"/>
          </w:tcPr>
          <w:p w14:paraId="4099ABE5">
            <w:r>
              <w:rPr>
                <w:sz w:val="17"/>
              </w:rPr>
              <w:t>1149</w:t>
            </w:r>
          </w:p>
        </w:tc>
        <w:tc>
          <w:tcPr>
            <w:tcW w:w="1361" w:type="dxa"/>
          </w:tcPr>
          <w:p w14:paraId="1C24E88E">
            <w:r>
              <w:rPr>
                <w:sz w:val="17"/>
              </w:rPr>
              <w:t>3.7e+09</w:t>
            </w:r>
          </w:p>
        </w:tc>
        <w:tc>
          <w:tcPr>
            <w:tcW w:w="1474" w:type="dxa"/>
          </w:tcPr>
          <w:p w14:paraId="3635B05C">
            <w:r>
              <w:rPr>
                <w:sz w:val="17"/>
              </w:rPr>
              <w:t>194</w:t>
            </w:r>
          </w:p>
        </w:tc>
      </w:tr>
    </w:tbl>
    <w:p w14:paraId="772DD1B3"/>
    <w:p w14:paraId="3AF921E3">
      <w:pPr>
        <w:spacing w:after="200"/>
      </w:pPr>
      <w:r>
        <w:rPr>
          <w:b/>
          <w:sz w:val="18"/>
        </w:rPr>
        <w:t xml:space="preserve">Table S3. </w:t>
      </w:r>
      <w:r>
        <w:rPr>
          <w:sz w:val="18"/>
        </w:rPr>
        <w:t>Savitzky-Golay processing parameters (Section 3.3).</w:t>
      </w:r>
    </w:p>
    <w:tbl>
      <w:tblPr>
        <w:tblStyle w:val="32"/>
        <w:tblW w:w="0" w:type="auto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7"/>
        <w:gridCol w:w="3137"/>
        <w:gridCol w:w="3137"/>
      </w:tblGrid>
      <w:tr w14:paraId="03772EE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tcBorders>
              <w:bottom w:val="single" w:color="000000" w:sz="6" w:space="0"/>
            </w:tcBorders>
          </w:tcPr>
          <w:p w14:paraId="4399B587">
            <w:r>
              <w:rPr>
                <w:b/>
                <w:sz w:val="18"/>
              </w:rPr>
              <w:t>Processing step</w:t>
            </w:r>
          </w:p>
        </w:tc>
        <w:tc>
          <w:tcPr>
            <w:tcW w:w="2154" w:type="dxa"/>
            <w:tcBorders>
              <w:bottom w:val="single" w:color="000000" w:sz="6" w:space="0"/>
            </w:tcBorders>
          </w:tcPr>
          <w:p w14:paraId="27B3A8CA">
            <w:r>
              <w:rPr>
                <w:b/>
                <w:sz w:val="18"/>
              </w:rPr>
              <w:t>Parameter</w:t>
            </w:r>
          </w:p>
        </w:tc>
        <w:tc>
          <w:tcPr>
            <w:tcW w:w="3969" w:type="dxa"/>
            <w:tcBorders>
              <w:bottom w:val="single" w:color="000000" w:sz="6" w:space="0"/>
            </w:tcBorders>
          </w:tcPr>
          <w:p w14:paraId="275E4ED4">
            <w:r>
              <w:rPr>
                <w:b/>
                <w:sz w:val="18"/>
              </w:rPr>
              <w:t>Value</w:t>
            </w:r>
          </w:p>
        </w:tc>
      </w:tr>
      <w:tr w14:paraId="446319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7C22D19D">
            <w:r>
              <w:rPr>
                <w:sz w:val="17"/>
              </w:rPr>
              <w:t>Step 1: per-pixel time-series smoothing</w:t>
            </w:r>
          </w:p>
        </w:tc>
        <w:tc>
          <w:tcPr>
            <w:tcW w:w="2154" w:type="dxa"/>
          </w:tcPr>
          <w:p w14:paraId="427DED7A">
            <w:r>
              <w:rPr>
                <w:sz w:val="17"/>
              </w:rPr>
              <w:t>Window length</w:t>
            </w:r>
          </w:p>
        </w:tc>
        <w:tc>
          <w:tcPr>
            <w:tcW w:w="3969" w:type="dxa"/>
          </w:tcPr>
          <w:p w14:paraId="3CE62AFF">
            <w:r>
              <w:rPr>
                <w:sz w:val="17"/>
              </w:rPr>
              <w:t>5 samples (~60 d)</w:t>
            </w:r>
          </w:p>
        </w:tc>
      </w:tr>
      <w:tr w14:paraId="7F5921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5E2D475E"/>
        </w:tc>
        <w:tc>
          <w:tcPr>
            <w:tcW w:w="2154" w:type="dxa"/>
          </w:tcPr>
          <w:p w14:paraId="653982C7">
            <w:r>
              <w:rPr>
                <w:sz w:val="17"/>
              </w:rPr>
              <w:t>Polynomial order</w:t>
            </w:r>
          </w:p>
        </w:tc>
        <w:tc>
          <w:tcPr>
            <w:tcW w:w="3969" w:type="dxa"/>
          </w:tcPr>
          <w:p w14:paraId="45661F3A">
            <w:r>
              <w:rPr>
                <w:sz w:val="17"/>
              </w:rPr>
              <w:t>2</w:t>
            </w:r>
          </w:p>
        </w:tc>
      </w:tr>
      <w:tr w14:paraId="0BCF9D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18FB61FB"/>
        </w:tc>
        <w:tc>
          <w:tcPr>
            <w:tcW w:w="2154" w:type="dxa"/>
          </w:tcPr>
          <w:p w14:paraId="20F39422">
            <w:r>
              <w:rPr>
                <w:sz w:val="17"/>
              </w:rPr>
              <w:t>Applied to</w:t>
            </w:r>
          </w:p>
        </w:tc>
        <w:tc>
          <w:tcPr>
            <w:tcW w:w="3969" w:type="dxa"/>
          </w:tcPr>
          <w:p w14:paraId="4169B537">
            <w:r>
              <w:rPr>
                <w:sz w:val="17"/>
              </w:rPr>
              <w:t>Reference-corrected LOS series of every pixel (47 epochs)</w:t>
            </w:r>
          </w:p>
        </w:tc>
      </w:tr>
      <w:tr w14:paraId="6626CE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71040B4F">
            <w:r>
              <w:rPr>
                <w:sz w:val="17"/>
              </w:rPr>
              <w:t>Step 2: kinematic differentiation</w:t>
            </w:r>
          </w:p>
        </w:tc>
        <w:tc>
          <w:tcPr>
            <w:tcW w:w="2154" w:type="dxa"/>
          </w:tcPr>
          <w:p w14:paraId="613EE5D0">
            <w:r>
              <w:rPr>
                <w:sz w:val="17"/>
              </w:rPr>
              <w:t>Resampling</w:t>
            </w:r>
          </w:p>
        </w:tc>
        <w:tc>
          <w:tcPr>
            <w:tcW w:w="3969" w:type="dxa"/>
          </w:tcPr>
          <w:p w14:paraId="39D9A994">
            <w:r>
              <w:rPr>
                <w:sz w:val="17"/>
              </w:rPr>
              <w:t>Linear interpolation to a 1-d grid</w:t>
            </w:r>
          </w:p>
        </w:tc>
      </w:tr>
      <w:tr w14:paraId="3B12FC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121394AA"/>
        </w:tc>
        <w:tc>
          <w:tcPr>
            <w:tcW w:w="2154" w:type="dxa"/>
          </w:tcPr>
          <w:p w14:paraId="76FA0352">
            <w:r>
              <w:rPr>
                <w:sz w:val="17"/>
              </w:rPr>
              <w:t>Window length</w:t>
            </w:r>
          </w:p>
        </w:tc>
        <w:tc>
          <w:tcPr>
            <w:tcW w:w="3969" w:type="dxa"/>
          </w:tcPr>
          <w:p w14:paraId="4825959A">
            <w:r>
              <w:rPr>
                <w:sz w:val="17"/>
              </w:rPr>
              <w:t>31 d (see Fig. S9 for 7/15/31/45-d sensitivity)</w:t>
            </w:r>
          </w:p>
        </w:tc>
      </w:tr>
      <w:tr w14:paraId="7955BA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007ABAC2"/>
        </w:tc>
        <w:tc>
          <w:tcPr>
            <w:tcW w:w="2154" w:type="dxa"/>
          </w:tcPr>
          <w:p w14:paraId="13791257">
            <w:r>
              <w:rPr>
                <w:sz w:val="17"/>
              </w:rPr>
              <w:t>Polynomial order</w:t>
            </w:r>
          </w:p>
        </w:tc>
        <w:tc>
          <w:tcPr>
            <w:tcW w:w="3969" w:type="dxa"/>
          </w:tcPr>
          <w:p w14:paraId="0FF009EE">
            <w:r>
              <w:rPr>
                <w:sz w:val="17"/>
              </w:rPr>
              <w:t>2</w:t>
            </w:r>
          </w:p>
        </w:tc>
      </w:tr>
      <w:tr w14:paraId="57A5630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3DA63ACE"/>
        </w:tc>
        <w:tc>
          <w:tcPr>
            <w:tcW w:w="2154" w:type="dxa"/>
          </w:tcPr>
          <w:p w14:paraId="74730459">
            <w:r>
              <w:rPr>
                <w:sz w:val="17"/>
              </w:rPr>
              <w:t>Derivatives</w:t>
            </w:r>
          </w:p>
        </w:tc>
        <w:tc>
          <w:tcPr>
            <w:tcW w:w="3969" w:type="dxa"/>
          </w:tcPr>
          <w:p w14:paraId="5EB903AE">
            <w:r>
              <w:rPr>
                <w:sz w:val="17"/>
              </w:rPr>
              <w:t>deriv = 1 (velocity, m d⁻¹); deriv = 2 (acceleration, m d⁻²)</w:t>
            </w:r>
          </w:p>
        </w:tc>
      </w:tr>
      <w:tr w14:paraId="3F62932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20609BC5"/>
        </w:tc>
        <w:tc>
          <w:tcPr>
            <w:tcW w:w="2154" w:type="dxa"/>
          </w:tcPr>
          <w:p w14:paraId="73838501">
            <w:r>
              <w:rPr>
                <w:sz w:val="17"/>
              </w:rPr>
              <w:t>Output sampling</w:t>
            </w:r>
          </w:p>
        </w:tc>
        <w:tc>
          <w:tcPr>
            <w:tcW w:w="3969" w:type="dxa"/>
          </w:tcPr>
          <w:p w14:paraId="774D79C2">
            <w:r>
              <w:rPr>
                <w:sz w:val="17"/>
              </w:rPr>
              <w:t>Values extracted back at the 47 acquisition epochs</w:t>
            </w:r>
          </w:p>
        </w:tc>
      </w:tr>
    </w:tbl>
    <w:p w14:paraId="51B35900"/>
    <w:p w14:paraId="5383A85F">
      <w:pPr>
        <w:spacing w:after="200"/>
      </w:pPr>
      <w:r>
        <w:rPr>
          <w:b/>
          <w:sz w:val="18"/>
        </w:rPr>
        <w:t xml:space="preserve">Table S4. </w:t>
      </w:r>
      <w:r>
        <w:rPr>
          <w:sz w:val="18"/>
        </w:rPr>
        <w:t>Cross-correlation analysis parameters and results (Sections 3.5 and 4.3).</w:t>
      </w:r>
    </w:p>
    <w:tbl>
      <w:tblPr>
        <w:tblStyle w:val="32"/>
        <w:tblW w:w="0" w:type="auto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2A632AC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tcBorders>
              <w:bottom w:val="single" w:color="000000" w:sz="6" w:space="0"/>
            </w:tcBorders>
          </w:tcPr>
          <w:p w14:paraId="0AFC4408">
            <w:r>
              <w:rPr>
                <w:b/>
                <w:sz w:val="18"/>
              </w:rPr>
              <w:t>Item</w:t>
            </w:r>
          </w:p>
        </w:tc>
        <w:tc>
          <w:tcPr>
            <w:tcW w:w="6576" w:type="dxa"/>
            <w:tcBorders>
              <w:bottom w:val="single" w:color="000000" w:sz="6" w:space="0"/>
            </w:tcBorders>
          </w:tcPr>
          <w:p w14:paraId="559F8A1F">
            <w:r>
              <w:rPr>
                <w:b/>
                <w:sz w:val="18"/>
              </w:rPr>
              <w:t>Specification</w:t>
            </w:r>
          </w:p>
        </w:tc>
      </w:tr>
      <w:tr w14:paraId="2C84B7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33E9C85">
            <w:r>
              <w:rPr>
                <w:sz w:val="17"/>
              </w:rPr>
              <w:t>Analysis window</w:t>
            </w:r>
          </w:p>
        </w:tc>
        <w:tc>
          <w:tcPr>
            <w:tcW w:w="6576" w:type="dxa"/>
          </w:tcPr>
          <w:p w14:paraId="10E1213F">
            <w:r>
              <w:rPr>
                <w:sz w:val="17"/>
              </w:rPr>
              <w:t>2025-09-01 to 2025-12-07 (98 d, daily sampling)</w:t>
            </w:r>
          </w:p>
        </w:tc>
      </w:tr>
      <w:tr w14:paraId="30A009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F54712F">
            <w:r>
              <w:rPr>
                <w:sz w:val="17"/>
              </w:rPr>
              <w:t>Seismic series</w:t>
            </w:r>
          </w:p>
        </w:tc>
        <w:tc>
          <w:tcPr>
            <w:tcW w:w="6576" w:type="dxa"/>
          </w:tcPr>
          <w:p w14:paraId="5FCEF408">
            <w:r>
              <w:rPr>
                <w:sz w:val="17"/>
              </w:rPr>
              <w:t>Benioff strain log₁₀(Σ√E + 1), 14-d trailing window (7/14/21/28-d sensitivity in Fig. S10)</w:t>
            </w:r>
          </w:p>
        </w:tc>
      </w:tr>
      <w:tr w14:paraId="4C865D2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5B4C313">
            <w:r>
              <w:rPr>
                <w:sz w:val="17"/>
              </w:rPr>
              <w:t>Deformation series</w:t>
            </w:r>
          </w:p>
        </w:tc>
        <w:tc>
          <w:tcPr>
            <w:tcW w:w="6576" w:type="dxa"/>
          </w:tcPr>
          <w:p w14:paraId="60426EE5">
            <w:r>
              <w:rPr>
                <w:sz w:val="17"/>
              </w:rPr>
              <w:t>P95 of |LOS acceleration| within the panel outlines, interpolated to daily values (μm d⁻²)</w:t>
            </w:r>
          </w:p>
        </w:tc>
      </w:tr>
      <w:tr w14:paraId="4DADD2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478E10D">
            <w:r>
              <w:rPr>
                <w:sz w:val="17"/>
              </w:rPr>
              <w:t>Detrending</w:t>
            </w:r>
          </w:p>
        </w:tc>
        <w:tc>
          <w:tcPr>
            <w:tcW w:w="6576" w:type="dxa"/>
          </w:tcPr>
          <w:p w14:paraId="03426593">
            <w:r>
              <w:rPr>
                <w:sz w:val="17"/>
              </w:rPr>
              <w:t>First differences of both series</w:t>
            </w:r>
          </w:p>
        </w:tc>
      </w:tr>
      <w:tr w14:paraId="2C3DAC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AADF86F">
            <w:r>
              <w:rPr>
                <w:sz w:val="17"/>
              </w:rPr>
              <w:t>Lag range</w:t>
            </w:r>
          </w:p>
        </w:tc>
        <w:tc>
          <w:tcPr>
            <w:tcW w:w="6576" w:type="dxa"/>
          </w:tcPr>
          <w:p w14:paraId="7CAE7084">
            <w:r>
              <w:rPr>
                <w:sz w:val="17"/>
              </w:rPr>
              <w:t>-45 to +45 d (positive lag: seismicity leads deformation)</w:t>
            </w:r>
          </w:p>
        </w:tc>
      </w:tr>
      <w:tr w14:paraId="66C5A8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2861EAC4">
            <w:r>
              <w:rPr>
                <w:sz w:val="17"/>
              </w:rPr>
              <w:t>Significance</w:t>
            </w:r>
          </w:p>
        </w:tc>
        <w:tc>
          <w:tcPr>
            <w:tcW w:w="6576" w:type="dxa"/>
          </w:tcPr>
          <w:p w14:paraId="490D5A3F">
            <w:r>
              <w:rPr>
                <w:sz w:val="17"/>
              </w:rPr>
              <w:t>95% bounds: ±1.96/√(n − |lag|)</w:t>
            </w:r>
          </w:p>
        </w:tc>
      </w:tr>
      <w:tr w14:paraId="37CD84B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45B8000">
            <w:r>
              <w:rPr>
                <w:sz w:val="17"/>
              </w:rPr>
              <w:t>Result</w:t>
            </w:r>
          </w:p>
        </w:tc>
        <w:tc>
          <w:tcPr>
            <w:tcW w:w="6576" w:type="dxa"/>
          </w:tcPr>
          <w:p w14:paraId="5A998A1D">
            <w:r>
              <w:rPr>
                <w:sz w:val="17"/>
              </w:rPr>
              <w:t>Peak at +17 d, R = 0.47; identical peak lag for all four Benioff windows</w:t>
            </w:r>
          </w:p>
        </w:tc>
      </w:tr>
      <w:tr w14:paraId="13B8F3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37DED1A">
            <w:r>
              <w:rPr>
                <w:sz w:val="17"/>
              </w:rPr>
              <w:t>Raw-series association</w:t>
            </w:r>
          </w:p>
        </w:tc>
        <w:tc>
          <w:tcPr>
            <w:tcW w:w="6576" w:type="dxa"/>
          </w:tcPr>
          <w:p w14:paraId="664BD65A">
            <w:r>
              <w:rPr>
                <w:sz w:val="17"/>
              </w:rPr>
              <w:t>Pearson r = 0.39 (p = 5.8×10⁻⁵); Spearman ρ = 0.43</w:t>
            </w:r>
          </w:p>
        </w:tc>
      </w:tr>
    </w:tbl>
    <w:p w14:paraId="25F1FA31"/>
    <w:sectPr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3E7E7A"/>
    <w:rsid w:val="08A06650"/>
    <w:rsid w:val="237B1218"/>
    <w:rsid w:val="262270C4"/>
    <w:rsid w:val="2E9E448B"/>
    <w:rsid w:val="44CC3A1A"/>
    <w:rsid w:val="452E5B43"/>
    <w:rsid w:val="45727F0B"/>
    <w:rsid w:val="51795C17"/>
    <w:rsid w:val="64BF322F"/>
    <w:rsid w:val="6D3645CC"/>
    <w:rsid w:val="6EAE3942"/>
    <w:rsid w:val="76BE2525"/>
    <w:rsid w:val="7892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708</Words>
  <Characters>4070</Characters>
  <Lines>0</Lines>
  <Paragraphs>0</Paragraphs>
  <TotalTime>19</TotalTime>
  <ScaleCrop>false</ScaleCrop>
  <LinksUpToDate>false</LinksUpToDate>
  <CharactersWithSpaces>4763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arwen</cp:lastModifiedBy>
  <dcterms:modified xsi:type="dcterms:W3CDTF">2026-08-31T06:52:40Z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eyJoZGlkIjoiOThkZmU2MzMwZGIyZDRiYmJiNmVjY2Y2YzQ0MTNjOGIiLCJ1c2VySWQiOiIxMjc1Mjg1MDIwIn0=</vt:lpwstr>
  </property>
  <property fmtid="{D5CDD505-2E9C-101B-9397-08002B2CF9AE}" pid="3" name="KSOProductBuildVer">
    <vt:lpwstr>2052-12.1.0.28043</vt:lpwstr>
  </property>
  <property fmtid="{D5CDD505-2E9C-101B-9397-08002B2CF9AE}" pid="4" name="ICV">
    <vt:lpwstr>3757725BEAE947DD944B90BB7FF5743A_13</vt:lpwstr>
  </property>
</Properties>
</file>