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F445E" w14:textId="77777777" w:rsidR="008B1707" w:rsidRPr="003C6B61" w:rsidRDefault="008B1707" w:rsidP="008B1707">
      <w:pPr>
        <w:spacing w:line="360" w:lineRule="auto"/>
        <w:rPr>
          <w:rFonts w:ascii="Times New Roman" w:hAnsi="Times New Roman" w:cs="Times New Roman"/>
        </w:rPr>
      </w:pPr>
      <w:r w:rsidRPr="003C6B61">
        <w:rPr>
          <w:rFonts w:ascii="Times New Roman" w:hAnsi="Times New Roman" w:cs="Times New Roman"/>
          <w:b/>
          <w:bCs/>
        </w:rPr>
        <w:t>Table 2: Clinical Characteristics and Outcomes of 2,4-D Poisoning Cases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34"/>
        <w:gridCol w:w="994"/>
        <w:gridCol w:w="460"/>
        <w:gridCol w:w="420"/>
        <w:gridCol w:w="1100"/>
        <w:gridCol w:w="2477"/>
        <w:gridCol w:w="1256"/>
        <w:gridCol w:w="4627"/>
        <w:gridCol w:w="1061"/>
        <w:gridCol w:w="3880"/>
        <w:gridCol w:w="3541"/>
        <w:gridCol w:w="3267"/>
        <w:gridCol w:w="1007"/>
        <w:gridCol w:w="567"/>
        <w:gridCol w:w="1009"/>
      </w:tblGrid>
      <w:tr w:rsidR="008B1707" w:rsidRPr="003C6B61" w14:paraId="458375F1" w14:textId="77777777" w:rsidTr="0015630B">
        <w:trPr>
          <w:tblHeader/>
          <w:tblCellSpacing w:w="15" w:type="dxa"/>
        </w:trPr>
        <w:tc>
          <w:tcPr>
            <w:tcW w:w="0" w:type="auto"/>
            <w:vAlign w:val="center"/>
            <w:hideMark/>
          </w:tcPr>
          <w:p w14:paraId="1A3E99CD"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Study (Year)</w:t>
            </w:r>
          </w:p>
        </w:tc>
        <w:tc>
          <w:tcPr>
            <w:tcW w:w="0" w:type="auto"/>
            <w:vAlign w:val="center"/>
            <w:hideMark/>
          </w:tcPr>
          <w:p w14:paraId="6E9F042B"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Country</w:t>
            </w:r>
          </w:p>
        </w:tc>
        <w:tc>
          <w:tcPr>
            <w:tcW w:w="0" w:type="auto"/>
            <w:vAlign w:val="center"/>
            <w:hideMark/>
          </w:tcPr>
          <w:p w14:paraId="656FD663"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Age</w:t>
            </w:r>
          </w:p>
        </w:tc>
        <w:tc>
          <w:tcPr>
            <w:tcW w:w="0" w:type="auto"/>
            <w:vAlign w:val="center"/>
            <w:hideMark/>
          </w:tcPr>
          <w:p w14:paraId="0E807C0B"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Sex</w:t>
            </w:r>
          </w:p>
        </w:tc>
        <w:tc>
          <w:tcPr>
            <w:tcW w:w="0" w:type="auto"/>
            <w:vAlign w:val="center"/>
            <w:hideMark/>
          </w:tcPr>
          <w:p w14:paraId="722370EF"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Intent</w:t>
            </w:r>
          </w:p>
        </w:tc>
        <w:tc>
          <w:tcPr>
            <w:tcW w:w="0" w:type="auto"/>
            <w:vAlign w:val="center"/>
            <w:hideMark/>
          </w:tcPr>
          <w:p w14:paraId="54B070D7"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Formulation</w:t>
            </w:r>
          </w:p>
        </w:tc>
        <w:tc>
          <w:tcPr>
            <w:tcW w:w="0" w:type="auto"/>
            <w:vAlign w:val="center"/>
            <w:hideMark/>
          </w:tcPr>
          <w:p w14:paraId="0FE5D73A"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Dose</w:t>
            </w:r>
          </w:p>
        </w:tc>
        <w:tc>
          <w:tcPr>
            <w:tcW w:w="0" w:type="auto"/>
            <w:vAlign w:val="center"/>
            <w:hideMark/>
          </w:tcPr>
          <w:p w14:paraId="7F7E8DDB"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Initial Presentation</w:t>
            </w:r>
          </w:p>
        </w:tc>
        <w:tc>
          <w:tcPr>
            <w:tcW w:w="0" w:type="auto"/>
            <w:vAlign w:val="center"/>
            <w:hideMark/>
          </w:tcPr>
          <w:p w14:paraId="3514F6D5"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GCS</w:t>
            </w:r>
          </w:p>
        </w:tc>
        <w:tc>
          <w:tcPr>
            <w:tcW w:w="0" w:type="auto"/>
            <w:vAlign w:val="center"/>
            <w:hideMark/>
          </w:tcPr>
          <w:p w14:paraId="004E0EFE"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Complications</w:t>
            </w:r>
          </w:p>
        </w:tc>
        <w:tc>
          <w:tcPr>
            <w:tcW w:w="0" w:type="auto"/>
            <w:vAlign w:val="center"/>
            <w:hideMark/>
          </w:tcPr>
          <w:p w14:paraId="4DA1CFEF"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Management</w:t>
            </w:r>
          </w:p>
        </w:tc>
        <w:tc>
          <w:tcPr>
            <w:tcW w:w="0" w:type="auto"/>
            <w:vAlign w:val="center"/>
            <w:hideMark/>
          </w:tcPr>
          <w:p w14:paraId="53B2DD5D"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Alkalinization / Adjuncts</w:t>
            </w:r>
          </w:p>
        </w:tc>
        <w:tc>
          <w:tcPr>
            <w:tcW w:w="0" w:type="auto"/>
            <w:vAlign w:val="center"/>
            <w:hideMark/>
          </w:tcPr>
          <w:p w14:paraId="0FE32356"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Urine pH</w:t>
            </w:r>
          </w:p>
        </w:tc>
        <w:tc>
          <w:tcPr>
            <w:tcW w:w="0" w:type="auto"/>
            <w:vAlign w:val="center"/>
            <w:hideMark/>
          </w:tcPr>
          <w:p w14:paraId="17CF58F6"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RRT</w:t>
            </w:r>
          </w:p>
        </w:tc>
        <w:tc>
          <w:tcPr>
            <w:tcW w:w="0" w:type="auto"/>
            <w:vAlign w:val="center"/>
            <w:hideMark/>
          </w:tcPr>
          <w:p w14:paraId="08948A1F" w14:textId="77777777" w:rsidR="008B1707" w:rsidRPr="003C6B61" w:rsidRDefault="008B1707" w:rsidP="0015630B">
            <w:pPr>
              <w:spacing w:after="0" w:line="360" w:lineRule="auto"/>
              <w:jc w:val="center"/>
              <w:rPr>
                <w:rFonts w:ascii="Times New Roman" w:eastAsia="Times New Roman" w:hAnsi="Times New Roman" w:cs="Times New Roman"/>
                <w:b/>
                <w:bCs/>
                <w:kern w:val="0"/>
                <w14:ligatures w14:val="none"/>
              </w:rPr>
            </w:pPr>
            <w:r w:rsidRPr="003C6B61">
              <w:rPr>
                <w:rFonts w:ascii="Times New Roman" w:eastAsia="Times New Roman" w:hAnsi="Times New Roman" w:cs="Times New Roman"/>
                <w:b/>
                <w:bCs/>
                <w:kern w:val="0"/>
                <w14:ligatures w14:val="none"/>
              </w:rPr>
              <w:t>Outcome</w:t>
            </w:r>
          </w:p>
        </w:tc>
      </w:tr>
      <w:tr w:rsidR="008B1707" w:rsidRPr="003C6B61" w14:paraId="30C10C97" w14:textId="77777777" w:rsidTr="0015630B">
        <w:trPr>
          <w:tblCellSpacing w:w="15" w:type="dxa"/>
        </w:trPr>
        <w:tc>
          <w:tcPr>
            <w:tcW w:w="0" w:type="auto"/>
            <w:hideMark/>
          </w:tcPr>
          <w:p w14:paraId="5F507E9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Badu AB (2022)</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{"citationID":"ffT7vhaH","properties":{"formattedCitation":"(15)","plainCitation":"(15)","noteIndex":0},"citationItems":[{"id":159,"uris":["http://zotero.org/users/12854872/items/JYNZS6F6"],"itemData":{"id":159,"type":"article-journal","abstract":"Acute intoxication with 2,4-D dimethylamine is rare, often fatal and can cause signs and symptoms in different organ systems. This case report describes the effectiveness of alkaline diuresis as a life-saving treatment for chlorophenoxy intoxication, especially in healthcare facilities without access to haemodialysis. A patient had attempted suicide by ingesting 2,4-D dimethylamine, with toxic effects on the central and peripheral nervous systems, and the gastrointestinal and respiratory systems. However, she significantly improved after alkaline diuresis, accompanied by resuscitation, decontamination of the gastrointestinal system, and supportive therapies.","container-title":"European Journal of Case Reports in Internal Medicine","DOI":"10.12890/2022_003126","ISSN":"2284-2594","issue":"1","language":"en","license":"Copyright (c) 2022 European Federation of Internal Medicine (EFIM)","source":"www.ejcrim.com","title":"Alkaline Diuresis as Treatment for 2,4-D Dimethylamine Herbicide Intoxication","URL":"https://www.ejcrim.com/index.php/EJCRIM/article/view/3126","volume":"9","author":[{"family":"Badu","given":"Apolonia Berenika"},{"family":"Cempakadewi","given":"Ade Ajeng"},{"family":"Budihardja","given":"Brigitta Marcia"},{"family":"Ake","given":"Anselmus"}],"accessed":{"date-parts":[["2025",8,24]]},"issued":{"date-parts":[["2022",1,19]]}}}],"schema":"https://github.com/citation-style-language/schema/raw/master/csl-citation.json"}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(15)</w:t>
            </w:r>
            <w:r w:rsidRPr="003C6B61">
              <w:rPr>
                <w:rFonts w:ascii="Times New Roman" w:hAnsi="Times New Roman" w:cs="Times New Roman"/>
              </w:rPr>
              <w:fldChar w:fldCharType="end"/>
            </w:r>
          </w:p>
        </w:tc>
        <w:tc>
          <w:tcPr>
            <w:tcW w:w="0" w:type="auto"/>
            <w:vAlign w:val="center"/>
            <w:hideMark/>
          </w:tcPr>
          <w:p w14:paraId="2E15FB4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Indonesia</w:t>
            </w:r>
          </w:p>
        </w:tc>
        <w:tc>
          <w:tcPr>
            <w:tcW w:w="0" w:type="auto"/>
            <w:vAlign w:val="center"/>
            <w:hideMark/>
          </w:tcPr>
          <w:p w14:paraId="1C553C5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19</w:t>
            </w:r>
          </w:p>
        </w:tc>
        <w:tc>
          <w:tcPr>
            <w:tcW w:w="0" w:type="auto"/>
            <w:vAlign w:val="center"/>
            <w:hideMark/>
          </w:tcPr>
          <w:p w14:paraId="0CF7B66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w:t>
            </w:r>
          </w:p>
        </w:tc>
        <w:tc>
          <w:tcPr>
            <w:tcW w:w="0" w:type="auto"/>
            <w:vAlign w:val="center"/>
            <w:hideMark/>
          </w:tcPr>
          <w:p w14:paraId="161CA7F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64648AD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Dimethylamine (825 g/L)</w:t>
            </w:r>
          </w:p>
        </w:tc>
        <w:tc>
          <w:tcPr>
            <w:tcW w:w="0" w:type="auto"/>
            <w:vAlign w:val="center"/>
            <w:hideMark/>
          </w:tcPr>
          <w:p w14:paraId="002E56D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65 mL</w:t>
            </w:r>
          </w:p>
        </w:tc>
        <w:tc>
          <w:tcPr>
            <w:tcW w:w="0" w:type="auto"/>
            <w:vAlign w:val="center"/>
            <w:hideMark/>
          </w:tcPr>
          <w:p w14:paraId="0CC5FA3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100/70; HR 105; resp alkalosis; ↑AST/ALT</w:t>
            </w:r>
          </w:p>
        </w:tc>
        <w:tc>
          <w:tcPr>
            <w:tcW w:w="0" w:type="auto"/>
            <w:vAlign w:val="center"/>
            <w:hideMark/>
          </w:tcPr>
          <w:p w14:paraId="221D5C8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5B73D75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Septic shock; GI bleed</w:t>
            </w:r>
          </w:p>
        </w:tc>
        <w:tc>
          <w:tcPr>
            <w:tcW w:w="0" w:type="auto"/>
            <w:vAlign w:val="center"/>
            <w:hideMark/>
          </w:tcPr>
          <w:p w14:paraId="0618FE90" w14:textId="77777777" w:rsidR="008B1707" w:rsidRPr="008B1707" w:rsidRDefault="008B1707" w:rsidP="0015630B">
            <w:pPr>
              <w:spacing w:after="0" w:line="360" w:lineRule="auto"/>
              <w:rPr>
                <w:rFonts w:ascii="Times New Roman" w:eastAsia="Times New Roman" w:hAnsi="Times New Roman" w:cs="Times New Roman"/>
                <w:kern w:val="0"/>
                <w:lang w:val="pt-PT"/>
                <w14:ligatures w14:val="none"/>
              </w:rPr>
            </w:pPr>
            <w:r w:rsidRPr="008B1707">
              <w:rPr>
                <w:rFonts w:ascii="Times New Roman" w:eastAsia="Times New Roman" w:hAnsi="Times New Roman" w:cs="Times New Roman"/>
                <w:kern w:val="0"/>
                <w:lang w:val="pt-PT"/>
                <w14:ligatures w14:val="none"/>
              </w:rPr>
              <w:t>GL; IV NS; cefotaxime; omeprazole</w:t>
            </w:r>
          </w:p>
        </w:tc>
        <w:tc>
          <w:tcPr>
            <w:tcW w:w="0" w:type="auto"/>
            <w:vAlign w:val="center"/>
            <w:hideMark/>
          </w:tcPr>
          <w:p w14:paraId="07EA7CE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 + furosemide</w:t>
            </w:r>
          </w:p>
        </w:tc>
        <w:tc>
          <w:tcPr>
            <w:tcW w:w="0" w:type="auto"/>
            <w:vAlign w:val="center"/>
            <w:hideMark/>
          </w:tcPr>
          <w:p w14:paraId="49C78D2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077EF11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2BF352E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368453FE" w14:textId="77777777" w:rsidTr="0015630B">
        <w:trPr>
          <w:tblCellSpacing w:w="15" w:type="dxa"/>
        </w:trPr>
        <w:tc>
          <w:tcPr>
            <w:tcW w:w="0" w:type="auto"/>
            <w:hideMark/>
          </w:tcPr>
          <w:p w14:paraId="790CC30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Tiwari A (2017)</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{"citationID":"i7PZDUsU","properties":{"formattedCitation":"(16)","plainCitation":"(16)","noteIndex":0},"citationItems":[{"id":1602,"uris":["http://zotero.org/users/12854872/items/9B98HNGG"],"itemData":{"id":1602,"type":"article-journal","abstract":"2,4-Dichlorophenoxyacetic acid (usually called 2,4-D) is a widely used systemic herbicide. Ingestion of 2,4 D (Ethyl Ester) is rarely reported. Ingestion of this substance leads to neurotoxicity, cardiotoxicity, hematotoxicity and nephrotoxicity. Previously reported cases describe toxicities of this agent with very high fatality, only 2 survived case reports are available. In our case the substance was identified readily and treatment started within hours of ingestion with prompt gastric lavage and forced alkaline diuresis. At the time of admission patient had already lost consciousness (i.e. neurotoxicity), patient had developed muscle fibrillations and fasciculations (i.e. myotoxicity) and during the hospital stay he got acute kidney injury (i.e. nephrotoxicity) but all toxicities recovered with treatment. Previously reported fatal cases had late identification of substance and only symptomatic supportive treatment was given whereas we used aggressive approach with forced diuresis and haemodialysis. We are reporting third survived case of 2,4-D (Ethyl Ester) poisoning and emphasizing key points in the management, early identification of substance, early institution of forced alkaline diuresis and use of renal function tests as prognostic marker with timely hemodialysis.","container-title":"International Journal of Research in Medical Sciences","DOI":"10.18203/2320-6012.ijrms20174616","ISSN":"2320-6012","issue":"10","language":"en","page":"4652-4654","source":"www.msjonline.org","title":"Case report- a rare survival of 2,4-D (ethyl ester) ingestions","volume":"5","author":[{"family":"Tiwari","given":"Arun"},{"family":"Singh","given":"V. B."},{"family":"Kumar","given":"Deepak"},{"family":"Meena","given":"B. L."}],"issued":{"date-parts":[["2017",9,28]]}}}],"schema":"https://github.com/citation-style-language/schema/raw/master/csl-citation.json"}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(16)</w:t>
            </w:r>
            <w:r w:rsidRPr="003C6B61">
              <w:rPr>
                <w:rFonts w:ascii="Times New Roman" w:hAnsi="Times New Roman" w:cs="Times New Roman"/>
              </w:rPr>
              <w:fldChar w:fldCharType="end"/>
            </w:r>
          </w:p>
        </w:tc>
        <w:tc>
          <w:tcPr>
            <w:tcW w:w="0" w:type="auto"/>
            <w:vAlign w:val="center"/>
            <w:hideMark/>
          </w:tcPr>
          <w:p w14:paraId="79A41E3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2828294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40</w:t>
            </w:r>
          </w:p>
        </w:tc>
        <w:tc>
          <w:tcPr>
            <w:tcW w:w="0" w:type="auto"/>
            <w:vAlign w:val="center"/>
            <w:hideMark/>
          </w:tcPr>
          <w:p w14:paraId="27C4680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34D7A93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5083603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Ethyl ester (Veerkill)</w:t>
            </w:r>
          </w:p>
        </w:tc>
        <w:tc>
          <w:tcPr>
            <w:tcW w:w="0" w:type="auto"/>
            <w:vAlign w:val="center"/>
            <w:hideMark/>
          </w:tcPr>
          <w:p w14:paraId="5B0E475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4DD4958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100/70; HR 136; Cr 0.9</w:t>
            </w:r>
          </w:p>
        </w:tc>
        <w:tc>
          <w:tcPr>
            <w:tcW w:w="0" w:type="auto"/>
            <w:vAlign w:val="center"/>
            <w:hideMark/>
          </w:tcPr>
          <w:p w14:paraId="6F790E3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1224553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Fasciculation; AKI</w:t>
            </w:r>
          </w:p>
        </w:tc>
        <w:tc>
          <w:tcPr>
            <w:tcW w:w="0" w:type="auto"/>
            <w:vAlign w:val="center"/>
            <w:hideMark/>
          </w:tcPr>
          <w:p w14:paraId="16E4E53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IV fluids; K⁺ correction</w:t>
            </w:r>
          </w:p>
        </w:tc>
        <w:tc>
          <w:tcPr>
            <w:tcW w:w="0" w:type="auto"/>
            <w:vAlign w:val="center"/>
            <w:hideMark/>
          </w:tcPr>
          <w:p w14:paraId="663AFD9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002099E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7DBCDDE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519AB0F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3A88A056" w14:textId="77777777" w:rsidTr="0015630B">
        <w:trPr>
          <w:tblCellSpacing w:w="15" w:type="dxa"/>
        </w:trPr>
        <w:tc>
          <w:tcPr>
            <w:tcW w:w="0" w:type="auto"/>
            <w:hideMark/>
          </w:tcPr>
          <w:p w14:paraId="0D9703B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Friesen EG (1990)</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{"citationID":"xZFNPhga","properties":{"formattedCitation":"(17)","plainCitation":"(17)","noteIndex":0},"citationItems":[{"id":1605,"uris":["http://zotero.org/users/12854872/items/FNYREK3G"],"itemData":{"id":1605,"type":"article-journal","container-title":"Drug Safety","DOI":"10.2165/00002018-199005020-00006","ISSN":"0114-5916","issue":"2","journalAbbreviation":"Drug Safety","language":"en","page":"155-159","source":"DOI.org (Crossref)","title":"Clinical Presentation and Management of Acute 2,4-D Oral Ingestion:","title-short":"Clinical Presentation and Management of Acute 2,4-D Oral Ingestion","volume":"5","author":[{"family":"Friesen","given":"Erwin G."},{"family":"Jones","given":"Graham R."},{"family":"Vaughan","given":"Diane"}],"issued":{"date-parts":[["1990"]]}}}],"schema":"https://github.com/citation-style-language/schema/raw/master/csl-citation.json"}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(17)</w:t>
            </w:r>
            <w:r w:rsidRPr="003C6B61">
              <w:rPr>
                <w:rFonts w:ascii="Times New Roman" w:hAnsi="Times New Roman" w:cs="Times New Roman"/>
              </w:rPr>
              <w:fldChar w:fldCharType="end"/>
            </w:r>
          </w:p>
        </w:tc>
        <w:tc>
          <w:tcPr>
            <w:tcW w:w="0" w:type="auto"/>
            <w:vAlign w:val="center"/>
            <w:hideMark/>
          </w:tcPr>
          <w:p w14:paraId="7575CE5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Canada</w:t>
            </w:r>
          </w:p>
        </w:tc>
        <w:tc>
          <w:tcPr>
            <w:tcW w:w="0" w:type="auto"/>
            <w:vAlign w:val="center"/>
            <w:hideMark/>
          </w:tcPr>
          <w:p w14:paraId="437A5B3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61</w:t>
            </w:r>
          </w:p>
        </w:tc>
        <w:tc>
          <w:tcPr>
            <w:tcW w:w="0" w:type="auto"/>
            <w:vAlign w:val="center"/>
            <w:hideMark/>
          </w:tcPr>
          <w:p w14:paraId="480A250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w:t>
            </w:r>
          </w:p>
        </w:tc>
        <w:tc>
          <w:tcPr>
            <w:tcW w:w="0" w:type="auto"/>
            <w:vAlign w:val="center"/>
            <w:hideMark/>
          </w:tcPr>
          <w:p w14:paraId="483B1B1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1E8A246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Amine salt (250 g/L)</w:t>
            </w:r>
          </w:p>
        </w:tc>
        <w:tc>
          <w:tcPr>
            <w:tcW w:w="0" w:type="auto"/>
            <w:vAlign w:val="center"/>
            <w:hideMark/>
          </w:tcPr>
          <w:p w14:paraId="34A288D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150–200 mL</w:t>
            </w:r>
          </w:p>
        </w:tc>
        <w:tc>
          <w:tcPr>
            <w:tcW w:w="0" w:type="auto"/>
            <w:vAlign w:val="center"/>
            <w:hideMark/>
          </w:tcPr>
          <w:p w14:paraId="5A684D4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90/50; RR 4; 2,4-D 392 mg/L; CK 24092</w:t>
            </w:r>
          </w:p>
        </w:tc>
        <w:tc>
          <w:tcPr>
            <w:tcW w:w="0" w:type="auto"/>
            <w:vAlign w:val="center"/>
            <w:hideMark/>
          </w:tcPr>
          <w:p w14:paraId="6E69D7A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6D836F0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Miosis; bradypnea</w:t>
            </w:r>
          </w:p>
        </w:tc>
        <w:tc>
          <w:tcPr>
            <w:tcW w:w="0" w:type="auto"/>
            <w:vAlign w:val="center"/>
            <w:hideMark/>
          </w:tcPr>
          <w:p w14:paraId="6647F48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charcoal; intubation; LR</w:t>
            </w:r>
          </w:p>
        </w:tc>
        <w:tc>
          <w:tcPr>
            <w:tcW w:w="0" w:type="auto"/>
            <w:vAlign w:val="center"/>
            <w:hideMark/>
          </w:tcPr>
          <w:p w14:paraId="717DB34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 + mannitol</w:t>
            </w:r>
          </w:p>
        </w:tc>
        <w:tc>
          <w:tcPr>
            <w:tcW w:w="0" w:type="auto"/>
            <w:vAlign w:val="center"/>
            <w:hideMark/>
          </w:tcPr>
          <w:p w14:paraId="7E54179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7B18EEE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06926DB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60359C1A" w14:textId="77777777" w:rsidTr="0015630B">
        <w:trPr>
          <w:tblCellSpacing w:w="15" w:type="dxa"/>
        </w:trPr>
        <w:tc>
          <w:tcPr>
            <w:tcW w:w="0" w:type="auto"/>
            <w:hideMark/>
          </w:tcPr>
          <w:p w14:paraId="267BD15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Keller T (1994)</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{"citationID":"v4fKTeNe","properties":{"formattedCitation":"(18)","plainCitation":"(18)","noteIndex":0},"citationItems":[{"id":1606,"uris":["http://zotero.org/users/12854872/items/W6PHWXCW"],"itemData":{"id":1606,"type":"article-journal","container-title":"Forensic Science International","DOI":"10.1016/0379-0738(94)90295-X","ISSN":"03790738","issue":"1","journalAbbreviation":"Forensic Science International","language":"en","license":"https://www.elsevier.com/tdm/userlicense/1.0/","page":"13-18","source":"DOI.org (Crossref)","title":"Fatal overdose of 2,4-dichlorophenoxyacetic acid (2,4-D)","volume":"65","author":[{"family":"Keller","given":"Thomas"},{"family":"Skopp","given":"Gisela"},{"family":"Wu","given":"Moutian"},{"family":"Aderjan","given":"Rolf"}],"issued":{"date-parts":[["1994",3]]}}}],"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(18)</w:t>
            </w:r>
            <w:r w:rsidRPr="003C6B61">
              <w:rPr>
                <w:rFonts w:ascii="Times New Roman" w:hAnsi="Times New Roman" w:cs="Times New Roman"/>
              </w:rPr>
              <w:fldChar w:fldCharType="end"/>
            </w:r>
          </w:p>
        </w:tc>
        <w:tc>
          <w:tcPr>
            <w:tcW w:w="0" w:type="auto"/>
            <w:vAlign w:val="center"/>
            <w:hideMark/>
          </w:tcPr>
          <w:p w14:paraId="7719F49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Germany</w:t>
            </w:r>
          </w:p>
        </w:tc>
        <w:tc>
          <w:tcPr>
            <w:tcW w:w="0" w:type="auto"/>
            <w:vAlign w:val="center"/>
            <w:hideMark/>
          </w:tcPr>
          <w:p w14:paraId="39C9B28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49</w:t>
            </w:r>
          </w:p>
        </w:tc>
        <w:tc>
          <w:tcPr>
            <w:tcW w:w="0" w:type="auto"/>
            <w:vAlign w:val="center"/>
            <w:hideMark/>
          </w:tcPr>
          <w:p w14:paraId="09D2C52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75E32AE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26F2052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U-46 D-Fluid (500 g/L)</w:t>
            </w:r>
          </w:p>
        </w:tc>
        <w:tc>
          <w:tcPr>
            <w:tcW w:w="0" w:type="auto"/>
            <w:vAlign w:val="center"/>
            <w:hideMark/>
          </w:tcPr>
          <w:p w14:paraId="2DBBD71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1A389E1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Hypotension; HR 110; 2,4-D 389 mg/L</w:t>
            </w:r>
          </w:p>
        </w:tc>
        <w:tc>
          <w:tcPr>
            <w:tcW w:w="0" w:type="auto"/>
            <w:vAlign w:val="center"/>
            <w:hideMark/>
          </w:tcPr>
          <w:p w14:paraId="0915024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0604A97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GI hemorrhage; AKI; MOF</w:t>
            </w:r>
          </w:p>
        </w:tc>
        <w:tc>
          <w:tcPr>
            <w:tcW w:w="0" w:type="auto"/>
            <w:vAlign w:val="center"/>
            <w:hideMark/>
          </w:tcPr>
          <w:p w14:paraId="7BE728D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charcoal; dobutamine; dopamine</w:t>
            </w:r>
          </w:p>
        </w:tc>
        <w:tc>
          <w:tcPr>
            <w:tcW w:w="0" w:type="auto"/>
            <w:vAlign w:val="center"/>
            <w:hideMark/>
          </w:tcPr>
          <w:p w14:paraId="6E172A7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09C5911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7B5CFD0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3964845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r w:rsidR="008B1707" w:rsidRPr="003C6B61" w14:paraId="286C9ADF" w14:textId="77777777" w:rsidTr="0015630B">
        <w:trPr>
          <w:tblCellSpacing w:w="15" w:type="dxa"/>
        </w:trPr>
        <w:tc>
          <w:tcPr>
            <w:tcW w:w="0" w:type="auto"/>
            <w:hideMark/>
          </w:tcPr>
          <w:p w14:paraId="03B2688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Kumar A (2025)</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{"citationID":"2RoyuQTs","properties":{"formattedCitation":"(19)","plainCitation":"(19)","noteIndex":0},"citationItems":[{"id":1607,"uris":["http://zotero.org/users/12854872/items/7GVLF945"],"itemData":{"id":1607,"type":"article-journal","abstract":"We present a case of a 20-year-old male who ingested 19 gm of 2,4-dichlorophenoxyacetic acid (2,4-D), a highly toxic herbicide, and was misdiagnosed as organophosphorus poisoning. He was managed with atropinisation in an outside hospital before being referred to our Emergency Department. Early identification of the correct compound and initiation of forced alkaline diuresis helped our patient survive despite consuming three times the lethal dose. This case highlights the importance of confirming the compound in agricultural poisonings and the effectiveness of forced alkaline diuresis in 2,4-D poisoning.","container-title":"National Journal of Emergency Medicine SEMI","DOI":"10.5005/njem-11015-0058","ISSN":"3107-5959","issue":"1","language":"en","license":"Copyright © 2025; The Author(s).","page":"27-28","publisher":"jaypee","source":"www.njem.org.in","title":"Forced Alkaline Diuresis: The Unsung Hero in the Management of 2,4-D Acid Herbicide Poisoning","title-short":"Forced Alkaline Diuresis","volume":"3","author":[{"family":"Kailash","given":""},{"family":"Bhavya","given":""},{"family":"Chali","given":"Adeeb Shan Pykatu"},{"family":"Narayanappa","given":"Sumithra"},{"family":"Chouhan","given":"Rahul"},{"family":"Rodha","given":"Mahaveer Singh"},{"family":"Rohila","given":"Amit Kumar"},{"family":"Peter","given":"Jiss V."}],"issued":{"date-parts":[["2025",4,18]]}}}],"schema":"https://github.com/citation-style-language/schema/raw/master/csl-citation.json"}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(19)</w:t>
            </w:r>
            <w:r w:rsidRPr="003C6B61">
              <w:rPr>
                <w:rFonts w:ascii="Times New Roman" w:hAnsi="Times New Roman" w:cs="Times New Roman"/>
              </w:rPr>
              <w:fldChar w:fldCharType="end"/>
            </w:r>
          </w:p>
        </w:tc>
        <w:tc>
          <w:tcPr>
            <w:tcW w:w="0" w:type="auto"/>
            <w:vAlign w:val="center"/>
            <w:hideMark/>
          </w:tcPr>
          <w:p w14:paraId="6E6045F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7E69603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20</w:t>
            </w:r>
          </w:p>
        </w:tc>
        <w:tc>
          <w:tcPr>
            <w:tcW w:w="0" w:type="auto"/>
            <w:vAlign w:val="center"/>
            <w:hideMark/>
          </w:tcPr>
          <w:p w14:paraId="2B9DC48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5E8923B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4E2C17E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2,4-D acid (34%)</w:t>
            </w:r>
          </w:p>
        </w:tc>
        <w:tc>
          <w:tcPr>
            <w:tcW w:w="0" w:type="auto"/>
            <w:vAlign w:val="center"/>
            <w:hideMark/>
          </w:tcPr>
          <w:p w14:paraId="0C9E768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19 g</w:t>
            </w:r>
          </w:p>
        </w:tc>
        <w:tc>
          <w:tcPr>
            <w:tcW w:w="0" w:type="auto"/>
            <w:vAlign w:val="center"/>
            <w:hideMark/>
          </w:tcPr>
          <w:p w14:paraId="3636D37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120/70; HR 120; CK 775; metabolic acidosis</w:t>
            </w:r>
          </w:p>
        </w:tc>
        <w:tc>
          <w:tcPr>
            <w:tcW w:w="0" w:type="auto"/>
            <w:vAlign w:val="center"/>
            <w:hideMark/>
          </w:tcPr>
          <w:p w14:paraId="705A762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5974C4A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Oral erosions; hypertonia</w:t>
            </w:r>
          </w:p>
        </w:tc>
        <w:tc>
          <w:tcPr>
            <w:tcW w:w="0" w:type="auto"/>
            <w:vAlign w:val="center"/>
            <w:hideMark/>
          </w:tcPr>
          <w:p w14:paraId="6FA879D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intubation; IV crystalloids</w:t>
            </w:r>
          </w:p>
        </w:tc>
        <w:tc>
          <w:tcPr>
            <w:tcW w:w="0" w:type="auto"/>
            <w:vAlign w:val="center"/>
            <w:hideMark/>
          </w:tcPr>
          <w:p w14:paraId="2D579BD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1501E2C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04654F6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3DA2C50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7E809E8F" w14:textId="77777777" w:rsidTr="0015630B">
        <w:trPr>
          <w:tblCellSpacing w:w="15" w:type="dxa"/>
        </w:trPr>
        <w:tc>
          <w:tcPr>
            <w:tcW w:w="0" w:type="auto"/>
            <w:hideMark/>
          </w:tcPr>
          <w:p w14:paraId="697E18E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Demissie Z (2022)</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vaDT3JMU","properties":{"formattedCitation":"(20)","plainCitation":"(20)","noteIndex":0},"citationItems":[{"id":61,"uris":["http://zotero.org/users/12854872/items/YKFDEUJ8","http://zotero.org/users/12854872/items/SYZ8MRBD"],"itemData":{"id":61,"type":"article-journal","container-title":"International Medical Case Reports Journal","DOI":"10.2147/IMCRJ.S375882","ISSN":"1179-142X","journalAbbreviation":"IMCRJ","language":"en","license":"http://creativecommons.org/licenses/by-nc/3.0/","page":"389-392","source":"DOI.org (Crossref)","title":"A Case of Severe 2,4-Dichlorophenoxyacetic Acid Poisoning Causing Diagnostic and Treatment Challenges","volume":"Volume 15","author":[{"family":"Demissie","given":"Zekewos"},{"family":"Bekele","given":"Amsalu"},{"family":"Bane","given":"Abate"}],"issued":{"date-parts":[["2022",7]]}}}],"schema":"https://github.com/citation-style-language/schema/raw/master/csl-citation.json"}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(20)</w:t>
            </w:r>
            <w:r w:rsidRPr="003C6B61">
              <w:rPr>
                <w:rFonts w:ascii="Times New Roman" w:hAnsi="Times New Roman" w:cs="Times New Roman"/>
              </w:rPr>
              <w:fldChar w:fldCharType="end"/>
            </w:r>
          </w:p>
        </w:tc>
        <w:tc>
          <w:tcPr>
            <w:tcW w:w="0" w:type="auto"/>
            <w:vAlign w:val="center"/>
            <w:hideMark/>
          </w:tcPr>
          <w:p w14:paraId="258D4E9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Ethiopia</w:t>
            </w:r>
          </w:p>
        </w:tc>
        <w:tc>
          <w:tcPr>
            <w:tcW w:w="0" w:type="auto"/>
            <w:vAlign w:val="center"/>
            <w:hideMark/>
          </w:tcPr>
          <w:p w14:paraId="390D1BC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23</w:t>
            </w:r>
          </w:p>
        </w:tc>
        <w:tc>
          <w:tcPr>
            <w:tcW w:w="0" w:type="auto"/>
            <w:vAlign w:val="center"/>
            <w:hideMark/>
          </w:tcPr>
          <w:p w14:paraId="46EF4CC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w:t>
            </w:r>
          </w:p>
        </w:tc>
        <w:tc>
          <w:tcPr>
            <w:tcW w:w="0" w:type="auto"/>
            <w:vAlign w:val="center"/>
            <w:hideMark/>
          </w:tcPr>
          <w:p w14:paraId="6560491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39E04A4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Dimethylamine</w:t>
            </w:r>
          </w:p>
        </w:tc>
        <w:tc>
          <w:tcPr>
            <w:tcW w:w="0" w:type="auto"/>
            <w:vAlign w:val="center"/>
            <w:hideMark/>
          </w:tcPr>
          <w:p w14:paraId="6C8D45C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30 mL</w:t>
            </w:r>
          </w:p>
        </w:tc>
        <w:tc>
          <w:tcPr>
            <w:tcW w:w="0" w:type="auto"/>
            <w:vAlign w:val="center"/>
            <w:hideMark/>
          </w:tcPr>
          <w:p w14:paraId="02B9C20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120/70; HR 110; CPK 1330; Cr 3.1</w:t>
            </w:r>
          </w:p>
        </w:tc>
        <w:tc>
          <w:tcPr>
            <w:tcW w:w="0" w:type="auto"/>
            <w:vAlign w:val="center"/>
            <w:hideMark/>
          </w:tcPr>
          <w:p w14:paraId="2B56246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22BF0EF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 hypertonia; AKI; rhabdomyolysis</w:t>
            </w:r>
          </w:p>
        </w:tc>
        <w:tc>
          <w:tcPr>
            <w:tcW w:w="0" w:type="auto"/>
            <w:vAlign w:val="center"/>
            <w:hideMark/>
          </w:tcPr>
          <w:p w14:paraId="16ADBCC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Atropine (misdx); MV</w:t>
            </w:r>
          </w:p>
        </w:tc>
        <w:tc>
          <w:tcPr>
            <w:tcW w:w="0" w:type="auto"/>
            <w:vAlign w:val="center"/>
            <w:hideMark/>
          </w:tcPr>
          <w:p w14:paraId="2230B84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4219366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5C4A093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1F50EC2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r w:rsidR="008B1707" w:rsidRPr="003C6B61" w14:paraId="3C3A50BA" w14:textId="77777777" w:rsidTr="0015630B">
        <w:trPr>
          <w:tblCellSpacing w:w="15" w:type="dxa"/>
        </w:trPr>
        <w:tc>
          <w:tcPr>
            <w:tcW w:w="0" w:type="auto"/>
            <w:hideMark/>
          </w:tcPr>
          <w:p w14:paraId="274FC09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Dhaliwal G (2025)</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YfP0X09T","properties":{"formattedCitation":"(6)","plainCitation":"(6)","noteIndex":0},"citationItems":[{"id":97,"uris":["http://zotero.org/users/12854872/items/HPV5FLMQ","http://zotero.org/users/12854872/items/TNIXB67V"],"itemData":{"id":97,"type":"article-journal","abstract":"Ethyl ester, chemically known as 2,4-dichlorophenoxyacetic acid (2,4-D), is a widely-used herbicide. It is recognized by the World Health Organization (WHO) as a Class II moderately hazardous herbicide, and its accidental or intentional ingestion can lead to multiorgan dysfunction and death. Overlap in presenting symptoms to other chemical poisonings makes it crucial to have a high clinical suspicion for this poisoning diagnosis. Herein, we present a case of an intentional overdose of 2,4-D and highlight the clinical presentation and treatment measures used.","container-title":"Cureus","DOI":"10.7759/cureus.80116","ISSN":"2168-8184","issue":"3","language":"en","publisher":"Cureus","source":"www.cureus.com","title":"Acute Poisoning Due to an Intentional Overdose of 2,4-Dichlorophenoxyacetic Acid","URL":"https://cureus.com/articles/192089-acute-poisoning-due-to-an-intentional-overdose-of-24-dichlorophenoxyacetic-acid","volume":"17","author":[{"family":"Dhaliwal","given":"Gurnoor"},{"family":"Brar","given":"Karanveer S."},{"family":"Kaur","given":"Jasprabh"},{"family":"Ishaque","given":"Alina"},{"family":"Kaur","given":"Jasleen"},{"family":"Dhaliwal","given":"Gurnoor"},{"family":"Brar","given":"Karanveer S."},{"family":"Kaur","given":"Jasprabh Karanjit"},{"family":"Ishaque","given":"Alina"},{"family":"Kaur","given":"Jasleen"}],"accessed":{"date-parts":[["2025",12,19]]},"issued":{"date-parts":[["2025",3,5]]}}}],"schema":"https://github.com/citation-style-language/schema/raw/master/csl-citation.json"}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(6)</w:t>
            </w:r>
            <w:r w:rsidRPr="003C6B61">
              <w:rPr>
                <w:rFonts w:ascii="Times New Roman" w:hAnsi="Times New Roman" w:cs="Times New Roman"/>
              </w:rPr>
              <w:fldChar w:fldCharType="end"/>
            </w:r>
          </w:p>
        </w:tc>
        <w:tc>
          <w:tcPr>
            <w:tcW w:w="0" w:type="auto"/>
            <w:vAlign w:val="center"/>
            <w:hideMark/>
          </w:tcPr>
          <w:p w14:paraId="399C6FB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4177B4C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52</w:t>
            </w:r>
          </w:p>
        </w:tc>
        <w:tc>
          <w:tcPr>
            <w:tcW w:w="0" w:type="auto"/>
            <w:vAlign w:val="center"/>
            <w:hideMark/>
          </w:tcPr>
          <w:p w14:paraId="285EE73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w:t>
            </w:r>
          </w:p>
        </w:tc>
        <w:tc>
          <w:tcPr>
            <w:tcW w:w="0" w:type="auto"/>
            <w:vAlign w:val="center"/>
            <w:hideMark/>
          </w:tcPr>
          <w:p w14:paraId="5BD940A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3891794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38% ethyl ester</w:t>
            </w:r>
          </w:p>
        </w:tc>
        <w:tc>
          <w:tcPr>
            <w:tcW w:w="0" w:type="auto"/>
            <w:vAlign w:val="center"/>
            <w:hideMark/>
          </w:tcPr>
          <w:p w14:paraId="3FE60D8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77A2D0F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108/77; HR 112; CPK 1027; Cr 3.31</w:t>
            </w:r>
          </w:p>
        </w:tc>
        <w:tc>
          <w:tcPr>
            <w:tcW w:w="0" w:type="auto"/>
            <w:vAlign w:val="center"/>
            <w:hideMark/>
          </w:tcPr>
          <w:p w14:paraId="3C38299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519F673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 hypotension; AKI</w:t>
            </w:r>
          </w:p>
        </w:tc>
        <w:tc>
          <w:tcPr>
            <w:tcW w:w="0" w:type="auto"/>
            <w:vAlign w:val="center"/>
            <w:hideMark/>
          </w:tcPr>
          <w:p w14:paraId="6B482E2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intubation; antibiotics</w:t>
            </w:r>
          </w:p>
        </w:tc>
        <w:tc>
          <w:tcPr>
            <w:tcW w:w="0" w:type="auto"/>
            <w:vAlign w:val="center"/>
            <w:hideMark/>
          </w:tcPr>
          <w:p w14:paraId="4B207C3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384949C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6EA0394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13C308E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r w:rsidR="008B1707" w:rsidRPr="003C6B61" w14:paraId="52C1E84A" w14:textId="77777777" w:rsidTr="0015630B">
        <w:trPr>
          <w:tblCellSpacing w:w="15" w:type="dxa"/>
        </w:trPr>
        <w:tc>
          <w:tcPr>
            <w:tcW w:w="0" w:type="auto"/>
            <w:hideMark/>
          </w:tcPr>
          <w:p w14:paraId="2437C73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Rajendran A (2021)</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OWPPokOE","properties":{"formattedCitation":"(21)","plainCitation":"(21)","noteIndex":0},"citationItems":[{"id":64,"uris":["http://zotero.org/users/12854872/items/UQXBT2F8","http://zotero.org/users/12854872/items/DT5MJIT9"],"itemData":{"id":64,"type":"article-journal","abstract":"Different compounds such as organochlorines, pyrethroids, fungicides, 2,4-dichlorophenoxy (2,4-D) herbicides, mushrooms, opioids, cartap compounds, and amitraz compounds can mimic organophosphorus (OP) poisoning. Muscle fasciculation, pulmonary edema, convulsions, bradycardia, hypotension, and smell caused by pyrethroids, as well as neurological signs, seizures, pulmonary edema, and smell caused by organochlorines can mimic OP poisoning. Miosis, vomiting, coma, and hypotension caused by opioids; miosis, bradycardia, altered sensorium, respiratory depression, and hypotension caused by amitraz compounds; and vomiting, breathlessness, altered sensorium, hypotension, and seizures caused by cartap compounds can also mimic OP poisoning. Mushroom poisoning and few fungicide compounds are also known to mimic features of OP poisoning. Hyperglycemia and glycosuria are the key hallmarks of amitraz poisoning. 2,4-D compounds can also mimic most of the features of OP poisoning; however, rhabdomyolysis, coma, and hyper/hypotonia are key differentiating features. Allergic manifestation and greenish discoloration of the contacted skin are the differentiating features of cartap poisoning. Treating all agriculture-related poisoning with atropine without confirming the compound can lead to a therapeutic misadventure. Here, we discuss the case of a patient who was referred to our Emergency Department (ED) with an alleged history of an unknown poison ingestion which was managed with atropinization for suspected OP poisoning in an outside hospital. On probing the history, the actual compound was found to be a 2,4-D herbicide. Very few documented case reports of 2,4-D poisoning are available in the literature. Hyper/hypotonia, coma, and skeletal muscle damage are the key differentiating features of 2,4-D poisoning. Our patient had skeletal muscle damage (rhabdomyolysis), evidenced by raised creatine kinase-total and creatine kinase-muscle/brain. As there is no specific antidote, we treated the patient with urinary alkalinization and supportive care. The patient had a favorable outcome in the ED.","container-title":"Cureus","DOI":"10.7759/cureus.12852","ISSN":"2168-8184","issue":"1","journalAbbreviation":"Cureus","language":"eng","page":"e12852","PMID":"33633885","PMCID":"PMC7899260","source":"PubMed","title":"2,4-Dichlorophenoxyacetic Acid Poisoning Mimicking as Organophosphorus Poisoning","volume":"13","author":[{"family":"Rajendran","given":"Ajithkumar"},{"family":"Mahalingam","given":"Sasikumar"},{"family":"Ramesh Babu","given":"Guguloth"},{"family":"Rajeshwari Rajendra","given":"Kagne"},{"family":"Nathan","given":"Balamurugan"}],"issued":{"date-parts":[["2021",1,22]]}}}],"schema":"https://github.com/citation-style-language/schema/raw/master/csl-citation.json"}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(21)</w:t>
            </w:r>
            <w:r w:rsidRPr="003C6B61">
              <w:rPr>
                <w:rFonts w:ascii="Times New Roman" w:hAnsi="Times New Roman" w:cs="Times New Roman"/>
              </w:rPr>
              <w:fldChar w:fldCharType="end"/>
            </w:r>
          </w:p>
        </w:tc>
        <w:tc>
          <w:tcPr>
            <w:tcW w:w="0" w:type="auto"/>
            <w:vAlign w:val="center"/>
            <w:hideMark/>
          </w:tcPr>
          <w:p w14:paraId="0AE3369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49B1367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65</w:t>
            </w:r>
          </w:p>
        </w:tc>
        <w:tc>
          <w:tcPr>
            <w:tcW w:w="0" w:type="auto"/>
            <w:vAlign w:val="center"/>
            <w:hideMark/>
          </w:tcPr>
          <w:p w14:paraId="2E841CC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1D5096B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37B2F2E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Amine</w:t>
            </w:r>
          </w:p>
        </w:tc>
        <w:tc>
          <w:tcPr>
            <w:tcW w:w="0" w:type="auto"/>
            <w:vAlign w:val="center"/>
            <w:hideMark/>
          </w:tcPr>
          <w:p w14:paraId="671E3F0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50 mL</w:t>
            </w:r>
          </w:p>
        </w:tc>
        <w:tc>
          <w:tcPr>
            <w:tcW w:w="0" w:type="auto"/>
            <w:vAlign w:val="center"/>
            <w:hideMark/>
          </w:tcPr>
          <w:p w14:paraId="0E64834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110/70; HR 120; CK 10259</w:t>
            </w:r>
          </w:p>
        </w:tc>
        <w:tc>
          <w:tcPr>
            <w:tcW w:w="0" w:type="auto"/>
            <w:vAlign w:val="center"/>
            <w:hideMark/>
          </w:tcPr>
          <w:p w14:paraId="410BFF5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9</w:t>
            </w:r>
          </w:p>
        </w:tc>
        <w:tc>
          <w:tcPr>
            <w:tcW w:w="0" w:type="auto"/>
            <w:vAlign w:val="center"/>
            <w:hideMark/>
          </w:tcPr>
          <w:p w14:paraId="044EDB2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Hypertonia; rhabdomyolysis</w:t>
            </w:r>
          </w:p>
        </w:tc>
        <w:tc>
          <w:tcPr>
            <w:tcW w:w="0" w:type="auto"/>
            <w:vAlign w:val="center"/>
            <w:hideMark/>
          </w:tcPr>
          <w:p w14:paraId="603A7CB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O₂; IV fluids</w:t>
            </w:r>
          </w:p>
        </w:tc>
        <w:tc>
          <w:tcPr>
            <w:tcW w:w="0" w:type="auto"/>
            <w:vAlign w:val="center"/>
            <w:hideMark/>
          </w:tcPr>
          <w:p w14:paraId="3ECFB45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4145BC4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2B55C23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1409B06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4E18FE50" w14:textId="77777777" w:rsidTr="0015630B">
        <w:trPr>
          <w:tblCellSpacing w:w="15" w:type="dxa"/>
        </w:trPr>
        <w:tc>
          <w:tcPr>
            <w:tcW w:w="0" w:type="auto"/>
            <w:hideMark/>
          </w:tcPr>
          <w:p w14:paraId="73F93C8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Joshi A (2024)</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{"citationID":"rEKVneRs","properties":{"formattedCitation":"(22)","plainCitation":"(22)","noteIndex":0},"citationItems":[{"id":1620,"uris":["http://zotero.org/users/12854872/items/MMDFB66G"],"itemData":{"id":1620,"type":"article-journal","abstract":"Herbicide such as 2,4-Dichlorophenoxyacetic acid is commonly used in wheat growing regions and is being ingested with suicidal intent due to easy availability and lack of regulation for buying it. Various articles suggest high fatality upon ingestion of this compound. We report a rare survival of a 24-year-old male who ingested about 45 ml of the compound and presented with symptoms similar to organophosphate poisoning. Before presenting to our hospital, the patient was misdiagnosed and an atropine challenge test and gastric lavage was done. However, after presenting to our center, detailed history was taken and the bottle containing the compound was retrieved, following which the patient was shifted to the intensive care unit where urinary alkalinization and forced diuresis was done. He started getting better and was discharged on fourth day. Detailed history taking can prevent misdiagnosis of 2,4-Dichlorophenoxyacetic acid poisoning. Early diagnosis and adequate supportive management of urinary alkalinization and forced diuresis can improve patient outcomes and reduce fatality.","container-title":"JNMA; journal of the Nepal Medical Association","DOI":"10.31729/jnma.8699","ISSN":"1815-672X","issue":"276","journalAbbreviation":"JNMA J Nepal Med Assoc","language":"eng","page":"548-551","PMID":"39369405","PMCID":"PMC11455649","source":"PubMed","title":"Survival of Misdiagnosed 2,4-Dichlorophenoxyacetic Acid Poisoning Masquerading as Organophosphorus Poisoning: A Case Report","title-short":"Survival of Misdiagnosed 2,4-Dichlorophenoxyacetic Acid Poisoning Masquerading as Organophosphorus Poisoning","volume":"62","author":[{"family":"Joshi","given":"Anjali"},{"family":"Joshi","given":"Aatish"},{"family":"Pant","given":"Shubham"},{"family":"Bhurtyal","given":"Aakanksha"},{"family":"Yadav","given":"Sunil"}],"issued":{"date-parts":[["2024",7,31]]}}}],"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(22)</w:t>
            </w:r>
            <w:r w:rsidRPr="003C6B61">
              <w:rPr>
                <w:rFonts w:ascii="Times New Roman" w:hAnsi="Times New Roman" w:cs="Times New Roman"/>
              </w:rPr>
              <w:fldChar w:fldCharType="end"/>
            </w:r>
          </w:p>
        </w:tc>
        <w:tc>
          <w:tcPr>
            <w:tcW w:w="0" w:type="auto"/>
            <w:vAlign w:val="center"/>
            <w:hideMark/>
          </w:tcPr>
          <w:p w14:paraId="3B947C4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Nepal</w:t>
            </w:r>
          </w:p>
        </w:tc>
        <w:tc>
          <w:tcPr>
            <w:tcW w:w="0" w:type="auto"/>
            <w:vAlign w:val="center"/>
            <w:hideMark/>
          </w:tcPr>
          <w:p w14:paraId="4A70C3A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24</w:t>
            </w:r>
          </w:p>
        </w:tc>
        <w:tc>
          <w:tcPr>
            <w:tcW w:w="0" w:type="auto"/>
            <w:vAlign w:val="center"/>
            <w:hideMark/>
          </w:tcPr>
          <w:p w14:paraId="630DB96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208F5E7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3726F8B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Ethyl ester (Dhanweed)</w:t>
            </w:r>
          </w:p>
        </w:tc>
        <w:tc>
          <w:tcPr>
            <w:tcW w:w="0" w:type="auto"/>
            <w:vAlign w:val="center"/>
            <w:hideMark/>
          </w:tcPr>
          <w:p w14:paraId="6D20018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45 mL</w:t>
            </w:r>
          </w:p>
        </w:tc>
        <w:tc>
          <w:tcPr>
            <w:tcW w:w="0" w:type="auto"/>
            <w:vAlign w:val="center"/>
            <w:hideMark/>
          </w:tcPr>
          <w:p w14:paraId="7FE8A19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100/60; HR 121; glucose 408</w:t>
            </w:r>
          </w:p>
        </w:tc>
        <w:tc>
          <w:tcPr>
            <w:tcW w:w="0" w:type="auto"/>
            <w:vAlign w:val="center"/>
            <w:hideMark/>
          </w:tcPr>
          <w:p w14:paraId="1A8B109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13</w:t>
            </w:r>
          </w:p>
        </w:tc>
        <w:tc>
          <w:tcPr>
            <w:tcW w:w="0" w:type="auto"/>
            <w:vAlign w:val="center"/>
            <w:hideMark/>
          </w:tcPr>
          <w:p w14:paraId="6409484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Vomiting; metabolic acidosis</w:t>
            </w:r>
          </w:p>
        </w:tc>
        <w:tc>
          <w:tcPr>
            <w:tcW w:w="0" w:type="auto"/>
            <w:vAlign w:val="center"/>
            <w:hideMark/>
          </w:tcPr>
          <w:p w14:paraId="5325AAB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ceftriaxone; pantoprazole</w:t>
            </w:r>
          </w:p>
        </w:tc>
        <w:tc>
          <w:tcPr>
            <w:tcW w:w="0" w:type="auto"/>
            <w:vAlign w:val="center"/>
            <w:hideMark/>
          </w:tcPr>
          <w:p w14:paraId="67125AA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 + furosemide</w:t>
            </w:r>
          </w:p>
        </w:tc>
        <w:tc>
          <w:tcPr>
            <w:tcW w:w="0" w:type="auto"/>
            <w:vAlign w:val="center"/>
            <w:hideMark/>
          </w:tcPr>
          <w:p w14:paraId="462BEF3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1E85D0B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0EA43F3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6607A7AE" w14:textId="77777777" w:rsidTr="0015630B">
        <w:trPr>
          <w:tblCellSpacing w:w="15" w:type="dxa"/>
        </w:trPr>
        <w:tc>
          <w:tcPr>
            <w:tcW w:w="0" w:type="auto"/>
            <w:hideMark/>
          </w:tcPr>
          <w:p w14:paraId="2FE10FC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Kumar N (2019)</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{"citationID":"Iyl4jpL0","properties":{"formattedCitation":"(23)","plainCitation":"(23)","noteIndex":0},"citationItems":[{"id":1623,"uris":["http://zotero.org/users/12854872/items/P5BK7A89"],"itemData":{"id":1623,"type":"article-journal","abstract":"2,4-Dichlorophenoxyacetic acid (2,4-D) is a herbicide with highly toxic effects. Complications occur due to difficulty in diagnosis. Management is only supportive with alkaline diuresis and treatment of complications as there is no specific antidote to this compound., How to cite this article: Kumar N. 2,4-D Ethyl Ester Poisoning: A Case Report. Indian J Crit Care Med 2019;23(9):432–433.","container-title":"Indian Journal of Critical Care Medicine : Peer-reviewed, Official Publication of Indian Society of Critical Care Medicine","DOI":"10.5005/jp-journals-10071-23240","ISSN":"0972-5229","issue":"9","journalAbbreviation":"Indian J Crit Care Med","page":"432-433","PMID":"31645831","PMCID":"PMC6775716","source":"PubMed Central","title":"2,4-D Ethyl Ester Poisoning: A Case Report","title-short":"2,4-D Ethyl Ester Poisoning","volume":"23","author":[{"family":"Kumar","given":"Nishant"}],"issued":{"date-parts":[["2019",9]]}}}],"schema":"https://github.com/citation-style-language/schema/raw/master/csl-citation.json"}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(23)</w:t>
            </w:r>
            <w:r w:rsidRPr="003C6B61">
              <w:rPr>
                <w:rFonts w:ascii="Times New Roman" w:hAnsi="Times New Roman" w:cs="Times New Roman"/>
              </w:rPr>
              <w:fldChar w:fldCharType="end"/>
            </w:r>
          </w:p>
        </w:tc>
        <w:tc>
          <w:tcPr>
            <w:tcW w:w="0" w:type="auto"/>
            <w:vAlign w:val="center"/>
            <w:hideMark/>
          </w:tcPr>
          <w:p w14:paraId="6827923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5121666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17</w:t>
            </w:r>
          </w:p>
        </w:tc>
        <w:tc>
          <w:tcPr>
            <w:tcW w:w="0" w:type="auto"/>
            <w:vAlign w:val="center"/>
            <w:hideMark/>
          </w:tcPr>
          <w:p w14:paraId="096170A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7A2A9EB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50179E3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Ethyl ester (38%)</w:t>
            </w:r>
          </w:p>
        </w:tc>
        <w:tc>
          <w:tcPr>
            <w:tcW w:w="0" w:type="auto"/>
            <w:vAlign w:val="center"/>
            <w:hideMark/>
          </w:tcPr>
          <w:p w14:paraId="351E2FD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150 mL</w:t>
            </w:r>
          </w:p>
        </w:tc>
        <w:tc>
          <w:tcPr>
            <w:tcW w:w="0" w:type="auto"/>
            <w:vAlign w:val="center"/>
            <w:hideMark/>
          </w:tcPr>
          <w:p w14:paraId="621E7FA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130/80; HR 108; WBC 18,400</w:t>
            </w:r>
          </w:p>
        </w:tc>
        <w:tc>
          <w:tcPr>
            <w:tcW w:w="0" w:type="auto"/>
            <w:vAlign w:val="center"/>
            <w:hideMark/>
          </w:tcPr>
          <w:p w14:paraId="47152CF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10</w:t>
            </w:r>
          </w:p>
        </w:tc>
        <w:tc>
          <w:tcPr>
            <w:tcW w:w="0" w:type="auto"/>
            <w:vAlign w:val="center"/>
            <w:hideMark/>
          </w:tcPr>
          <w:p w14:paraId="126B227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LOC; vomiting</w:t>
            </w:r>
          </w:p>
        </w:tc>
        <w:tc>
          <w:tcPr>
            <w:tcW w:w="0" w:type="auto"/>
            <w:vAlign w:val="center"/>
            <w:hideMark/>
          </w:tcPr>
          <w:p w14:paraId="331669E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charcoal; IV fluids</w:t>
            </w:r>
          </w:p>
        </w:tc>
        <w:tc>
          <w:tcPr>
            <w:tcW w:w="0" w:type="auto"/>
            <w:vAlign w:val="center"/>
            <w:hideMark/>
          </w:tcPr>
          <w:p w14:paraId="7DE8A21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 + furosemide</w:t>
            </w:r>
          </w:p>
        </w:tc>
        <w:tc>
          <w:tcPr>
            <w:tcW w:w="0" w:type="auto"/>
            <w:vAlign w:val="center"/>
            <w:hideMark/>
          </w:tcPr>
          <w:p w14:paraId="60A060B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03AC3F0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01F9C50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1AB2246F" w14:textId="77777777" w:rsidTr="0015630B">
        <w:trPr>
          <w:tblCellSpacing w:w="15" w:type="dxa"/>
        </w:trPr>
        <w:tc>
          <w:tcPr>
            <w:tcW w:w="0" w:type="auto"/>
            <w:hideMark/>
          </w:tcPr>
          <w:p w14:paraId="4EB8A2C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Jorens PG (1995)</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{"citationID":"ohIoGGHK","properties":{"formattedCitation":"(24)","plainCitation":"(24)","noteIndex":0},"citationItems":[{"id":1627,"uris":["http://zotero.org/users/12854872/items/C7P6NMS4"],"itemData":{"id":1627,"type":"article-journal","abstract":"This paper reports on a fatal intoxication by oral ingestion of the herbicide 2,4-dichlorophenoxyacetic acid (2,4-D). At admission, the victim was unconscious. His condition deteroriated rapidly with blood loss from his mouth and nose. Since the cause of this condition was not known, gastroscopy was performed and haemorrhagic mucosa was observed in the mouth, oesophagus and stomach. Gastric contents (removed by lavage), urine and blood were submitted for toxicological analysis. Unfortunately, within 3 h of admission (about 5 h following ingestion of the toxin) profound cardiogenic shock developed and the patient died. The identity of the toxic xenobiotic was revealed by gas chromatography-mass spectrometry. Analytical quantification of the herbicide was performed by acid extraction prior to gas chromatographic examination using electron capture detection. His blood level of 2,4-D was 192 mg l-1.","container-title":"European Journal of Emergency Medicine: Official Journal of the European Society for Emergency Medicine","DOI":"10.1097/00063110-199503000-00011","ISSN":"0969-9546","issue":"1","journalAbbreviation":"Eur J Emerg Med","language":"eng","page":"52-55","PMID":"9422181","source":"PubMed","title":"A 2,4-dichlorophenoxyacetic acid induced fatality","volume":"2","author":[{"family":"Jorens","given":"P. G."},{"family":"Heytens","given":"L."},{"family":"De Paep","given":"R. J."},{"family":"Bossaert","given":"L."},{"family":"Selala","given":"M. I."},{"family":"Schepens","given":"P. J."}],"issued":{"date-parts":[["1995",3]]}}}],"schema":"https://github.com/citation-style-language/schema/raw/master/csl-citation.json"}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(24)</w:t>
            </w:r>
            <w:r w:rsidRPr="003C6B61">
              <w:rPr>
                <w:rFonts w:ascii="Times New Roman" w:hAnsi="Times New Roman" w:cs="Times New Roman"/>
              </w:rPr>
              <w:fldChar w:fldCharType="end"/>
            </w:r>
          </w:p>
        </w:tc>
        <w:tc>
          <w:tcPr>
            <w:tcW w:w="0" w:type="auto"/>
            <w:vAlign w:val="center"/>
            <w:hideMark/>
          </w:tcPr>
          <w:p w14:paraId="1C4920E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Belgium</w:t>
            </w:r>
          </w:p>
        </w:tc>
        <w:tc>
          <w:tcPr>
            <w:tcW w:w="0" w:type="auto"/>
            <w:vAlign w:val="center"/>
            <w:hideMark/>
          </w:tcPr>
          <w:p w14:paraId="3C8026B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60</w:t>
            </w:r>
          </w:p>
        </w:tc>
        <w:tc>
          <w:tcPr>
            <w:tcW w:w="0" w:type="auto"/>
            <w:vAlign w:val="center"/>
            <w:hideMark/>
          </w:tcPr>
          <w:p w14:paraId="1B5B254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12B2285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57C1EAF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Aqueous (480 g/L)</w:t>
            </w:r>
          </w:p>
        </w:tc>
        <w:tc>
          <w:tcPr>
            <w:tcW w:w="0" w:type="auto"/>
            <w:vAlign w:val="center"/>
            <w:hideMark/>
          </w:tcPr>
          <w:p w14:paraId="455F03E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500 mL</w:t>
            </w:r>
          </w:p>
        </w:tc>
        <w:tc>
          <w:tcPr>
            <w:tcW w:w="0" w:type="auto"/>
            <w:vAlign w:val="center"/>
            <w:hideMark/>
          </w:tcPr>
          <w:p w14:paraId="6924B0E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85/50; T 34.8°C; 2,4-D 192 mg/L</w:t>
            </w:r>
          </w:p>
        </w:tc>
        <w:tc>
          <w:tcPr>
            <w:tcW w:w="0" w:type="auto"/>
            <w:vAlign w:val="center"/>
            <w:hideMark/>
          </w:tcPr>
          <w:p w14:paraId="3FA3191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6F0616F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Hematemesis; cardiogenic shock</w:t>
            </w:r>
          </w:p>
        </w:tc>
        <w:tc>
          <w:tcPr>
            <w:tcW w:w="0" w:type="auto"/>
            <w:vAlign w:val="center"/>
            <w:hideMark/>
          </w:tcPr>
          <w:p w14:paraId="57AAECF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charcoal; vasopressors</w:t>
            </w:r>
          </w:p>
        </w:tc>
        <w:tc>
          <w:tcPr>
            <w:tcW w:w="0" w:type="auto"/>
            <w:vAlign w:val="center"/>
            <w:hideMark/>
          </w:tcPr>
          <w:p w14:paraId="5352DD8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2D0A988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0A8979B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570FF83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r w:rsidR="008B1707" w:rsidRPr="003C6B61" w14:paraId="15144324" w14:textId="77777777" w:rsidTr="0015630B">
        <w:trPr>
          <w:tblCellSpacing w:w="15" w:type="dxa"/>
        </w:trPr>
        <w:tc>
          <w:tcPr>
            <w:tcW w:w="0" w:type="auto"/>
            <w:hideMark/>
          </w:tcPr>
          <w:p w14:paraId="3F2C709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Getenet B (2024)</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SkZw1ths","properties":{"formattedCitation":"(25)","plainCitation":"(25)","noteIndex":0},"citationItems":[{"id":94,"uris":["http://zotero.org/users/12854872/items/BMKLVF3T","http://zotero.org/users/12854872/items/KRYYQ8NR"],"itemData":{"id":94,"type":"article-journal","abstract":"Background: 2,4-Dichlorphenoxyacetic acid (2,4-D) is an extremely lethal toxin. Poisoned patients should get urine alkalization &amp;amp; early hemodialysis in addition to supportive care. This report aimed to explain the diagnosis, treatment, and","container-title":"Pan-African journal of emergency and critical care","DOI":"10.58904/2024/71","source":"www.academia.edu","title":"2,4- Dichlorophenoxyacetic acid poisoning in St.Paul’s hospital millennium medical college: A case report","title-short":"2,4- Dichlorophenoxyacetic acid poisoning in St.Paul’s hospital millennium medical college","URL":"https://www.academia.edu/124194443/2_4_Dichlorophenoxyacetic_acid_poisoning_in_St_Paul_s_hospital_millennium_medical_college_A_case_report","author":[{"family":"Getenet","given":"Bekele"}],"accessed":{"date-parts":[["2025",12,20]]},"issued":{"date-parts":[["2024",2,29]]}}}],"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(25)</w:t>
            </w:r>
            <w:r w:rsidRPr="003C6B61">
              <w:rPr>
                <w:rFonts w:ascii="Times New Roman" w:hAnsi="Times New Roman" w:cs="Times New Roman"/>
              </w:rPr>
              <w:fldChar w:fldCharType="end"/>
            </w:r>
          </w:p>
        </w:tc>
        <w:tc>
          <w:tcPr>
            <w:tcW w:w="0" w:type="auto"/>
            <w:vAlign w:val="center"/>
            <w:hideMark/>
          </w:tcPr>
          <w:p w14:paraId="26E9436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Ethiopia</w:t>
            </w:r>
          </w:p>
        </w:tc>
        <w:tc>
          <w:tcPr>
            <w:tcW w:w="0" w:type="auto"/>
            <w:vAlign w:val="center"/>
            <w:hideMark/>
          </w:tcPr>
          <w:p w14:paraId="5DCA9BE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20</w:t>
            </w:r>
          </w:p>
        </w:tc>
        <w:tc>
          <w:tcPr>
            <w:tcW w:w="0" w:type="auto"/>
            <w:vAlign w:val="center"/>
            <w:hideMark/>
          </w:tcPr>
          <w:p w14:paraId="40CAF70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4574B8A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29DC3C4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2,4-D</w:t>
            </w:r>
          </w:p>
        </w:tc>
        <w:tc>
          <w:tcPr>
            <w:tcW w:w="0" w:type="auto"/>
            <w:vAlign w:val="center"/>
            <w:hideMark/>
          </w:tcPr>
          <w:p w14:paraId="01013B5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274D963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55/22; HR 150; T 40.8°C</w:t>
            </w:r>
          </w:p>
        </w:tc>
        <w:tc>
          <w:tcPr>
            <w:tcW w:w="0" w:type="auto"/>
            <w:vAlign w:val="center"/>
            <w:hideMark/>
          </w:tcPr>
          <w:p w14:paraId="6688F5F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2F50708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Pyrexia; MOF; shock</w:t>
            </w:r>
          </w:p>
        </w:tc>
        <w:tc>
          <w:tcPr>
            <w:tcW w:w="0" w:type="auto"/>
            <w:vAlign w:val="center"/>
            <w:hideMark/>
          </w:tcPr>
          <w:p w14:paraId="3BFA26A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Supportive; IV fluids; ceftriaxone</w:t>
            </w:r>
          </w:p>
        </w:tc>
        <w:tc>
          <w:tcPr>
            <w:tcW w:w="0" w:type="auto"/>
            <w:vAlign w:val="center"/>
            <w:hideMark/>
          </w:tcPr>
          <w:p w14:paraId="06AA1B0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 + furosemide</w:t>
            </w:r>
          </w:p>
        </w:tc>
        <w:tc>
          <w:tcPr>
            <w:tcW w:w="0" w:type="auto"/>
            <w:vAlign w:val="center"/>
            <w:hideMark/>
          </w:tcPr>
          <w:p w14:paraId="46DAC7A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52297CA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1C9ED9B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r w:rsidR="008B1707" w:rsidRPr="003C6B61" w14:paraId="01B44666" w14:textId="77777777" w:rsidTr="0015630B">
        <w:trPr>
          <w:tblCellSpacing w:w="15" w:type="dxa"/>
        </w:trPr>
        <w:tc>
          <w:tcPr>
            <w:tcW w:w="0" w:type="auto"/>
            <w:hideMark/>
          </w:tcPr>
          <w:p w14:paraId="45606BE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Berwick P (1970)</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N6SvVffu","properties":{"formattedCitation":"(26)","plainCitation":"(26)","noteIndex":0},"citationItems":[{"id":1633,"uris":["http://zotero.org/users/12854872/items/YBXIDVBI"],"itemData":{"id":1633,"type":"article-journal","container-title":"JAMA","ISSN":"0098-7484","issue":"6","journalAbbreviation":"JAMA","language":"eng","page":"1114-1117","PMID":"5536254","source":"PubMed","title":"2,4-dichlorophenoxyacetic acid poisoning in man. Some interesting clinical and laboratory findings","volume":"214","author":[{"family":"Berwick","given":"P."}],"issued":{"date-parts":[["1970",11,9]]}}}],"schema":"https://github.com/citation-style-language/schema/raw/master/csl-citation.json"}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(26)</w:t>
            </w:r>
            <w:r w:rsidRPr="003C6B61">
              <w:rPr>
                <w:rFonts w:ascii="Times New Roman" w:hAnsi="Times New Roman" w:cs="Times New Roman"/>
              </w:rPr>
              <w:fldChar w:fldCharType="end"/>
            </w:r>
          </w:p>
        </w:tc>
        <w:tc>
          <w:tcPr>
            <w:tcW w:w="0" w:type="auto"/>
            <w:vAlign w:val="center"/>
            <w:hideMark/>
          </w:tcPr>
          <w:p w14:paraId="1F17929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USA</w:t>
            </w:r>
          </w:p>
        </w:tc>
        <w:tc>
          <w:tcPr>
            <w:tcW w:w="0" w:type="auto"/>
            <w:vAlign w:val="center"/>
            <w:hideMark/>
          </w:tcPr>
          <w:p w14:paraId="665FB4B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46</w:t>
            </w:r>
          </w:p>
        </w:tc>
        <w:tc>
          <w:tcPr>
            <w:tcW w:w="0" w:type="auto"/>
            <w:vAlign w:val="center"/>
            <w:hideMark/>
          </w:tcPr>
          <w:p w14:paraId="00A4FF7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54E84A8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Accidental</w:t>
            </w:r>
          </w:p>
        </w:tc>
        <w:tc>
          <w:tcPr>
            <w:tcW w:w="0" w:type="auto"/>
            <w:vAlign w:val="center"/>
            <w:hideMark/>
          </w:tcPr>
          <w:p w14:paraId="6E80B50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Isooctyl ester</w:t>
            </w:r>
          </w:p>
        </w:tc>
        <w:tc>
          <w:tcPr>
            <w:tcW w:w="0" w:type="auto"/>
            <w:vAlign w:val="center"/>
            <w:hideMark/>
          </w:tcPr>
          <w:p w14:paraId="5AAE910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30 mL</w:t>
            </w:r>
          </w:p>
        </w:tc>
        <w:tc>
          <w:tcPr>
            <w:tcW w:w="0" w:type="auto"/>
            <w:vAlign w:val="center"/>
            <w:hideMark/>
          </w:tcPr>
          <w:p w14:paraId="75FDD91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130/80; T 39.4°C; CK 300</w:t>
            </w:r>
          </w:p>
        </w:tc>
        <w:tc>
          <w:tcPr>
            <w:tcW w:w="0" w:type="auto"/>
            <w:vAlign w:val="center"/>
            <w:hideMark/>
          </w:tcPr>
          <w:p w14:paraId="267EE9C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6DDB52A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Muscle paralysis; twitching</w:t>
            </w:r>
          </w:p>
        </w:tc>
        <w:tc>
          <w:tcPr>
            <w:tcW w:w="0" w:type="auto"/>
            <w:vAlign w:val="center"/>
            <w:hideMark/>
          </w:tcPr>
          <w:p w14:paraId="11FDD47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O₂; quinidine</w:t>
            </w:r>
          </w:p>
        </w:tc>
        <w:tc>
          <w:tcPr>
            <w:tcW w:w="0" w:type="auto"/>
            <w:vAlign w:val="center"/>
            <w:hideMark/>
          </w:tcPr>
          <w:p w14:paraId="51CBA08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0BDA651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5463E09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16ACE40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659CE44F" w14:textId="77777777" w:rsidTr="0015630B">
        <w:trPr>
          <w:tblCellSpacing w:w="15" w:type="dxa"/>
        </w:trPr>
        <w:tc>
          <w:tcPr>
            <w:tcW w:w="0" w:type="auto"/>
            <w:hideMark/>
          </w:tcPr>
          <w:p w14:paraId="7BFD5B77" w14:textId="77777777" w:rsidR="008B1707" w:rsidRPr="003C6B61" w:rsidRDefault="008B1707" w:rsidP="0015630B">
            <w:pPr>
              <w:spacing w:line="360" w:lineRule="auto"/>
              <w:rPr>
                <w:rFonts w:ascii="Times New Roman" w:hAnsi="Times New Roman" w:cs="Times New Roman"/>
              </w:rPr>
            </w:pPr>
            <w:r w:rsidRPr="003C6B61">
              <w:rPr>
                <w:rFonts w:ascii="Times New Roman" w:hAnsi="Times New Roman" w:cs="Times New Roman"/>
              </w:rPr>
              <w:t>Durakovic Z (1992) - Case 1</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5rN47pnI","properties":{"formattedCitation":"(27)","plainCitation":"(27)","noteIndex":0},"citationItems":[{"id":1635,"uris":["http://zotero.org/users/12854872/items/WQM37LQF","http://zotero.org/users/12854872/items/53NT2SL6"],"itemData":{"id":1635,"type":"article-journal","container-title":"Archives of Toxicology","DOI":"10.1007/BF01970679","ISSN":"0340-5761, 1432-0738","issue":"7","journalAbbreviation":"Arch Toxicol","language":"en","license":"http://www.springer.com/tdm","page":"518-521","source":"DOI.org (Crossref)","title":"Poisoning with 2,4-dichlorophenoxyacetic acid treated by hemodialysis","volume":"66","author":[{"family":"Durakovic","given":"Zijad"},{"family":"Durakovic","given":"Asaf"},{"family":"Durakovic","given":"Senadin"},{"family":"Ivanovic","given":"Dragutin"}],"issued":{"date-parts":[["1992",8]]}}}],"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(27)</w:t>
            </w:r>
            <w:r w:rsidRPr="003C6B61">
              <w:rPr>
                <w:rFonts w:ascii="Times New Roman" w:hAnsi="Times New Roman" w:cs="Times New Roman"/>
              </w:rPr>
              <w:fldChar w:fldCharType="end"/>
            </w:r>
          </w:p>
          <w:p w14:paraId="41AAEF1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p>
        </w:tc>
        <w:tc>
          <w:tcPr>
            <w:tcW w:w="0" w:type="auto"/>
            <w:vAlign w:val="center"/>
            <w:hideMark/>
          </w:tcPr>
          <w:p w14:paraId="55A28CA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Croatia</w:t>
            </w:r>
          </w:p>
        </w:tc>
        <w:tc>
          <w:tcPr>
            <w:tcW w:w="0" w:type="auto"/>
            <w:vAlign w:val="center"/>
            <w:hideMark/>
          </w:tcPr>
          <w:p w14:paraId="57FA0FC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51</w:t>
            </w:r>
          </w:p>
        </w:tc>
        <w:tc>
          <w:tcPr>
            <w:tcW w:w="0" w:type="auto"/>
            <w:vAlign w:val="center"/>
            <w:hideMark/>
          </w:tcPr>
          <w:p w14:paraId="2F3CE2F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4DDD1AF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366056C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40% solution</w:t>
            </w:r>
          </w:p>
        </w:tc>
        <w:tc>
          <w:tcPr>
            <w:tcW w:w="0" w:type="auto"/>
            <w:vAlign w:val="center"/>
            <w:hideMark/>
          </w:tcPr>
          <w:p w14:paraId="28ED594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400 mL</w:t>
            </w:r>
          </w:p>
        </w:tc>
        <w:tc>
          <w:tcPr>
            <w:tcW w:w="0" w:type="auto"/>
            <w:vAlign w:val="center"/>
            <w:hideMark/>
          </w:tcPr>
          <w:p w14:paraId="3487860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80/60; PR 120; WBC 15k; metabolic acidosis</w:t>
            </w:r>
          </w:p>
        </w:tc>
        <w:tc>
          <w:tcPr>
            <w:tcW w:w="0" w:type="auto"/>
            <w:vAlign w:val="center"/>
            <w:hideMark/>
          </w:tcPr>
          <w:p w14:paraId="4E2CECE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2C89C65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Hypotension; QT prolongation</w:t>
            </w:r>
          </w:p>
        </w:tc>
        <w:tc>
          <w:tcPr>
            <w:tcW w:w="0" w:type="auto"/>
            <w:vAlign w:val="center"/>
            <w:hideMark/>
          </w:tcPr>
          <w:p w14:paraId="3C89EE3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Supportive; meprobamate</w:t>
            </w:r>
          </w:p>
        </w:tc>
        <w:tc>
          <w:tcPr>
            <w:tcW w:w="0" w:type="auto"/>
            <w:vAlign w:val="center"/>
            <w:hideMark/>
          </w:tcPr>
          <w:p w14:paraId="12837C5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Furosemide</w:t>
            </w:r>
          </w:p>
        </w:tc>
        <w:tc>
          <w:tcPr>
            <w:tcW w:w="0" w:type="auto"/>
            <w:vAlign w:val="center"/>
            <w:hideMark/>
          </w:tcPr>
          <w:p w14:paraId="59459B0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5E582BD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77968C9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6CB85AF4" w14:textId="77777777" w:rsidTr="0015630B">
        <w:trPr>
          <w:tblCellSpacing w:w="15" w:type="dxa"/>
        </w:trPr>
        <w:tc>
          <w:tcPr>
            <w:tcW w:w="0" w:type="auto"/>
            <w:hideMark/>
          </w:tcPr>
          <w:p w14:paraId="4EEF87F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Durakovic Z (1992) - Case 2</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ykqpjyHf","properties":{"formattedCitation":"(27)","plainCitation":"(27)","noteIndex":0},"citationItems":[{"id":1635,"uris":["http://zotero.org/users/12854872/items/WQM37LQF","http://zotero.org/users/12854872/items/53NT2SL6"],"itemData":{"id":1635,"type":"article-journal","container-title":"Archives of Toxicology","DOI":"10.1007/BF01970679","ISSN":"0340-5761, 1432-0738","issue":"7","journalAbbreviation":"Arch Toxicol","language":"en","license":"http://www.springer.com/tdm","page":"518-521","source":"DOI.org (Crossref)","title":"Poisoning with 2,4-dichlorophenoxyacetic acid treated by hemodialysis","volume":"66","author":[{"family":"Durakovic","given":"Zijad"},{"family":"Durakovic","given":"Asaf"},{"family":"Durakovic","given":"Senadin"},{"family":"Ivanovic","given":"Dragutin"}],"issued":{"date-parts":[["1992",8]]}}}],"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(27)</w:t>
            </w:r>
            <w:r w:rsidRPr="003C6B61">
              <w:rPr>
                <w:rFonts w:ascii="Times New Roman" w:hAnsi="Times New Roman" w:cs="Times New Roman"/>
              </w:rPr>
              <w:fldChar w:fldCharType="end"/>
            </w:r>
          </w:p>
        </w:tc>
        <w:tc>
          <w:tcPr>
            <w:tcW w:w="0" w:type="auto"/>
            <w:vAlign w:val="center"/>
            <w:hideMark/>
          </w:tcPr>
          <w:p w14:paraId="5640ADD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Croatia</w:t>
            </w:r>
          </w:p>
        </w:tc>
        <w:tc>
          <w:tcPr>
            <w:tcW w:w="0" w:type="auto"/>
            <w:vAlign w:val="center"/>
            <w:hideMark/>
          </w:tcPr>
          <w:p w14:paraId="0A5A863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80</w:t>
            </w:r>
          </w:p>
        </w:tc>
        <w:tc>
          <w:tcPr>
            <w:tcW w:w="0" w:type="auto"/>
            <w:vAlign w:val="center"/>
            <w:hideMark/>
          </w:tcPr>
          <w:p w14:paraId="4DDB0B9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6759BC5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Accidental</w:t>
            </w:r>
          </w:p>
        </w:tc>
        <w:tc>
          <w:tcPr>
            <w:tcW w:w="0" w:type="auto"/>
            <w:vAlign w:val="center"/>
            <w:hideMark/>
          </w:tcPr>
          <w:p w14:paraId="789B067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40% solution</w:t>
            </w:r>
          </w:p>
        </w:tc>
        <w:tc>
          <w:tcPr>
            <w:tcW w:w="0" w:type="auto"/>
            <w:vAlign w:val="center"/>
            <w:hideMark/>
          </w:tcPr>
          <w:p w14:paraId="6E53A0D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100 mL</w:t>
            </w:r>
          </w:p>
        </w:tc>
        <w:tc>
          <w:tcPr>
            <w:tcW w:w="0" w:type="auto"/>
            <w:vAlign w:val="center"/>
            <w:hideMark/>
          </w:tcPr>
          <w:p w14:paraId="194DB54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200/110; PR 110; hypoxia; acidosis</w:t>
            </w:r>
          </w:p>
        </w:tc>
        <w:tc>
          <w:tcPr>
            <w:tcW w:w="0" w:type="auto"/>
            <w:vAlign w:val="center"/>
            <w:hideMark/>
          </w:tcPr>
          <w:p w14:paraId="552FB9D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22FA03B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Pneumonia; UTI</w:t>
            </w:r>
          </w:p>
        </w:tc>
        <w:tc>
          <w:tcPr>
            <w:tcW w:w="0" w:type="auto"/>
            <w:vAlign w:val="center"/>
            <w:hideMark/>
          </w:tcPr>
          <w:p w14:paraId="6C6C5DD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ceftazidime; gentamicin</w:t>
            </w:r>
          </w:p>
        </w:tc>
        <w:tc>
          <w:tcPr>
            <w:tcW w:w="0" w:type="auto"/>
            <w:vAlign w:val="center"/>
            <w:hideMark/>
          </w:tcPr>
          <w:p w14:paraId="1457DD7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09D7DD1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3949CAC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5EF4B45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0BC38A0C" w14:textId="77777777" w:rsidTr="0015630B">
        <w:trPr>
          <w:tblCellSpacing w:w="15" w:type="dxa"/>
        </w:trPr>
        <w:tc>
          <w:tcPr>
            <w:tcW w:w="0" w:type="auto"/>
            <w:hideMark/>
          </w:tcPr>
          <w:p w14:paraId="7786368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Durakovic Z (1992) - Case 3</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SASimEvJ","properties":{"formattedCitation":"(27)","plainCitation":"(27)","noteIndex":0},"citationItems":[{"id":1635,"uris":["http://zotero.org/users/12854872/items/WQM37LQF","http://zotero.org/users/12854872/items/53NT2SL6"],"itemData":{"id":1635,"type":"article-journal","container-title":"Archives of Toxicology","DOI":"10.1007/BF01970679","ISSN":"0340-5761, 1432-0738","issue":"7","journalAbbreviation":"Arch Toxicol","language":"en","license":"http://www.springer.com/tdm","page":"518-521","source":"DOI.org (Crossref)","title":"Poisoning with 2,4-dichlorophenoxyacetic acid treated by hemodialysis","volume":"66","author":[{"family":"Durakovic","given":"Zijad"},{"family":"Durakovic","given":"Asaf"},{"family":"Durakovic","given":"Senadin"},{"family":"Ivanovic","given":"Dragutin"}],"issued":{"date-parts":[["1992",8]]}}}],"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(27)</w:t>
            </w:r>
            <w:r w:rsidRPr="003C6B61">
              <w:rPr>
                <w:rFonts w:ascii="Times New Roman" w:hAnsi="Times New Roman" w:cs="Times New Roman"/>
              </w:rPr>
              <w:fldChar w:fldCharType="end"/>
            </w:r>
          </w:p>
        </w:tc>
        <w:tc>
          <w:tcPr>
            <w:tcW w:w="0" w:type="auto"/>
            <w:vAlign w:val="center"/>
            <w:hideMark/>
          </w:tcPr>
          <w:p w14:paraId="72E7BF6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Croatia</w:t>
            </w:r>
          </w:p>
        </w:tc>
        <w:tc>
          <w:tcPr>
            <w:tcW w:w="0" w:type="auto"/>
            <w:vAlign w:val="center"/>
            <w:hideMark/>
          </w:tcPr>
          <w:p w14:paraId="3FA78A5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24</w:t>
            </w:r>
          </w:p>
        </w:tc>
        <w:tc>
          <w:tcPr>
            <w:tcW w:w="0" w:type="auto"/>
            <w:vAlign w:val="center"/>
            <w:hideMark/>
          </w:tcPr>
          <w:p w14:paraId="1973326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73616A7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7B3F2BC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40% solution</w:t>
            </w:r>
          </w:p>
        </w:tc>
        <w:tc>
          <w:tcPr>
            <w:tcW w:w="0" w:type="auto"/>
            <w:vAlign w:val="center"/>
            <w:hideMark/>
          </w:tcPr>
          <w:p w14:paraId="417F609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500 mL</w:t>
            </w:r>
          </w:p>
        </w:tc>
        <w:tc>
          <w:tcPr>
            <w:tcW w:w="0" w:type="auto"/>
            <w:vAlign w:val="center"/>
            <w:hideMark/>
          </w:tcPr>
          <w:p w14:paraId="4EA8441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90/60; sinus tachycardia</w:t>
            </w:r>
          </w:p>
        </w:tc>
        <w:tc>
          <w:tcPr>
            <w:tcW w:w="0" w:type="auto"/>
            <w:vAlign w:val="center"/>
            <w:hideMark/>
          </w:tcPr>
          <w:p w14:paraId="2849D12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Conscious</w:t>
            </w:r>
          </w:p>
        </w:tc>
        <w:tc>
          <w:tcPr>
            <w:tcW w:w="0" w:type="auto"/>
            <w:vAlign w:val="center"/>
            <w:hideMark/>
          </w:tcPr>
          <w:p w14:paraId="32EA472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Hypotension</w:t>
            </w:r>
          </w:p>
        </w:tc>
        <w:tc>
          <w:tcPr>
            <w:tcW w:w="0" w:type="auto"/>
            <w:vAlign w:val="center"/>
            <w:hideMark/>
          </w:tcPr>
          <w:p w14:paraId="60B83F3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IV fluids</w:t>
            </w:r>
          </w:p>
        </w:tc>
        <w:tc>
          <w:tcPr>
            <w:tcW w:w="0" w:type="auto"/>
            <w:vAlign w:val="center"/>
            <w:hideMark/>
          </w:tcPr>
          <w:p w14:paraId="175D121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688BEDA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5B28C55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46281BE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3961106B" w14:textId="77777777" w:rsidTr="0015630B">
        <w:trPr>
          <w:tblCellSpacing w:w="15" w:type="dxa"/>
        </w:trPr>
        <w:tc>
          <w:tcPr>
            <w:tcW w:w="0" w:type="auto"/>
            <w:hideMark/>
          </w:tcPr>
          <w:p w14:paraId="67939E0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Durakovic Z (1992) - Case 4</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lIHHQhna","properties":{"formattedCitation":"(27)","plainCitation":"(27)","noteIndex":0},"citationItems":[{"id":1635,"uris":["http://zotero.org/users/12854872/items/WQM37LQF","http://zotero.org/users/12854872/items/53NT2SL6"],"itemData":{"id":1635,"type":"article-journal","container-title":"Archives of Toxicology","DOI":"10.1007/BF01970679","ISSN":"0340-5761, 1432-0738","issue":"7","journalAbbreviation":"Arch Toxicol","language":"en","license":"http://www.springer.com/tdm","page":"518-521","source":"DOI.org (Crossref)","title":"Poisoning with 2,4-dichlorophenoxyacetic acid treated by hemodialysis","volume":"66","author":[{"family":"Durakovic","given":"Zijad"},{"family":"Durakovic","given":"Asaf"},{"family":"Durakovic","given":"Senadin"},{"family":"Ivanovic","given":"Dragutin"}],"issued":{"date-parts":[["1992",8]]}}}],"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(27)</w:t>
            </w:r>
            <w:r w:rsidRPr="003C6B61">
              <w:rPr>
                <w:rFonts w:ascii="Times New Roman" w:hAnsi="Times New Roman" w:cs="Times New Roman"/>
              </w:rPr>
              <w:fldChar w:fldCharType="end"/>
            </w:r>
          </w:p>
        </w:tc>
        <w:tc>
          <w:tcPr>
            <w:tcW w:w="0" w:type="auto"/>
            <w:vAlign w:val="center"/>
            <w:hideMark/>
          </w:tcPr>
          <w:p w14:paraId="2521C70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Croatia</w:t>
            </w:r>
          </w:p>
        </w:tc>
        <w:tc>
          <w:tcPr>
            <w:tcW w:w="0" w:type="auto"/>
            <w:vAlign w:val="center"/>
            <w:hideMark/>
          </w:tcPr>
          <w:p w14:paraId="1BDC837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50</w:t>
            </w:r>
          </w:p>
        </w:tc>
        <w:tc>
          <w:tcPr>
            <w:tcW w:w="0" w:type="auto"/>
            <w:vAlign w:val="center"/>
            <w:hideMark/>
          </w:tcPr>
          <w:p w14:paraId="75AC9A7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79ADA09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Accidental</w:t>
            </w:r>
          </w:p>
        </w:tc>
        <w:tc>
          <w:tcPr>
            <w:tcW w:w="0" w:type="auto"/>
            <w:vAlign w:val="center"/>
            <w:hideMark/>
          </w:tcPr>
          <w:p w14:paraId="14F69BE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40% solution</w:t>
            </w:r>
          </w:p>
        </w:tc>
        <w:tc>
          <w:tcPr>
            <w:tcW w:w="0" w:type="auto"/>
            <w:vAlign w:val="center"/>
            <w:hideMark/>
          </w:tcPr>
          <w:p w14:paraId="53C76E5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100–200 mL</w:t>
            </w:r>
          </w:p>
        </w:tc>
        <w:tc>
          <w:tcPr>
            <w:tcW w:w="0" w:type="auto"/>
            <w:vAlign w:val="center"/>
            <w:hideMark/>
          </w:tcPr>
          <w:p w14:paraId="24E0EAC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100/60; WBC 20k; 2,4-D 37 mg/100 mL</w:t>
            </w:r>
          </w:p>
        </w:tc>
        <w:tc>
          <w:tcPr>
            <w:tcW w:w="0" w:type="auto"/>
            <w:vAlign w:val="center"/>
            <w:hideMark/>
          </w:tcPr>
          <w:p w14:paraId="639ABE3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427FFE2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ARF; sepsis</w:t>
            </w:r>
          </w:p>
        </w:tc>
        <w:tc>
          <w:tcPr>
            <w:tcW w:w="0" w:type="auto"/>
            <w:vAlign w:val="center"/>
            <w:hideMark/>
          </w:tcPr>
          <w:p w14:paraId="4344E9A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antibiotics</w:t>
            </w:r>
          </w:p>
        </w:tc>
        <w:tc>
          <w:tcPr>
            <w:tcW w:w="0" w:type="auto"/>
            <w:vAlign w:val="center"/>
            <w:hideMark/>
          </w:tcPr>
          <w:p w14:paraId="45C5090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32F75AE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5668480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79A13AF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599D5FC4" w14:textId="77777777" w:rsidTr="0015630B">
        <w:trPr>
          <w:tblCellSpacing w:w="15" w:type="dxa"/>
        </w:trPr>
        <w:tc>
          <w:tcPr>
            <w:tcW w:w="0" w:type="auto"/>
            <w:hideMark/>
          </w:tcPr>
          <w:p w14:paraId="5BBFB34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Prescott LF (1979)</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SgOesrIp","properties":{"formattedCitation":"(28)","plainCitation":"(28)","noteIndex":0},"citationItems":[{"id":1636,"uris":["http://zotero.org/users/12854872/items/9F7YGS4J","http://zotero.org/users/12854872/items/LUXKZI44"],"itemData":{"id":1636,"type":"article-journal","abstract":"1 Self‐poisoning with a selective weedkiller containing 2,4‐D and mecoprop in a 39 year old man resulted in prolonged deep coma, pyrexia, hyperventilation, hypoxaemia, myotonia, skeletal muscle damage and electrocardiographic changes consistent with cardiomyopathy. 2 The admission plasma concentrations of 2,4‐D and mecoprop were 400 and 751 microgram/ml respectively. The patient remained gravely ill with no signs of improvement for 2 days with supportive therapy and there was no fall in the 2,4‐D level. 3 Alkaline diuresis greatly increased the renal clearance of 2,4‐D, and there was a rapid fall in plasma concentration (T1/2 3.7 h) with corresponding clinical improvement. The effect on the elimination of mecoprop was similar, but less dramatic. 4 Forced alkaline diuresis may improve the otherwise very poor prognosis in severe intoxication with 2,4‐D and related weedkillers.","container-title":"British Journal of Clinical Pharmacology","DOI":"10.1111/j.1365-2125.1979.tb00906.x","ISSN":"0306-5251, 1365-2125","issue":"1","journalAbbreviation":"Brit J Clinical Pharma","language":"en","license":"http://onlinelibrary.wiley.com/termsAndConditions#vor","page":"111-116","source":"DOI.org (Crossref)","title":"Treatment of severe 2,4‐D and mecoprop intoxication with alkaline diuresis.","volume":"7","author":[{"family":"Prescott","given":"Lf"},{"family":"Park","given":"J"},{"family":"Darrien","given":"I"}],"issued":{"date-parts":[["1979",1]]}}}],"schema":"https://github.com/citation-style-language/schema/raw/master/csl-citation.json"}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(28)</w:t>
            </w:r>
            <w:r w:rsidRPr="003C6B61">
              <w:rPr>
                <w:rFonts w:ascii="Times New Roman" w:hAnsi="Times New Roman" w:cs="Times New Roman"/>
              </w:rPr>
              <w:fldChar w:fldCharType="end"/>
            </w:r>
          </w:p>
        </w:tc>
        <w:tc>
          <w:tcPr>
            <w:tcW w:w="0" w:type="auto"/>
            <w:vAlign w:val="center"/>
            <w:hideMark/>
          </w:tcPr>
          <w:p w14:paraId="644EC0C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UK</w:t>
            </w:r>
          </w:p>
        </w:tc>
        <w:tc>
          <w:tcPr>
            <w:tcW w:w="0" w:type="auto"/>
            <w:vAlign w:val="center"/>
            <w:hideMark/>
          </w:tcPr>
          <w:p w14:paraId="3C458AE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39</w:t>
            </w:r>
          </w:p>
        </w:tc>
        <w:tc>
          <w:tcPr>
            <w:tcW w:w="0" w:type="auto"/>
            <w:vAlign w:val="center"/>
            <w:hideMark/>
          </w:tcPr>
          <w:p w14:paraId="52EE6AC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1F832A3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05F826C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2,4-D + mecoprop</w:t>
            </w:r>
          </w:p>
        </w:tc>
        <w:tc>
          <w:tcPr>
            <w:tcW w:w="0" w:type="auto"/>
            <w:vAlign w:val="center"/>
            <w:hideMark/>
          </w:tcPr>
          <w:p w14:paraId="1BF35D4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70 mL</w:t>
            </w:r>
          </w:p>
        </w:tc>
        <w:tc>
          <w:tcPr>
            <w:tcW w:w="0" w:type="auto"/>
            <w:vAlign w:val="center"/>
            <w:hideMark/>
          </w:tcPr>
          <w:p w14:paraId="624D67B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HR 140; T 39°C; 2,4-D 400 mg/L; CPK &gt;3000</w:t>
            </w:r>
          </w:p>
        </w:tc>
        <w:tc>
          <w:tcPr>
            <w:tcW w:w="0" w:type="auto"/>
            <w:vAlign w:val="center"/>
            <w:hideMark/>
          </w:tcPr>
          <w:p w14:paraId="4E90E74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28050B5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Pyrexia; myopathy</w:t>
            </w:r>
          </w:p>
        </w:tc>
        <w:tc>
          <w:tcPr>
            <w:tcW w:w="0" w:type="auto"/>
            <w:vAlign w:val="center"/>
            <w:hideMark/>
          </w:tcPr>
          <w:p w14:paraId="6491218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MV; hydrocortisone</w:t>
            </w:r>
          </w:p>
        </w:tc>
        <w:tc>
          <w:tcPr>
            <w:tcW w:w="0" w:type="auto"/>
            <w:vAlign w:val="center"/>
            <w:hideMark/>
          </w:tcPr>
          <w:p w14:paraId="2EC0543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236ACA5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52E0828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09FD687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2D5C6858" w14:textId="77777777" w:rsidTr="0015630B">
        <w:trPr>
          <w:tblCellSpacing w:w="15" w:type="dxa"/>
        </w:trPr>
        <w:tc>
          <w:tcPr>
            <w:tcW w:w="0" w:type="auto"/>
            <w:hideMark/>
          </w:tcPr>
          <w:p w14:paraId="056FC76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Abebe TB (2025)</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haaWHr9Y","properties":{"formattedCitation":"(7)","plainCitation":"(7)","noteIndex":0},"citationItems":[{"id":157,"uris":["http://zotero.org/users/12854872/items/CXQDG9GV","http://zotero.org/users/12854872/items/TBD8GJF9"],"itemData":{"id":157,"type":"article-journal","abstract":"Herbicide poisoning, particularly from 2,4-dichlorophenoxyacetic acid (2,4-D), is an uncommon yet significant cause of systemic toxicity, especially in agricultural regions such as Ethiopia. Patients exposed to 2,4-D frequently exhibit symptoms associated with gastrointestinal, muscular, renal, and neurological toxicity. In this report, we describe a case of 2,4-D ingestion that resulted in systemic complications and the exceptionally rare occurrence of multiple colonic perforations.","container-title":"International Journal of Emergency Medicine","DOI":"10.1186/s12245-025-00875-7","ISSN":"1865-1380","issue":"1","journalAbbreviation":"International Journal of Emergency Medicine","page":"74","source":"BioMed Central","title":"Herbicide poisoning causing multiple colonic perforations: case report","title-short":"Herbicide poisoning causing multiple colonic perforations","volume":"18","author":[{"family":"Abebe","given":"Tesfaye Birhanu"},{"family":"Ayana","given":"Daba Iticha"},{"family":"Bedada","given":"Dereje Gebisa"},{"family":"Weldeyes","given":"Eyob Girum"}],"issued":{"date-parts":[["2025",4,10]]}}}],"schema":"https://github.com/citation-style-language/schema/raw/master/csl-citation.json"}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(7)</w:t>
            </w:r>
            <w:r w:rsidRPr="003C6B61">
              <w:rPr>
                <w:rFonts w:ascii="Times New Roman" w:hAnsi="Times New Roman" w:cs="Times New Roman"/>
              </w:rPr>
              <w:fldChar w:fldCharType="end"/>
            </w:r>
          </w:p>
        </w:tc>
        <w:tc>
          <w:tcPr>
            <w:tcW w:w="0" w:type="auto"/>
            <w:vAlign w:val="center"/>
            <w:hideMark/>
          </w:tcPr>
          <w:p w14:paraId="2C42B00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Ethiopia</w:t>
            </w:r>
          </w:p>
        </w:tc>
        <w:tc>
          <w:tcPr>
            <w:tcW w:w="0" w:type="auto"/>
            <w:vAlign w:val="center"/>
            <w:hideMark/>
          </w:tcPr>
          <w:p w14:paraId="15672FE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19</w:t>
            </w:r>
          </w:p>
        </w:tc>
        <w:tc>
          <w:tcPr>
            <w:tcW w:w="0" w:type="auto"/>
            <w:vAlign w:val="center"/>
            <w:hideMark/>
          </w:tcPr>
          <w:p w14:paraId="32A51EA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039520C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0B16D8F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2,4-D 72% (Zhora)</w:t>
            </w:r>
          </w:p>
        </w:tc>
        <w:tc>
          <w:tcPr>
            <w:tcW w:w="0" w:type="auto"/>
            <w:vAlign w:val="center"/>
            <w:hideMark/>
          </w:tcPr>
          <w:p w14:paraId="068E6CC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25 mL</w:t>
            </w:r>
          </w:p>
        </w:tc>
        <w:tc>
          <w:tcPr>
            <w:tcW w:w="0" w:type="auto"/>
            <w:vAlign w:val="center"/>
            <w:hideMark/>
          </w:tcPr>
          <w:p w14:paraId="20F0AB9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82/43; HR 136; AST 245; ALT 160</w:t>
            </w:r>
          </w:p>
        </w:tc>
        <w:tc>
          <w:tcPr>
            <w:tcW w:w="0" w:type="auto"/>
            <w:vAlign w:val="center"/>
            <w:hideMark/>
          </w:tcPr>
          <w:p w14:paraId="4BF4C09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078E165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AKI; colonic perforation</w:t>
            </w:r>
          </w:p>
        </w:tc>
        <w:tc>
          <w:tcPr>
            <w:tcW w:w="0" w:type="auto"/>
            <w:vAlign w:val="center"/>
            <w:hideMark/>
          </w:tcPr>
          <w:p w14:paraId="70FAB54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intubation; surgery</w:t>
            </w:r>
          </w:p>
        </w:tc>
        <w:tc>
          <w:tcPr>
            <w:tcW w:w="0" w:type="auto"/>
            <w:vAlign w:val="center"/>
            <w:hideMark/>
          </w:tcPr>
          <w:p w14:paraId="5D096A2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4D3AB36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6000A68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14020A9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78A593A6" w14:textId="77777777" w:rsidTr="0015630B">
        <w:trPr>
          <w:tblCellSpacing w:w="15" w:type="dxa"/>
        </w:trPr>
        <w:tc>
          <w:tcPr>
            <w:tcW w:w="0" w:type="auto"/>
            <w:hideMark/>
          </w:tcPr>
          <w:p w14:paraId="4D1BC19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Z Oghabian 2014</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{"citationID":"yy8J6rQs","properties":{"formattedCitation":"(29)","plainCitation":"(29)","noteIndex":0},"citationItems":[{"id":1745,"uris":["http://zotero.org/users/12854872/items/UE5479YE"],"itemData":{"id":1745,"type":"article-journal","title":"Treatment of 2, 4-Dichlorophenoxyacetic Acid (2, 4-D) Poisoning; a Case Study"}}],"schema":"https://github.com/citation-style-language/schema/raw/master/csl-citation.json"}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(29)</w:t>
            </w:r>
            <w:r w:rsidRPr="003C6B61">
              <w:rPr>
                <w:rFonts w:ascii="Times New Roman" w:hAnsi="Times New Roman" w:cs="Times New Roman"/>
              </w:rPr>
              <w:fldChar w:fldCharType="end"/>
            </w:r>
          </w:p>
        </w:tc>
        <w:tc>
          <w:tcPr>
            <w:tcW w:w="0" w:type="auto"/>
            <w:vAlign w:val="center"/>
            <w:hideMark/>
          </w:tcPr>
          <w:p w14:paraId="3CDFDFC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Iran</w:t>
            </w:r>
          </w:p>
        </w:tc>
        <w:tc>
          <w:tcPr>
            <w:tcW w:w="0" w:type="auto"/>
            <w:vAlign w:val="center"/>
            <w:hideMark/>
          </w:tcPr>
          <w:p w14:paraId="7399C30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22</w:t>
            </w:r>
          </w:p>
        </w:tc>
        <w:tc>
          <w:tcPr>
            <w:tcW w:w="0" w:type="auto"/>
            <w:vAlign w:val="center"/>
            <w:hideMark/>
          </w:tcPr>
          <w:p w14:paraId="6CDB60D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371F29F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419AC1E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2,4-D acid</w:t>
            </w:r>
          </w:p>
        </w:tc>
        <w:tc>
          <w:tcPr>
            <w:tcW w:w="0" w:type="auto"/>
            <w:vAlign w:val="center"/>
            <w:hideMark/>
          </w:tcPr>
          <w:p w14:paraId="690E73F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400 mL</w:t>
            </w:r>
          </w:p>
        </w:tc>
        <w:tc>
          <w:tcPr>
            <w:tcW w:w="0" w:type="auto"/>
            <w:vAlign w:val="center"/>
            <w:hideMark/>
          </w:tcPr>
          <w:p w14:paraId="6A83C6E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125/79; CK ↑; AST/ALT ↑</w:t>
            </w:r>
          </w:p>
        </w:tc>
        <w:tc>
          <w:tcPr>
            <w:tcW w:w="0" w:type="auto"/>
            <w:vAlign w:val="center"/>
            <w:hideMark/>
          </w:tcPr>
          <w:p w14:paraId="5C71CB7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Conscious</w:t>
            </w:r>
          </w:p>
        </w:tc>
        <w:tc>
          <w:tcPr>
            <w:tcW w:w="0" w:type="auto"/>
            <w:vAlign w:val="center"/>
            <w:hideMark/>
          </w:tcPr>
          <w:p w14:paraId="1497FF6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Rhabdomyolysis</w:t>
            </w:r>
          </w:p>
        </w:tc>
        <w:tc>
          <w:tcPr>
            <w:tcW w:w="0" w:type="auto"/>
            <w:vAlign w:val="center"/>
            <w:hideMark/>
          </w:tcPr>
          <w:p w14:paraId="262EFF5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charcoal; IV fluids</w:t>
            </w:r>
          </w:p>
        </w:tc>
        <w:tc>
          <w:tcPr>
            <w:tcW w:w="0" w:type="auto"/>
            <w:vAlign w:val="center"/>
            <w:hideMark/>
          </w:tcPr>
          <w:p w14:paraId="7405B6E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1A463B5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135E813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2B911A2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1D3C0A89" w14:textId="77777777" w:rsidTr="0015630B">
        <w:trPr>
          <w:tblCellSpacing w:w="15" w:type="dxa"/>
        </w:trPr>
        <w:tc>
          <w:tcPr>
            <w:tcW w:w="0" w:type="auto"/>
            <w:hideMark/>
          </w:tcPr>
          <w:p w14:paraId="031E31B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Moshiri et al. (2016)</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{"citationID":"hmv6yXkS","properties":{"formattedCitation":"(30)","plainCitation":"(30)","noteIndex":0},"citationItems":[{"id":1746,"uris":["http://zotero.org/users/12854872/items/JR8ZV3VZ"],"itemData":{"id":1746,"type":"article-journal","title":"Management of 2, 4- Dichlorophenoxyacetic Acid Intoxication by Hemodialysis: A Case Report"}}],"schema":"https://github.com/citation-style-language/schema/raw/master/csl-citation.json"}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(30)</w:t>
            </w:r>
            <w:r w:rsidRPr="003C6B61">
              <w:rPr>
                <w:rFonts w:ascii="Times New Roman" w:hAnsi="Times New Roman" w:cs="Times New Roman"/>
              </w:rPr>
              <w:fldChar w:fldCharType="end"/>
            </w:r>
          </w:p>
        </w:tc>
        <w:tc>
          <w:tcPr>
            <w:tcW w:w="0" w:type="auto"/>
            <w:vAlign w:val="center"/>
            <w:hideMark/>
          </w:tcPr>
          <w:p w14:paraId="38659D8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Iran</w:t>
            </w:r>
          </w:p>
        </w:tc>
        <w:tc>
          <w:tcPr>
            <w:tcW w:w="0" w:type="auto"/>
            <w:vAlign w:val="center"/>
            <w:hideMark/>
          </w:tcPr>
          <w:p w14:paraId="2D594DC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53</w:t>
            </w:r>
          </w:p>
        </w:tc>
        <w:tc>
          <w:tcPr>
            <w:tcW w:w="0" w:type="auto"/>
            <w:vAlign w:val="center"/>
            <w:hideMark/>
          </w:tcPr>
          <w:p w14:paraId="56091D2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36AFA5C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Unclear</w:t>
            </w:r>
          </w:p>
        </w:tc>
        <w:tc>
          <w:tcPr>
            <w:tcW w:w="0" w:type="auto"/>
            <w:vAlign w:val="center"/>
            <w:hideMark/>
          </w:tcPr>
          <w:p w14:paraId="0B768F0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40% herbicide</w:t>
            </w:r>
          </w:p>
        </w:tc>
        <w:tc>
          <w:tcPr>
            <w:tcW w:w="0" w:type="auto"/>
            <w:vAlign w:val="center"/>
            <w:hideMark/>
          </w:tcPr>
          <w:p w14:paraId="5E59653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High dose</w:t>
            </w:r>
          </w:p>
        </w:tc>
        <w:tc>
          <w:tcPr>
            <w:tcW w:w="0" w:type="auto"/>
            <w:vAlign w:val="center"/>
            <w:hideMark/>
          </w:tcPr>
          <w:p w14:paraId="268DDEB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BP 110/70; HR 115</w:t>
            </w:r>
          </w:p>
        </w:tc>
        <w:tc>
          <w:tcPr>
            <w:tcW w:w="0" w:type="auto"/>
            <w:vAlign w:val="center"/>
            <w:hideMark/>
          </w:tcPr>
          <w:p w14:paraId="2BA6724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Confusion</w:t>
            </w:r>
          </w:p>
        </w:tc>
        <w:tc>
          <w:tcPr>
            <w:tcW w:w="0" w:type="auto"/>
            <w:vAlign w:val="center"/>
            <w:hideMark/>
          </w:tcPr>
          <w:p w14:paraId="2B7B703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Hypotension; ↓LOC</w:t>
            </w:r>
          </w:p>
        </w:tc>
        <w:tc>
          <w:tcPr>
            <w:tcW w:w="0" w:type="auto"/>
            <w:vAlign w:val="center"/>
            <w:hideMark/>
          </w:tcPr>
          <w:p w14:paraId="398D37C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Charcoal; IV fluids</w:t>
            </w:r>
          </w:p>
        </w:tc>
        <w:tc>
          <w:tcPr>
            <w:tcW w:w="0" w:type="auto"/>
            <w:vAlign w:val="center"/>
            <w:hideMark/>
          </w:tcPr>
          <w:p w14:paraId="79A113B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337F736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3B7B41B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0294B04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56063F82" w14:textId="77777777" w:rsidTr="0015630B">
        <w:trPr>
          <w:tblCellSpacing w:w="15" w:type="dxa"/>
        </w:trPr>
        <w:tc>
          <w:tcPr>
            <w:tcW w:w="0" w:type="auto"/>
            <w:hideMark/>
          </w:tcPr>
          <w:p w14:paraId="236CE2B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hAnsi="Times New Roman" w:cs="Times New Roman"/>
              </w:rPr>
              <w:t>Singla et al. (2017)</w:t>
            </w:r>
            <w:r w:rsidRPr="003C6B61">
              <w:rPr>
                <w:rFonts w:ascii="Times New Roman" w:hAnsi="Times New Roman" w:cs="Times New Roman"/>
              </w:rPr>
              <w:fldChar w:fldCharType="begin"/>
            </w:r>
            <w:r w:rsidRPr="003C6B61">
              <w:rPr>
                <w:rFonts w:ascii="Times New Roman" w:hAnsi="Times New Roman" w:cs="Times New Roman"/>
              </w:rPr>
              <w:instrText xml:space="preserve"> ADDIN ZOTERO_ITEM CSL_CITATION {"citationID":"cJYFpgO9","properties":{"formattedCitation":"(31)","plainCitation":"(31)","noteIndex":0},"citationItems":[{"id":1747,"uris":["http://zotero.org/users/12854872/items/R7WNEU2W"],"itemData":{"id":1747,"type":"article-journal","abstract":"2,4-D (2,4-dichlorphenoxyacetic acid) is a selective herbicide which kills broad leaved plants but not grasses. It is not toxic to beneficial insects and has moderate mammalian toxicity. It is used widely in agriculture and forestry as an herbicide in either ester or salt formulation. Human poisoning with 2,4- D is rare and is generally following suicidal ingestion. Here we report a case of 2,4- D poisoning.","container-title":"International Journal of Contemporary Pediatrics","DOI":"10.18203/2349-3291.ijcp20172701","ISSN":"2349-3291","issue":"4","language":"en","page":"1532-1533","source":"www.ijpediatrics.com","title":"A rare case of 2, 4-Dichlorphenoxyacetic acid (2, 4-D) poisoning","volume":"4","author":[{"family":"Singla","given":"Sanjay"},{"family":"Malvia","given":"Sunny"},{"family":"Bairwa","given":"Ram Prakash"},{"family":"Asif","given":"Mohammad"},{"family":"Goyal","given":"Suresh"}],"issued":{"date-parts":[["2017",6,21]]}},"locator":"4"}],"schema":"https://github.com/citation-style-language/schema/raw/master/csl-citation.json"} </w:instrText>
            </w:r>
            <w:r w:rsidRPr="003C6B61">
              <w:rPr>
                <w:rFonts w:ascii="Times New Roman" w:hAnsi="Times New Roman" w:cs="Times New Roman"/>
              </w:rPr>
              <w:fldChar w:fldCharType="separate"/>
            </w:r>
            <w:r w:rsidRPr="003C6B61">
              <w:rPr>
                <w:rFonts w:ascii="Times New Roman" w:hAnsi="Times New Roman" w:cs="Times New Roman"/>
              </w:rPr>
              <w:t>(31)</w:t>
            </w:r>
            <w:r w:rsidRPr="003C6B61">
              <w:rPr>
                <w:rFonts w:ascii="Times New Roman" w:hAnsi="Times New Roman" w:cs="Times New Roman"/>
              </w:rPr>
              <w:fldChar w:fldCharType="end"/>
            </w:r>
          </w:p>
        </w:tc>
        <w:tc>
          <w:tcPr>
            <w:tcW w:w="0" w:type="auto"/>
            <w:vAlign w:val="center"/>
            <w:hideMark/>
          </w:tcPr>
          <w:p w14:paraId="2342791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482D70A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14</w:t>
            </w:r>
          </w:p>
        </w:tc>
        <w:tc>
          <w:tcPr>
            <w:tcW w:w="0" w:type="auto"/>
            <w:vAlign w:val="center"/>
            <w:hideMark/>
          </w:tcPr>
          <w:p w14:paraId="1247A11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60FAE05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137C66C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2,4-D solution</w:t>
            </w:r>
          </w:p>
        </w:tc>
        <w:tc>
          <w:tcPr>
            <w:tcW w:w="0" w:type="auto"/>
            <w:vAlign w:val="center"/>
            <w:hideMark/>
          </w:tcPr>
          <w:p w14:paraId="267FDAF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50 mL</w:t>
            </w:r>
          </w:p>
        </w:tc>
        <w:tc>
          <w:tcPr>
            <w:tcW w:w="0" w:type="auto"/>
            <w:vAlign w:val="center"/>
            <w:hideMark/>
          </w:tcPr>
          <w:p w14:paraId="11FF836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Tachycardia; tachypnea; alkalosis</w:t>
            </w:r>
          </w:p>
        </w:tc>
        <w:tc>
          <w:tcPr>
            <w:tcW w:w="0" w:type="auto"/>
            <w:vAlign w:val="center"/>
            <w:hideMark/>
          </w:tcPr>
          <w:p w14:paraId="125FF7A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06ADA71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Resp depression; arrest</w:t>
            </w:r>
          </w:p>
        </w:tc>
        <w:tc>
          <w:tcPr>
            <w:tcW w:w="0" w:type="auto"/>
            <w:vAlign w:val="center"/>
            <w:hideMark/>
          </w:tcPr>
          <w:p w14:paraId="4EEF6E1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MV; antibiotics</w:t>
            </w:r>
          </w:p>
        </w:tc>
        <w:tc>
          <w:tcPr>
            <w:tcW w:w="0" w:type="auto"/>
            <w:vAlign w:val="center"/>
            <w:hideMark/>
          </w:tcPr>
          <w:p w14:paraId="525EB78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16B2993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5CACCC8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6C2EAF4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r w:rsidR="008B1707" w:rsidRPr="003C6B61" w14:paraId="6D3F430A" w14:textId="77777777" w:rsidTr="0015630B">
        <w:trPr>
          <w:tblCellSpacing w:w="15" w:type="dxa"/>
        </w:trPr>
        <w:tc>
          <w:tcPr>
            <w:tcW w:w="0" w:type="auto"/>
            <w:hideMark/>
          </w:tcPr>
          <w:p w14:paraId="48BF317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Cobilinschi et al. (2021)</w:t>
            </w:r>
            <w:r w:rsidRPr="003C6B61">
              <w:rPr>
                <w:rFonts w:ascii="Times New Roman" w:eastAsia="Times New Roman" w:hAnsi="Times New Roman" w:cs="Times New Roman"/>
                <w:kern w:val="0"/>
                <w14:ligatures w14:val="none"/>
              </w:rPr>
              <w:fldChar w:fldCharType="begin"/>
            </w:r>
            <w:r w:rsidRPr="003C6B61">
              <w:rPr>
                <w:rFonts w:ascii="Times New Roman" w:eastAsia="Times New Roman" w:hAnsi="Times New Roman" w:cs="Times New Roman"/>
              </w:rPr>
              <w:instrText xml:space="preserve"> ADDIN ZOTERO_ITEM CSL_CITATION {"citationID":"GrQDD8bG","properties":{"formattedCitation":"(32)","plainCitation":"(32)","noteIndex":0},"citationItems":[{"id":1765,"uris":["http://zotero.org/users/12854872/items/2CQ2PA68"],"itemData":{"id":1765,"type":"article-journal","abstract":"Herbicides are widely used to control the growth of broadleaf plants and among these 2,4-dichlorphenoxyacetic acid (2,4-D) has become dominant in both agriculture and households. However, despite being rare, acute intoxication with 2,4-D has lethal potential if early diagnosis and management are misguided. 2,4-D poisoning can mimic OP intoxication, so neuromuscular toxicity and coma can orient towards a correct symptom identification. We report the case of a 46-year-old male patient brought into the emergency department after voluntary herbicide ingestion that family confirmed as 2,4-D. Initial assessment revealed an agitated, confused, drowsy patient with a CGS of 9. Laboratory tests revealed mild metabolic acidosis and rhabdomyolysis. Patient management included early sodium bicarbonate administration, low dose mannitol, injectable furosemide and supplemental potassium to induce urine alkalinization. He was discharged five days later in good clinical condition. Acute 2,4-D intoxication has an increased risk of mortality, especially since no antidote is available. Diagnosis should be made promptly and urine alkalinization to accelerate poison clearance is the mainstay treatment.","container-title":"Romanian Journal of Emergency Surgery","DOI":"10.33695/rojes.v3i1.37","ISSN":"2668-7453","issue":"1","language":"en","license":"Copyright (c) 2022","page":"24-29","source":"www.rojes.org","title":"SUCCESSFUL MANAGEMENT IN OTHERWISE LETHAL SUICIDAL POISONING WITH 2,4-DICHLORPHENOXYACETIC ACID","volume":"3","author":[{"family":"Cobilinschi","given":"Cristian"},{"family":"Andrei","given":"Andrei Cosmin"},{"family":"Tincu","given":"Radu"}],"issued":{"date-parts":[["2021",6,23]]}}}],"schema":"https://github.com/citation-style-language/schema/raw/master/csl-citation.json"} </w:instrText>
            </w:r>
            <w:r w:rsidRPr="003C6B61">
              <w:rPr>
                <w:rFonts w:ascii="Times New Roman" w:eastAsia="Times New Roman" w:hAnsi="Times New Roman" w:cs="Times New Roman"/>
                <w:kern w:val="0"/>
                <w14:ligatures w14:val="none"/>
              </w:rPr>
              <w:fldChar w:fldCharType="separate"/>
            </w:r>
            <w:r w:rsidRPr="003C6B61">
              <w:rPr>
                <w:rFonts w:ascii="Times New Roman" w:hAnsi="Times New Roman" w:cs="Times New Roman"/>
              </w:rPr>
              <w:t>(32)</w:t>
            </w:r>
            <w:r w:rsidRPr="003C6B61">
              <w:rPr>
                <w:rFonts w:ascii="Times New Roman" w:eastAsia="Times New Roman" w:hAnsi="Times New Roman" w:cs="Times New Roman"/>
                <w:kern w:val="0"/>
                <w14:ligatures w14:val="none"/>
              </w:rPr>
              <w:fldChar w:fldCharType="end"/>
            </w:r>
          </w:p>
        </w:tc>
        <w:tc>
          <w:tcPr>
            <w:tcW w:w="0" w:type="auto"/>
            <w:vAlign w:val="center"/>
            <w:hideMark/>
          </w:tcPr>
          <w:p w14:paraId="69D9C13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Romania</w:t>
            </w:r>
          </w:p>
        </w:tc>
        <w:tc>
          <w:tcPr>
            <w:tcW w:w="0" w:type="auto"/>
            <w:vAlign w:val="center"/>
            <w:hideMark/>
          </w:tcPr>
          <w:p w14:paraId="61D6B8D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46</w:t>
            </w:r>
          </w:p>
        </w:tc>
        <w:tc>
          <w:tcPr>
            <w:tcW w:w="0" w:type="auto"/>
            <w:vAlign w:val="center"/>
            <w:hideMark/>
          </w:tcPr>
          <w:p w14:paraId="057E0A1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4F55E31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2CF658F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Acid herbicide</w:t>
            </w:r>
          </w:p>
        </w:tc>
        <w:tc>
          <w:tcPr>
            <w:tcW w:w="0" w:type="auto"/>
            <w:vAlign w:val="center"/>
            <w:hideMark/>
          </w:tcPr>
          <w:p w14:paraId="01C0445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100 mL</w:t>
            </w:r>
          </w:p>
        </w:tc>
        <w:tc>
          <w:tcPr>
            <w:tcW w:w="0" w:type="auto"/>
            <w:vAlign w:val="center"/>
            <w:hideMark/>
          </w:tcPr>
          <w:p w14:paraId="4809949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Hypoxia; tachycardia; acidosis</w:t>
            </w:r>
          </w:p>
        </w:tc>
        <w:tc>
          <w:tcPr>
            <w:tcW w:w="0" w:type="auto"/>
            <w:vAlign w:val="center"/>
            <w:hideMark/>
          </w:tcPr>
          <w:p w14:paraId="329560E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9</w:t>
            </w:r>
          </w:p>
        </w:tc>
        <w:tc>
          <w:tcPr>
            <w:tcW w:w="0" w:type="auto"/>
            <w:vAlign w:val="center"/>
            <w:hideMark/>
          </w:tcPr>
          <w:p w14:paraId="27B39A2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Resp failure; rhabdomyolysis</w:t>
            </w:r>
          </w:p>
        </w:tc>
        <w:tc>
          <w:tcPr>
            <w:tcW w:w="0" w:type="auto"/>
            <w:vAlign w:val="center"/>
            <w:hideMark/>
          </w:tcPr>
          <w:p w14:paraId="302D4C9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charcoal; MV; vasopressors</w:t>
            </w:r>
          </w:p>
        </w:tc>
        <w:tc>
          <w:tcPr>
            <w:tcW w:w="0" w:type="auto"/>
            <w:vAlign w:val="center"/>
            <w:hideMark/>
          </w:tcPr>
          <w:p w14:paraId="54DF295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 + mannitol + furosemide</w:t>
            </w:r>
          </w:p>
        </w:tc>
        <w:tc>
          <w:tcPr>
            <w:tcW w:w="0" w:type="auto"/>
            <w:vAlign w:val="center"/>
            <w:hideMark/>
          </w:tcPr>
          <w:p w14:paraId="1041160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2BF7630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4C9E3AB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0FC251DB" w14:textId="77777777" w:rsidTr="0015630B">
        <w:trPr>
          <w:tblCellSpacing w:w="15" w:type="dxa"/>
        </w:trPr>
        <w:tc>
          <w:tcPr>
            <w:tcW w:w="0" w:type="auto"/>
            <w:hideMark/>
          </w:tcPr>
          <w:p w14:paraId="2EFBB83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Bhalla et al. (2008) – Case 1</w:t>
            </w:r>
            <w:r w:rsidRPr="003C6B61">
              <w:rPr>
                <w:rFonts w:ascii="Times New Roman" w:eastAsia="Times New Roman" w:hAnsi="Times New Roman" w:cs="Times New Roman"/>
                <w:kern w:val="0"/>
                <w14:ligatures w14:val="none"/>
              </w:rPr>
              <w:fldChar w:fldCharType="begin"/>
            </w:r>
            <w:r w:rsidRPr="003C6B61">
              <w:rPr>
                <w:rFonts w:ascii="Times New Roman" w:eastAsia="Times New Roman" w:hAnsi="Times New Roman" w:cs="Times New Roman"/>
              </w:rPr>
              <w:instrText xml:space="preserve"> ADDIN ZOTERO_ITEM CSL_CITATION {"citationID":"4zwR9HGk","properties":{"formattedCitation":"(33)","plainCitation":"(33)","noteIndex":0},"citationItems":[{"id":1755,"uris":["http://zotero.org/users/12854872/items/4ZAAZ8I5"],"itemData":{"id":1755,"type":"article-journal","abstract":"2,4-Dichlorphenoxyacetic acid (2,4-D) is a selective herbicide widely used to kill broad-leaved plants in wheat cultivation. Only a few cases of documented poisoning cases with this compound have been reported from India. Since the initial manifestations are not very different from anticholinesterase poisoning, the chances of misdiagnosis are high. Anticholinesterase compounds are the most commonly used insecticides and are implicated as the commonest cause of agrochemical poisoning in India. This report aims to make physicians aware that not all cases of agrochemical poisoning are caused by anticholinesterase insecticides. Efforts must be made to correctly identify the offending compound for appropriate management.","container-title":"Emergency Medicine Journal","DOI":"10.1136/emj.2007.050047","ISSN":"1472-0205, 1472-0213","issue":"1","language":"en","license":"2008 BMJ Publishing Group Ltd and the British Association for Emergency Medicine","page":"30-32","PMID":"18156537","publisher":"British Association for Accident and Emergency Medicine","section":"Short report","source":"emj.bmj.com","title":"2,4-D (Ethyl ester) poisoning: experience at a tertiary care centre in Northern India","title-short":"2,4-D (Ethyl ester) poisoning","volume":"25","author":[{"family":"Bhalla","given":"A."},{"family":"Suri","given":"V."},{"family":"Sharma","given":"N."},{"family":"Mahi","given":"S."},{"family":"Singh","given":"S."}],"issued":{"date-parts":[["2008",1,1]]}}}],"schema":"https://github.com/citation-style-language/schema/raw/master/csl-citation.json"} </w:instrText>
            </w:r>
            <w:r w:rsidRPr="003C6B61">
              <w:rPr>
                <w:rFonts w:ascii="Times New Roman" w:eastAsia="Times New Roman" w:hAnsi="Times New Roman" w:cs="Times New Roman"/>
                <w:kern w:val="0"/>
                <w14:ligatures w14:val="none"/>
              </w:rPr>
              <w:fldChar w:fldCharType="separate"/>
            </w:r>
            <w:r w:rsidRPr="003C6B61">
              <w:rPr>
                <w:rFonts w:ascii="Times New Roman" w:hAnsi="Times New Roman" w:cs="Times New Roman"/>
              </w:rPr>
              <w:t>(33)</w:t>
            </w:r>
            <w:r w:rsidRPr="003C6B61">
              <w:rPr>
                <w:rFonts w:ascii="Times New Roman" w:eastAsia="Times New Roman" w:hAnsi="Times New Roman" w:cs="Times New Roman"/>
                <w:kern w:val="0"/>
                <w14:ligatures w14:val="none"/>
              </w:rPr>
              <w:fldChar w:fldCharType="end"/>
            </w:r>
          </w:p>
        </w:tc>
        <w:tc>
          <w:tcPr>
            <w:tcW w:w="0" w:type="auto"/>
            <w:vAlign w:val="center"/>
            <w:hideMark/>
          </w:tcPr>
          <w:p w14:paraId="09D5F67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705CCB5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22</w:t>
            </w:r>
          </w:p>
        </w:tc>
        <w:tc>
          <w:tcPr>
            <w:tcW w:w="0" w:type="auto"/>
            <w:vAlign w:val="center"/>
            <w:hideMark/>
          </w:tcPr>
          <w:p w14:paraId="32F24EA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w:t>
            </w:r>
          </w:p>
        </w:tc>
        <w:tc>
          <w:tcPr>
            <w:tcW w:w="0" w:type="auto"/>
            <w:vAlign w:val="center"/>
            <w:hideMark/>
          </w:tcPr>
          <w:p w14:paraId="14BF57F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0B9EAB0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Ethyl ester</w:t>
            </w:r>
          </w:p>
        </w:tc>
        <w:tc>
          <w:tcPr>
            <w:tcW w:w="0" w:type="auto"/>
            <w:vAlign w:val="center"/>
            <w:hideMark/>
          </w:tcPr>
          <w:p w14:paraId="6112D3A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2A4F61E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Hypotension; renal injury</w:t>
            </w:r>
          </w:p>
        </w:tc>
        <w:tc>
          <w:tcPr>
            <w:tcW w:w="0" w:type="auto"/>
            <w:vAlign w:val="center"/>
            <w:hideMark/>
          </w:tcPr>
          <w:p w14:paraId="426C7EE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574DAB3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Resp failure</w:t>
            </w:r>
          </w:p>
        </w:tc>
        <w:tc>
          <w:tcPr>
            <w:tcW w:w="0" w:type="auto"/>
            <w:vAlign w:val="center"/>
            <w:hideMark/>
          </w:tcPr>
          <w:p w14:paraId="59AEB03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MV; supportive care</w:t>
            </w:r>
          </w:p>
        </w:tc>
        <w:tc>
          <w:tcPr>
            <w:tcW w:w="0" w:type="auto"/>
            <w:vAlign w:val="center"/>
            <w:hideMark/>
          </w:tcPr>
          <w:p w14:paraId="1DAA967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345AB8A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1769E63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54B06FE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r w:rsidR="008B1707" w:rsidRPr="003C6B61" w14:paraId="4F890DAC" w14:textId="77777777" w:rsidTr="0015630B">
        <w:trPr>
          <w:tblCellSpacing w:w="15" w:type="dxa"/>
        </w:trPr>
        <w:tc>
          <w:tcPr>
            <w:tcW w:w="0" w:type="auto"/>
            <w:hideMark/>
          </w:tcPr>
          <w:p w14:paraId="2CCAFCF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Bhalla et al. (2008) – Case 2</w:t>
            </w:r>
            <w:r w:rsidRPr="003C6B61">
              <w:rPr>
                <w:rFonts w:ascii="Times New Roman" w:eastAsia="Times New Roman" w:hAnsi="Times New Roman" w:cs="Times New Roman"/>
                <w:kern w:val="0"/>
                <w14:ligatures w14:val="none"/>
              </w:rPr>
              <w:fldChar w:fldCharType="begin"/>
            </w:r>
            <w:r w:rsidRPr="003C6B61">
              <w:rPr>
                <w:rFonts w:ascii="Times New Roman" w:eastAsia="Times New Roman" w:hAnsi="Times New Roman" w:cs="Times New Roman"/>
              </w:rPr>
              <w:instrText xml:space="preserve"> ADDIN ZOTERO_ITEM CSL_CITATION {"citationID":"pTPLP9CU","properties":{"formattedCitation":"(33)","plainCitation":"(33)","noteIndex":0},"citationItems":[{"id":1755,"uris":["http://zotero.org/users/12854872/items/4ZAAZ8I5"],"itemData":{"id":1755,"type":"article-journal","abstract":"2,4-Dichlorphenoxyacetic acid (2,4-D) is a selective herbicide widely used to kill broad-leaved plants in wheat cultivation. Only a few cases of documented poisoning cases with this compound have been reported from India. Since the initial manifestations are not very different from anticholinesterase poisoning, the chances of misdiagnosis are high. Anticholinesterase compounds are the most commonly used insecticides and are implicated as the commonest cause of agrochemical poisoning in India. This report aims to make physicians aware that not all cases of agrochemical poisoning are caused by anticholinesterase insecticides. Efforts must be made to correctly identify the offending compound for appropriate management.","container-title":"Emergency Medicine Journal","DOI":"10.1136/emj.2007.050047","ISSN":"1472-0205, 1472-0213","issue":"1","language":"en","license":"2008 BMJ Publishing Group Ltd and the British Association for Emergency Medicine","page":"30-32","PMID":"18156537","publisher":"British Association for Accident and Emergency Medicine","section":"Short report","source":"emj.bmj.com","title":"2,4-D (Ethyl ester) poisoning: experience at a tertiary care centre in Northern India","title-short":"2,4-D (Ethyl ester) poisoning","volume":"25","author":[{"family":"Bhalla","given":"A."},{"family":"Suri","given":"V."},{"family":"Sharma","given":"N."},{"family":"Mahi","given":"S."},{"family":"Singh","given":"S."}],"issued":{"date-parts":[["2008",1,1]]}}}],"schema":"https://github.com/citation-style-language/schema/raw/master/csl-citation.json"} </w:instrText>
            </w:r>
            <w:r w:rsidRPr="003C6B61">
              <w:rPr>
                <w:rFonts w:ascii="Times New Roman" w:eastAsia="Times New Roman" w:hAnsi="Times New Roman" w:cs="Times New Roman"/>
                <w:kern w:val="0"/>
                <w14:ligatures w14:val="none"/>
              </w:rPr>
              <w:fldChar w:fldCharType="separate"/>
            </w:r>
            <w:r w:rsidRPr="003C6B61">
              <w:rPr>
                <w:rFonts w:ascii="Times New Roman" w:hAnsi="Times New Roman" w:cs="Times New Roman"/>
              </w:rPr>
              <w:t>(33)</w:t>
            </w:r>
            <w:r w:rsidRPr="003C6B61">
              <w:rPr>
                <w:rFonts w:ascii="Times New Roman" w:eastAsia="Times New Roman" w:hAnsi="Times New Roman" w:cs="Times New Roman"/>
                <w:kern w:val="0"/>
                <w14:ligatures w14:val="none"/>
              </w:rPr>
              <w:fldChar w:fldCharType="end"/>
            </w:r>
          </w:p>
        </w:tc>
        <w:tc>
          <w:tcPr>
            <w:tcW w:w="0" w:type="auto"/>
            <w:vAlign w:val="center"/>
            <w:hideMark/>
          </w:tcPr>
          <w:p w14:paraId="0257C21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7BBC9EF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25</w:t>
            </w:r>
          </w:p>
        </w:tc>
        <w:tc>
          <w:tcPr>
            <w:tcW w:w="0" w:type="auto"/>
            <w:vAlign w:val="center"/>
            <w:hideMark/>
          </w:tcPr>
          <w:p w14:paraId="0E2BBB6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w:t>
            </w:r>
          </w:p>
        </w:tc>
        <w:tc>
          <w:tcPr>
            <w:tcW w:w="0" w:type="auto"/>
            <w:vAlign w:val="center"/>
            <w:hideMark/>
          </w:tcPr>
          <w:p w14:paraId="3EC071F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77E223D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Ethyl ester</w:t>
            </w:r>
          </w:p>
        </w:tc>
        <w:tc>
          <w:tcPr>
            <w:tcW w:w="0" w:type="auto"/>
            <w:vAlign w:val="center"/>
            <w:hideMark/>
          </w:tcPr>
          <w:p w14:paraId="3985F80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6387EC7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Hypotension; renal injury</w:t>
            </w:r>
          </w:p>
        </w:tc>
        <w:tc>
          <w:tcPr>
            <w:tcW w:w="0" w:type="auto"/>
            <w:vAlign w:val="center"/>
            <w:hideMark/>
          </w:tcPr>
          <w:p w14:paraId="7086A01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77B8618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Resp failure</w:t>
            </w:r>
          </w:p>
        </w:tc>
        <w:tc>
          <w:tcPr>
            <w:tcW w:w="0" w:type="auto"/>
            <w:vAlign w:val="center"/>
            <w:hideMark/>
          </w:tcPr>
          <w:p w14:paraId="77835E4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MV; supportive care</w:t>
            </w:r>
          </w:p>
        </w:tc>
        <w:tc>
          <w:tcPr>
            <w:tcW w:w="0" w:type="auto"/>
            <w:vAlign w:val="center"/>
            <w:hideMark/>
          </w:tcPr>
          <w:p w14:paraId="05C48D9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6079359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250AE51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2E034C0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r w:rsidR="008B1707" w:rsidRPr="003C6B61" w14:paraId="255BC060" w14:textId="77777777" w:rsidTr="0015630B">
        <w:trPr>
          <w:tblCellSpacing w:w="15" w:type="dxa"/>
        </w:trPr>
        <w:tc>
          <w:tcPr>
            <w:tcW w:w="0" w:type="auto"/>
            <w:hideMark/>
          </w:tcPr>
          <w:p w14:paraId="57DE6AD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Bhalla et al. (2008) – Case 3</w:t>
            </w:r>
            <w:r w:rsidRPr="003C6B61">
              <w:rPr>
                <w:rFonts w:ascii="Times New Roman" w:eastAsia="Times New Roman" w:hAnsi="Times New Roman" w:cs="Times New Roman"/>
                <w:kern w:val="0"/>
                <w14:ligatures w14:val="none"/>
              </w:rPr>
              <w:fldChar w:fldCharType="begin"/>
            </w:r>
            <w:r w:rsidRPr="003C6B61">
              <w:rPr>
                <w:rFonts w:ascii="Times New Roman" w:eastAsia="Times New Roman" w:hAnsi="Times New Roman" w:cs="Times New Roman"/>
              </w:rPr>
              <w:instrText xml:space="preserve"> ADDIN ZOTERO_ITEM CSL_CITATION {"citationID":"37CvT0sb","properties":{"formattedCitation":"(33)","plainCitation":"(33)","noteIndex":0},"citationItems":[{"id":1755,"uris":["http://zotero.org/users/12854872/items/4ZAAZ8I5"],"itemData":{"id":1755,"type":"article-journal","abstract":"2,4-Dichlorphenoxyacetic acid (2,4-D) is a selective herbicide widely used to kill broad-leaved plants in wheat cultivation. Only a few cases of documented poisoning cases with this compound have been reported from India. Since the initial manifestations are not very different from anticholinesterase poisoning, the chances of misdiagnosis are high. Anticholinesterase compounds are the most commonly used insecticides and are implicated as the commonest cause of agrochemical poisoning in India. This report aims to make physicians aware that not all cases of agrochemical poisoning are caused by anticholinesterase insecticides. Efforts must be made to correctly identify the offending compound for appropriate management.","container-title":"Emergency Medicine Journal","DOI":"10.1136/emj.2007.050047","ISSN":"1472-0205, 1472-0213","issue":"1","language":"en","license":"2008 BMJ Publishing Group Ltd and the British Association for Emergency Medicine","page":"30-32","PMID":"18156537","publisher":"British Association for Accident and Emergency Medicine","section":"Short report","source":"emj.bmj.com","title":"2,4-D (Ethyl ester) poisoning: experience at a tertiary care centre in Northern India","title-short":"2,4-D (Ethyl ester) poisoning","volume":"25","author":[{"family":"Bhalla","given":"A."},{"family":"Suri","given":"V."},{"family":"Sharma","given":"N."},{"family":"Mahi","given":"S."},{"family":"Singh","given":"S."}],"issued":{"date-parts":[["2008",1,1]]}}}],"schema":"https://github.com/citation-style-language/schema/raw/master/csl-citation.json"} </w:instrText>
            </w:r>
            <w:r w:rsidRPr="003C6B61">
              <w:rPr>
                <w:rFonts w:ascii="Times New Roman" w:eastAsia="Times New Roman" w:hAnsi="Times New Roman" w:cs="Times New Roman"/>
                <w:kern w:val="0"/>
                <w14:ligatures w14:val="none"/>
              </w:rPr>
              <w:fldChar w:fldCharType="separate"/>
            </w:r>
            <w:r w:rsidRPr="003C6B61">
              <w:rPr>
                <w:rFonts w:ascii="Times New Roman" w:hAnsi="Times New Roman" w:cs="Times New Roman"/>
              </w:rPr>
              <w:t>(33)</w:t>
            </w:r>
            <w:r w:rsidRPr="003C6B61">
              <w:rPr>
                <w:rFonts w:ascii="Times New Roman" w:eastAsia="Times New Roman" w:hAnsi="Times New Roman" w:cs="Times New Roman"/>
                <w:kern w:val="0"/>
                <w14:ligatures w14:val="none"/>
              </w:rPr>
              <w:fldChar w:fldCharType="end"/>
            </w:r>
          </w:p>
        </w:tc>
        <w:tc>
          <w:tcPr>
            <w:tcW w:w="0" w:type="auto"/>
            <w:vAlign w:val="center"/>
            <w:hideMark/>
          </w:tcPr>
          <w:p w14:paraId="0AB6389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0BA4C07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31</w:t>
            </w:r>
          </w:p>
        </w:tc>
        <w:tc>
          <w:tcPr>
            <w:tcW w:w="0" w:type="auto"/>
            <w:vAlign w:val="center"/>
            <w:hideMark/>
          </w:tcPr>
          <w:p w14:paraId="4A7821A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w:t>
            </w:r>
          </w:p>
        </w:tc>
        <w:tc>
          <w:tcPr>
            <w:tcW w:w="0" w:type="auto"/>
            <w:vAlign w:val="center"/>
            <w:hideMark/>
          </w:tcPr>
          <w:p w14:paraId="7DB07CC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76B0C2F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Ethyl ester</w:t>
            </w:r>
          </w:p>
        </w:tc>
        <w:tc>
          <w:tcPr>
            <w:tcW w:w="0" w:type="auto"/>
            <w:vAlign w:val="center"/>
            <w:hideMark/>
          </w:tcPr>
          <w:p w14:paraId="7633D57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3D922E4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Hypotension; CK ↑</w:t>
            </w:r>
          </w:p>
        </w:tc>
        <w:tc>
          <w:tcPr>
            <w:tcW w:w="0" w:type="auto"/>
            <w:vAlign w:val="center"/>
            <w:hideMark/>
          </w:tcPr>
          <w:p w14:paraId="2C06E64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1FBC6B3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Resp paralysis; renal failure</w:t>
            </w:r>
          </w:p>
        </w:tc>
        <w:tc>
          <w:tcPr>
            <w:tcW w:w="0" w:type="auto"/>
            <w:vAlign w:val="center"/>
            <w:hideMark/>
          </w:tcPr>
          <w:p w14:paraId="1A69CC6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MV; supportive</w:t>
            </w:r>
          </w:p>
        </w:tc>
        <w:tc>
          <w:tcPr>
            <w:tcW w:w="0" w:type="auto"/>
            <w:vAlign w:val="center"/>
            <w:hideMark/>
          </w:tcPr>
          <w:p w14:paraId="67D3B12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3F4043A4"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1F6FCAF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1EC9234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3AE62C03" w14:textId="77777777" w:rsidTr="0015630B">
        <w:trPr>
          <w:tblCellSpacing w:w="15" w:type="dxa"/>
        </w:trPr>
        <w:tc>
          <w:tcPr>
            <w:tcW w:w="0" w:type="auto"/>
            <w:hideMark/>
          </w:tcPr>
          <w:p w14:paraId="4BEFEB5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Bhalla et al. (2008) – Case 4</w:t>
            </w:r>
            <w:r w:rsidRPr="003C6B61">
              <w:rPr>
                <w:rFonts w:ascii="Times New Roman" w:eastAsia="Times New Roman" w:hAnsi="Times New Roman" w:cs="Times New Roman"/>
                <w:kern w:val="0"/>
                <w14:ligatures w14:val="none"/>
              </w:rPr>
              <w:fldChar w:fldCharType="begin"/>
            </w:r>
            <w:r w:rsidRPr="003C6B61">
              <w:rPr>
                <w:rFonts w:ascii="Times New Roman" w:eastAsia="Times New Roman" w:hAnsi="Times New Roman" w:cs="Times New Roman"/>
              </w:rPr>
              <w:instrText xml:space="preserve"> ADDIN ZOTERO_ITEM CSL_CITATION {"citationID":"10hkxYyU","properties":{"formattedCitation":"(33)","plainCitation":"(33)","noteIndex":0},"citationItems":[{"id":1755,"uris":["http://zotero.org/users/12854872/items/4ZAAZ8I5"],"itemData":{"id":1755,"type":"article-journal","abstract":"2,4-Dichlorphenoxyacetic acid (2,4-D) is a selective herbicide widely used to kill broad-leaved plants in wheat cultivation. Only a few cases of documented poisoning cases with this compound have been reported from India. Since the initial manifestations are not very different from anticholinesterase poisoning, the chances of misdiagnosis are high. Anticholinesterase compounds are the most commonly used insecticides and are implicated as the commonest cause of agrochemical poisoning in India. This report aims to make physicians aware that not all cases of agrochemical poisoning are caused by anticholinesterase insecticides. Efforts must be made to correctly identify the offending compound for appropriate management.","container-title":"Emergency Medicine Journal","DOI":"10.1136/emj.2007.050047","ISSN":"1472-0205, 1472-0213","issue":"1","language":"en","license":"2008 BMJ Publishing Group Ltd and the British Association for Emergency Medicine","page":"30-32","PMID":"18156537","publisher":"British Association for Accident and Emergency Medicine","section":"Short report","source":"emj.bmj.com","title":"2,4-D (Ethyl ester) poisoning: experience at a tertiary care centre in Northern India","title-short":"2,4-D (Ethyl ester) poisoning","volume":"25","author":[{"family":"Bhalla","given":"A."},{"family":"Suri","given":"V."},{"family":"Sharma","given":"N."},{"family":"Mahi","given":"S."},{"family":"Singh","given":"S."}],"issued":{"date-parts":[["2008",1,1]]}}}],"schema":"https://github.com/citation-style-language/schema/raw/master/csl-citation.json"} </w:instrText>
            </w:r>
            <w:r w:rsidRPr="003C6B61">
              <w:rPr>
                <w:rFonts w:ascii="Times New Roman" w:eastAsia="Times New Roman" w:hAnsi="Times New Roman" w:cs="Times New Roman"/>
                <w:kern w:val="0"/>
                <w14:ligatures w14:val="none"/>
              </w:rPr>
              <w:fldChar w:fldCharType="separate"/>
            </w:r>
            <w:r w:rsidRPr="003C6B61">
              <w:rPr>
                <w:rFonts w:ascii="Times New Roman" w:hAnsi="Times New Roman" w:cs="Times New Roman"/>
              </w:rPr>
              <w:t>(33)</w:t>
            </w:r>
            <w:r w:rsidRPr="003C6B61">
              <w:rPr>
                <w:rFonts w:ascii="Times New Roman" w:eastAsia="Times New Roman" w:hAnsi="Times New Roman" w:cs="Times New Roman"/>
                <w:kern w:val="0"/>
                <w14:ligatures w14:val="none"/>
              </w:rPr>
              <w:fldChar w:fldCharType="end"/>
            </w:r>
          </w:p>
        </w:tc>
        <w:tc>
          <w:tcPr>
            <w:tcW w:w="0" w:type="auto"/>
            <w:vAlign w:val="center"/>
            <w:hideMark/>
          </w:tcPr>
          <w:p w14:paraId="4E23E82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528E1CE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28</w:t>
            </w:r>
          </w:p>
        </w:tc>
        <w:tc>
          <w:tcPr>
            <w:tcW w:w="0" w:type="auto"/>
            <w:vAlign w:val="center"/>
            <w:hideMark/>
          </w:tcPr>
          <w:p w14:paraId="30F8742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468C137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06D4AC2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Ethyl ester</w:t>
            </w:r>
          </w:p>
        </w:tc>
        <w:tc>
          <w:tcPr>
            <w:tcW w:w="0" w:type="auto"/>
            <w:vAlign w:val="center"/>
            <w:hideMark/>
          </w:tcPr>
          <w:p w14:paraId="27DC424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47E7AB4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Hypotension; resp distress</w:t>
            </w:r>
          </w:p>
        </w:tc>
        <w:tc>
          <w:tcPr>
            <w:tcW w:w="0" w:type="auto"/>
            <w:vAlign w:val="center"/>
            <w:hideMark/>
          </w:tcPr>
          <w:p w14:paraId="1DA1DA6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654513B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Resp failure</w:t>
            </w:r>
          </w:p>
        </w:tc>
        <w:tc>
          <w:tcPr>
            <w:tcW w:w="0" w:type="auto"/>
            <w:vAlign w:val="center"/>
            <w:hideMark/>
          </w:tcPr>
          <w:p w14:paraId="2612FD7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MV; supportive</w:t>
            </w:r>
          </w:p>
        </w:tc>
        <w:tc>
          <w:tcPr>
            <w:tcW w:w="0" w:type="auto"/>
            <w:vAlign w:val="center"/>
            <w:hideMark/>
          </w:tcPr>
          <w:p w14:paraId="4192CD32"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37D6C08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44A4817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760863B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r w:rsidR="008B1707" w:rsidRPr="003C6B61" w14:paraId="57D90D4D" w14:textId="77777777" w:rsidTr="0015630B">
        <w:trPr>
          <w:tblCellSpacing w:w="15" w:type="dxa"/>
        </w:trPr>
        <w:tc>
          <w:tcPr>
            <w:tcW w:w="0" w:type="auto"/>
            <w:hideMark/>
          </w:tcPr>
          <w:p w14:paraId="2B33425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Vaneet et al. (2015)</w:t>
            </w:r>
            <w:r w:rsidRPr="003C6B61">
              <w:rPr>
                <w:rFonts w:ascii="Times New Roman" w:eastAsia="Times New Roman" w:hAnsi="Times New Roman" w:cs="Times New Roman"/>
                <w:kern w:val="0"/>
                <w14:ligatures w14:val="none"/>
              </w:rPr>
              <w:fldChar w:fldCharType="begin"/>
            </w:r>
            <w:r w:rsidRPr="003C6B61">
              <w:rPr>
                <w:rFonts w:ascii="Times New Roman" w:eastAsia="Times New Roman" w:hAnsi="Times New Roman" w:cs="Times New Roman"/>
              </w:rPr>
              <w:instrText xml:space="preserve"> ADDIN ZOTERO_ITEM CSL_CITATION {"citationID":"TlPEhcYi","properties":{"formattedCitation":"(34)","plainCitation":"(34)","noteIndex":0},"citationItems":[{"id":156,"uris":["http://zotero.org/users/12854872/items/P33IDG2B","http://zotero.org/users/12854872/items/69RXE9XX"],"itemData":{"id":156,"type":"article-journal","container-title":"Indian Journal of Critical Care Medicine : Peer-reviewed, Official Publication of Indian Society of Critical Care Medicine","DOI":"10.4103/0972-5229.148658","issue":"1","language":"en","page":"57","PMID":"25624656","source":"pmc.ncbi.nlm.nih.gov","title":"A rare survival after 2,4-D (ethyl ester) poisoning: Role of forced alkaline diuresis","title-short":"A rare survival after 2,4-D (ethyl ester) poisoning","volume":"19","author":[{"family":"Jearth","given":"Vaneet"},{"family":"Negi","given":"Rajan"},{"family":"Chauhan","given":"Vivek"},{"family":"Sharma","given":"Kailashnath"}],"issued":{"date-parts":[["2015",1]]}}}],"schema":"https://github.com/citation-style-language/schema/raw/master/csl-citation.json"} </w:instrText>
            </w:r>
            <w:r w:rsidRPr="003C6B61">
              <w:rPr>
                <w:rFonts w:ascii="Times New Roman" w:eastAsia="Times New Roman" w:hAnsi="Times New Roman" w:cs="Times New Roman"/>
                <w:kern w:val="0"/>
                <w14:ligatures w14:val="none"/>
              </w:rPr>
              <w:fldChar w:fldCharType="separate"/>
            </w:r>
            <w:r w:rsidRPr="003C6B61">
              <w:rPr>
                <w:rFonts w:ascii="Times New Roman" w:hAnsi="Times New Roman" w:cs="Times New Roman"/>
              </w:rPr>
              <w:t>(34)</w:t>
            </w:r>
            <w:r w:rsidRPr="003C6B61">
              <w:rPr>
                <w:rFonts w:ascii="Times New Roman" w:eastAsia="Times New Roman" w:hAnsi="Times New Roman" w:cs="Times New Roman"/>
                <w:kern w:val="0"/>
                <w14:ligatures w14:val="none"/>
              </w:rPr>
              <w:fldChar w:fldCharType="end"/>
            </w:r>
          </w:p>
        </w:tc>
        <w:tc>
          <w:tcPr>
            <w:tcW w:w="0" w:type="auto"/>
            <w:vAlign w:val="center"/>
            <w:hideMark/>
          </w:tcPr>
          <w:p w14:paraId="6884AF8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454E1F5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19</w:t>
            </w:r>
          </w:p>
        </w:tc>
        <w:tc>
          <w:tcPr>
            <w:tcW w:w="0" w:type="auto"/>
            <w:vAlign w:val="center"/>
            <w:hideMark/>
          </w:tcPr>
          <w:p w14:paraId="6116066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2500928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2202419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Ethyl ester</w:t>
            </w:r>
          </w:p>
        </w:tc>
        <w:tc>
          <w:tcPr>
            <w:tcW w:w="0" w:type="auto"/>
            <w:vAlign w:val="center"/>
            <w:hideMark/>
          </w:tcPr>
          <w:p w14:paraId="4B9A79E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3 tsp</w:t>
            </w:r>
          </w:p>
        </w:tc>
        <w:tc>
          <w:tcPr>
            <w:tcW w:w="0" w:type="auto"/>
            <w:vAlign w:val="center"/>
            <w:hideMark/>
          </w:tcPr>
          <w:p w14:paraId="004329B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Vomiting; seizure; tachycardia</w:t>
            </w:r>
          </w:p>
        </w:tc>
        <w:tc>
          <w:tcPr>
            <w:tcW w:w="0" w:type="auto"/>
            <w:vAlign w:val="center"/>
            <w:hideMark/>
          </w:tcPr>
          <w:p w14:paraId="2BA373E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10</w:t>
            </w:r>
          </w:p>
        </w:tc>
        <w:tc>
          <w:tcPr>
            <w:tcW w:w="0" w:type="auto"/>
            <w:vAlign w:val="center"/>
            <w:hideMark/>
          </w:tcPr>
          <w:p w14:paraId="38A1F70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Neurologic toxicity</w:t>
            </w:r>
          </w:p>
        </w:tc>
        <w:tc>
          <w:tcPr>
            <w:tcW w:w="0" w:type="auto"/>
            <w:vAlign w:val="center"/>
            <w:hideMark/>
          </w:tcPr>
          <w:p w14:paraId="388F944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IV fluids; ICU</w:t>
            </w:r>
          </w:p>
        </w:tc>
        <w:tc>
          <w:tcPr>
            <w:tcW w:w="0" w:type="auto"/>
            <w:vAlign w:val="center"/>
            <w:hideMark/>
          </w:tcPr>
          <w:p w14:paraId="77391AF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 + furosemide</w:t>
            </w:r>
          </w:p>
        </w:tc>
        <w:tc>
          <w:tcPr>
            <w:tcW w:w="0" w:type="auto"/>
            <w:vAlign w:val="center"/>
            <w:hideMark/>
          </w:tcPr>
          <w:p w14:paraId="64CD9E59"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3F40A3F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2DDECFD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5CAC706A" w14:textId="77777777" w:rsidTr="0015630B">
        <w:trPr>
          <w:tblCellSpacing w:w="15" w:type="dxa"/>
        </w:trPr>
        <w:tc>
          <w:tcPr>
            <w:tcW w:w="0" w:type="auto"/>
            <w:hideMark/>
          </w:tcPr>
          <w:p w14:paraId="3CE02FC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Yashwanth et al. (2025)</w:t>
            </w:r>
            <w:r w:rsidRPr="003C6B61">
              <w:rPr>
                <w:rFonts w:ascii="Times New Roman" w:eastAsia="Times New Roman" w:hAnsi="Times New Roman" w:cs="Times New Roman"/>
                <w:kern w:val="0"/>
                <w14:ligatures w14:val="none"/>
              </w:rPr>
              <w:fldChar w:fldCharType="begin"/>
            </w:r>
            <w:r w:rsidRPr="003C6B61">
              <w:rPr>
                <w:rFonts w:ascii="Times New Roman" w:eastAsia="Times New Roman" w:hAnsi="Times New Roman" w:cs="Times New Roman"/>
              </w:rPr>
              <w:instrText xml:space="preserve"> ADDIN ZOTERO_ITEM CSL_CITATION {"citationID":"bgbeOLX8","properties":{"formattedCitation":"(35)","plainCitation":"(35)","noteIndex":0},"citationItems":[{"id":152,"uris":["http://zotero.org/users/12854872/items/TF32CJ6S"],"itemData":{"id":152,"type":"article-journal","abstract":"2,4-dimethylamine (2,4-D) is a widely used herbicide with limited data on human toxicity. A 38-year-old male presented 2 h after ingesting around 100 mL of 58% 2,4-D salt. He had vomiting, altered sensorium, bradycardia, and respiratory distress. He received gastric lavage, intravenous fluids, atropine for bradycardia, and early forced alkaline diuresis initiated 6 h postingestion. Urinary pH was maintained between 7.8 and 8.2. The patient showed clinical improvement with resolution of bradycardia, rising urine output and improving renal function. He developed multilobar pneumonia on day 2 and was managed with antibiotics. He was discharged on day 7. Early forced alkaline diuresis may enhance elimination and prevent renal complications in 2,4-D poisoning.","container-title":"APIK Journal of Internal Medicine","DOI":"10.4103/ajim.ajim_36_25","ISSN":"2666-1802","language":"en-US","page":"10.4103/ajim.ajim_36_25","source":"journals.lww.com","title":"A Rare Case of 2,4-Dimethylamine Poisoning Managed with Forced Alkaline Diuresis","author":[{"family":"Yashwanth","given":"M."},{"family":"Shetty","given":"Samarth V."},{"family":"Naveen","given":"N. C."},{"family":"Arun","given":"Puli"},{"family":"Sanjay","given":"S. V."}]}}],"schema":"https://github.com/citation-style-language/schema/raw/master/csl-citation.json"} </w:instrText>
            </w:r>
            <w:r w:rsidRPr="003C6B61">
              <w:rPr>
                <w:rFonts w:ascii="Times New Roman" w:eastAsia="Times New Roman" w:hAnsi="Times New Roman" w:cs="Times New Roman"/>
                <w:kern w:val="0"/>
                <w14:ligatures w14:val="none"/>
              </w:rPr>
              <w:fldChar w:fldCharType="separate"/>
            </w:r>
            <w:r w:rsidRPr="003C6B61">
              <w:rPr>
                <w:rFonts w:ascii="Times New Roman" w:hAnsi="Times New Roman" w:cs="Times New Roman"/>
              </w:rPr>
              <w:t>(35)</w:t>
            </w:r>
            <w:r w:rsidRPr="003C6B61">
              <w:rPr>
                <w:rFonts w:ascii="Times New Roman" w:eastAsia="Times New Roman" w:hAnsi="Times New Roman" w:cs="Times New Roman"/>
                <w:kern w:val="0"/>
                <w14:ligatures w14:val="none"/>
              </w:rPr>
              <w:fldChar w:fldCharType="end"/>
            </w:r>
          </w:p>
        </w:tc>
        <w:tc>
          <w:tcPr>
            <w:tcW w:w="0" w:type="auto"/>
            <w:vAlign w:val="center"/>
            <w:hideMark/>
          </w:tcPr>
          <w:p w14:paraId="7F956883"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India</w:t>
            </w:r>
          </w:p>
        </w:tc>
        <w:tc>
          <w:tcPr>
            <w:tcW w:w="0" w:type="auto"/>
            <w:vAlign w:val="center"/>
            <w:hideMark/>
          </w:tcPr>
          <w:p w14:paraId="21D7628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38</w:t>
            </w:r>
          </w:p>
        </w:tc>
        <w:tc>
          <w:tcPr>
            <w:tcW w:w="0" w:type="auto"/>
            <w:vAlign w:val="center"/>
            <w:hideMark/>
          </w:tcPr>
          <w:p w14:paraId="5EEB8F1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w:t>
            </w:r>
          </w:p>
        </w:tc>
        <w:tc>
          <w:tcPr>
            <w:tcW w:w="0" w:type="auto"/>
            <w:vAlign w:val="center"/>
            <w:hideMark/>
          </w:tcPr>
          <w:p w14:paraId="0DDE1C9C"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1CFC54A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Dimethylamine (58%)</w:t>
            </w:r>
          </w:p>
        </w:tc>
        <w:tc>
          <w:tcPr>
            <w:tcW w:w="0" w:type="auto"/>
            <w:vAlign w:val="center"/>
            <w:hideMark/>
          </w:tcPr>
          <w:p w14:paraId="1749600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100 mL</w:t>
            </w:r>
          </w:p>
        </w:tc>
        <w:tc>
          <w:tcPr>
            <w:tcW w:w="0" w:type="auto"/>
            <w:vAlign w:val="center"/>
            <w:hideMark/>
          </w:tcPr>
          <w:p w14:paraId="74F64EC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Vomiting; tachycardia</w:t>
            </w:r>
          </w:p>
        </w:tc>
        <w:tc>
          <w:tcPr>
            <w:tcW w:w="0" w:type="auto"/>
            <w:vAlign w:val="center"/>
            <w:hideMark/>
          </w:tcPr>
          <w:p w14:paraId="283803E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13</w:t>
            </w:r>
          </w:p>
        </w:tc>
        <w:tc>
          <w:tcPr>
            <w:tcW w:w="0" w:type="auto"/>
            <w:vAlign w:val="center"/>
            <w:hideMark/>
          </w:tcPr>
          <w:p w14:paraId="07FA7AF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Bradycardia; aspiration pneumonia</w:t>
            </w:r>
          </w:p>
        </w:tc>
        <w:tc>
          <w:tcPr>
            <w:tcW w:w="0" w:type="auto"/>
            <w:vAlign w:val="center"/>
            <w:hideMark/>
          </w:tcPr>
          <w:p w14:paraId="2F4C9C4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IV fluids; antibiotics</w:t>
            </w:r>
          </w:p>
        </w:tc>
        <w:tc>
          <w:tcPr>
            <w:tcW w:w="0" w:type="auto"/>
            <w:vAlign w:val="center"/>
            <w:hideMark/>
          </w:tcPr>
          <w:p w14:paraId="2914AA10"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 + furosemide</w:t>
            </w:r>
          </w:p>
        </w:tc>
        <w:tc>
          <w:tcPr>
            <w:tcW w:w="0" w:type="auto"/>
            <w:vAlign w:val="center"/>
            <w:hideMark/>
          </w:tcPr>
          <w:p w14:paraId="18CCDFD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06B4CFAB"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618F974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Survived</w:t>
            </w:r>
          </w:p>
        </w:tc>
      </w:tr>
      <w:tr w:rsidR="008B1707" w:rsidRPr="003C6B61" w14:paraId="376E00CF" w14:textId="77777777" w:rsidTr="0015630B">
        <w:trPr>
          <w:tblCellSpacing w:w="15" w:type="dxa"/>
        </w:trPr>
        <w:tc>
          <w:tcPr>
            <w:tcW w:w="0" w:type="auto"/>
            <w:hideMark/>
          </w:tcPr>
          <w:p w14:paraId="5E616D9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Kancir et al. (1988</w:t>
            </w:r>
            <w:r w:rsidRPr="003C6B61">
              <w:rPr>
                <w:rFonts w:ascii="Times New Roman" w:eastAsia="Times New Roman" w:hAnsi="Times New Roman" w:cs="Times New Roman"/>
                <w:kern w:val="0"/>
                <w14:ligatures w14:val="none"/>
              </w:rPr>
              <w:fldChar w:fldCharType="begin"/>
            </w:r>
            <w:r w:rsidRPr="003C6B61">
              <w:rPr>
                <w:rFonts w:ascii="Times New Roman" w:eastAsia="Times New Roman" w:hAnsi="Times New Roman" w:cs="Times New Roman"/>
              </w:rPr>
              <w:instrText xml:space="preserve"> ADDIN ZOTERO_ITEM CSL_CITATION {"citationID":"ZiTWjj3A","properties":{"formattedCitation":"(36)","plainCitation":"(36)","noteIndex":0},"citationItems":[{"id":1752,"uris":["http://zotero.org/users/12854872/items/XYYNYLHX"],"itemData":{"id":1752,"type":"article-journal","abstract":"A fatal poisoning with a herbicide which contains chlorinated phenoxy acid derivatives is reported with a special attention to the profound disturbances in calcium homeostasis related to an acute renal failure with hyperphosphatemia.","container-title":"Journal of Toxicology. Clinical Toxicology","DOI":"10.3109/15563658809000352","ISSN":"0731-3810","issue":"3-4","journalAbbreviation":"J Toxicol Clin Toxicol","language":"eng","page":"257-264","PMID":"3418778","source":"PubMed","title":"Marked hypocalcemia in a fatal poisoning with chlorinated phenoxy acid derivatives","volume":"26","author":[{"family":"Kancir","given":"C. B."},{"family":"Andersen","given":"C."},{"family":"Olesen","given":"A. S."}],"issued":{"date-parts":[["1988"]]}}}],"schema":"https://github.com/citation-style-language/schema/raw/master/csl-citation.json"} </w:instrText>
            </w:r>
            <w:r w:rsidRPr="003C6B61">
              <w:rPr>
                <w:rFonts w:ascii="Times New Roman" w:eastAsia="Times New Roman" w:hAnsi="Times New Roman" w:cs="Times New Roman"/>
                <w:kern w:val="0"/>
                <w14:ligatures w14:val="none"/>
              </w:rPr>
              <w:fldChar w:fldCharType="separate"/>
            </w:r>
            <w:r w:rsidRPr="003C6B61">
              <w:rPr>
                <w:rFonts w:ascii="Times New Roman" w:hAnsi="Times New Roman" w:cs="Times New Roman"/>
              </w:rPr>
              <w:t>(36)</w:t>
            </w:r>
            <w:r w:rsidRPr="003C6B61">
              <w:rPr>
                <w:rFonts w:ascii="Times New Roman" w:eastAsia="Times New Roman" w:hAnsi="Times New Roman" w:cs="Times New Roman"/>
                <w:kern w:val="0"/>
                <w14:ligatures w14:val="none"/>
              </w:rPr>
              <w:fldChar w:fldCharType="end"/>
            </w:r>
            <w:r w:rsidRPr="003C6B61">
              <w:rPr>
                <w:rFonts w:ascii="Times New Roman" w:eastAsia="Times New Roman" w:hAnsi="Times New Roman" w:cs="Times New Roman"/>
                <w:kern w:val="0"/>
                <w14:ligatures w14:val="none"/>
              </w:rPr>
              <w:t>)</w:t>
            </w:r>
          </w:p>
        </w:tc>
        <w:tc>
          <w:tcPr>
            <w:tcW w:w="0" w:type="auto"/>
            <w:vAlign w:val="center"/>
            <w:hideMark/>
          </w:tcPr>
          <w:p w14:paraId="5AB741CE"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Denmark</w:t>
            </w:r>
          </w:p>
        </w:tc>
        <w:tc>
          <w:tcPr>
            <w:tcW w:w="0" w:type="auto"/>
            <w:vAlign w:val="center"/>
            <w:hideMark/>
          </w:tcPr>
          <w:p w14:paraId="43645BE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55</w:t>
            </w:r>
          </w:p>
        </w:tc>
        <w:tc>
          <w:tcPr>
            <w:tcW w:w="0" w:type="auto"/>
            <w:vAlign w:val="center"/>
            <w:hideMark/>
          </w:tcPr>
          <w:p w14:paraId="7C2634C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F</w:t>
            </w:r>
          </w:p>
        </w:tc>
        <w:tc>
          <w:tcPr>
            <w:tcW w:w="0" w:type="auto"/>
            <w:vAlign w:val="center"/>
            <w:hideMark/>
          </w:tcPr>
          <w:p w14:paraId="60C3DFA1"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Suicidal</w:t>
            </w:r>
          </w:p>
        </w:tc>
        <w:tc>
          <w:tcPr>
            <w:tcW w:w="0" w:type="auto"/>
            <w:vAlign w:val="center"/>
            <w:hideMark/>
          </w:tcPr>
          <w:p w14:paraId="556710C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2,4-D + MCPA herbicide</w:t>
            </w:r>
          </w:p>
        </w:tc>
        <w:tc>
          <w:tcPr>
            <w:tcW w:w="0" w:type="auto"/>
            <w:vAlign w:val="center"/>
            <w:hideMark/>
          </w:tcPr>
          <w:p w14:paraId="6DFCAF8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NR</w:t>
            </w:r>
          </w:p>
        </w:tc>
        <w:tc>
          <w:tcPr>
            <w:tcW w:w="0" w:type="auto"/>
            <w:vAlign w:val="center"/>
            <w:hideMark/>
          </w:tcPr>
          <w:p w14:paraId="11E8036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Confusion; hypocalcemia; renal failure</w:t>
            </w:r>
          </w:p>
        </w:tc>
        <w:tc>
          <w:tcPr>
            <w:tcW w:w="0" w:type="auto"/>
            <w:vAlign w:val="center"/>
            <w:hideMark/>
          </w:tcPr>
          <w:p w14:paraId="0CD7430A"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Coma</w:t>
            </w:r>
          </w:p>
        </w:tc>
        <w:tc>
          <w:tcPr>
            <w:tcW w:w="0" w:type="auto"/>
            <w:vAlign w:val="center"/>
            <w:hideMark/>
          </w:tcPr>
          <w:p w14:paraId="39338816"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MOF; shock</w:t>
            </w:r>
          </w:p>
        </w:tc>
        <w:tc>
          <w:tcPr>
            <w:tcW w:w="0" w:type="auto"/>
            <w:vAlign w:val="center"/>
            <w:hideMark/>
          </w:tcPr>
          <w:p w14:paraId="08F88957"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GL; MV; vasopressors</w:t>
            </w:r>
          </w:p>
        </w:tc>
        <w:tc>
          <w:tcPr>
            <w:tcW w:w="0" w:type="auto"/>
            <w:vAlign w:val="center"/>
            <w:hideMark/>
          </w:tcPr>
          <w:p w14:paraId="41B97DCF"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NaHCO₃</w:t>
            </w:r>
          </w:p>
        </w:tc>
        <w:tc>
          <w:tcPr>
            <w:tcW w:w="0" w:type="auto"/>
            <w:vAlign w:val="center"/>
            <w:hideMark/>
          </w:tcPr>
          <w:p w14:paraId="041C58AD"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No</w:t>
            </w:r>
          </w:p>
        </w:tc>
        <w:tc>
          <w:tcPr>
            <w:tcW w:w="0" w:type="auto"/>
            <w:vAlign w:val="center"/>
            <w:hideMark/>
          </w:tcPr>
          <w:p w14:paraId="4E829C98"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Yes</w:t>
            </w:r>
          </w:p>
        </w:tc>
        <w:tc>
          <w:tcPr>
            <w:tcW w:w="0" w:type="auto"/>
            <w:vAlign w:val="center"/>
            <w:hideMark/>
          </w:tcPr>
          <w:p w14:paraId="03BE5275" w14:textId="77777777" w:rsidR="008B1707" w:rsidRPr="003C6B61" w:rsidRDefault="008B1707" w:rsidP="0015630B">
            <w:pPr>
              <w:spacing w:after="0" w:line="360" w:lineRule="auto"/>
              <w:rPr>
                <w:rFonts w:ascii="Times New Roman" w:eastAsia="Times New Roman" w:hAnsi="Times New Roman" w:cs="Times New Roman"/>
                <w:kern w:val="0"/>
                <w14:ligatures w14:val="none"/>
              </w:rPr>
            </w:pPr>
            <w:r w:rsidRPr="003C6B61">
              <w:rPr>
                <w:rFonts w:ascii="Times New Roman" w:eastAsia="Times New Roman" w:hAnsi="Times New Roman" w:cs="Times New Roman"/>
                <w:kern w:val="0"/>
                <w14:ligatures w14:val="none"/>
              </w:rPr>
              <w:t>Died</w:t>
            </w:r>
          </w:p>
        </w:tc>
      </w:tr>
    </w:tbl>
    <w:p w14:paraId="1221E8C8" w14:textId="77777777" w:rsidR="008B1707" w:rsidRPr="003C6B61" w:rsidRDefault="008B1707" w:rsidP="008B1707">
      <w:pPr>
        <w:spacing w:line="360" w:lineRule="auto"/>
        <w:rPr>
          <w:rFonts w:ascii="Times New Roman" w:eastAsia="Times New Roman" w:hAnsi="Times New Roman" w:cs="Times New Roman"/>
          <w:kern w:val="0"/>
          <w14:ligatures w14:val="none"/>
        </w:rPr>
      </w:pPr>
      <w:r w:rsidRPr="003C6B61">
        <w:rPr>
          <w:rStyle w:val="Strong"/>
          <w:rFonts w:ascii="Times New Roman" w:hAnsi="Times New Roman" w:cs="Times New Roman"/>
          <w:i/>
          <w:iCs/>
        </w:rPr>
        <w:t>Abbreviations:</w:t>
      </w:r>
      <w:r w:rsidRPr="003C6B61">
        <w:rPr>
          <w:rFonts w:ascii="Times New Roman" w:hAnsi="Times New Roman" w:cs="Times New Roman"/>
          <w:i/>
          <w:iCs/>
        </w:rPr>
        <w:t xml:space="preserve">AKI, acute kidney injury; ARF, acute renal failure; CK/CPK, creatine kinase; GL, gastric lavage; LOC, loss of consciousness; MOF, multi-organ failure; MV, mechanical ventilation; NaHCO₃, sodium bicarbonate; NR, not reported; RRT, renal replacement therapy, </w:t>
      </w:r>
      <w:r w:rsidRPr="003C6B61">
        <w:rPr>
          <w:rFonts w:ascii="Times New Roman" w:eastAsia="Times New Roman" w:hAnsi="Times New Roman" w:cs="Times New Roman"/>
          <w:kern w:val="0"/>
          <w14:ligatures w14:val="none"/>
        </w:rPr>
        <w:t>M/F = Male/Female; GCS = Glasgow Coma Scale.</w:t>
      </w:r>
    </w:p>
    <w:p w14:paraId="39EC037E" w14:textId="77777777" w:rsidR="008B1707" w:rsidRPr="003C6B61" w:rsidRDefault="008B1707" w:rsidP="008B1707">
      <w:pPr>
        <w:spacing w:line="360" w:lineRule="auto"/>
        <w:rPr>
          <w:rFonts w:ascii="Times New Roman" w:hAnsi="Times New Roman" w:cs="Times New Roman"/>
          <w:i/>
          <w:iCs/>
        </w:rPr>
      </w:pPr>
    </w:p>
    <w:p w14:paraId="2E4ED383" w14:textId="77777777" w:rsidR="008B1707" w:rsidRPr="003C6B61" w:rsidRDefault="008B1707" w:rsidP="008B1707">
      <w:pPr>
        <w:spacing w:line="360" w:lineRule="auto"/>
        <w:rPr>
          <w:rFonts w:ascii="Times New Roman" w:hAnsi="Times New Roman" w:cs="Times New Roman"/>
          <w:i/>
          <w:iCs/>
        </w:rPr>
      </w:pPr>
    </w:p>
    <w:p w14:paraId="0BA3CD13" w14:textId="77777777" w:rsidR="00DE6AE2" w:rsidRDefault="00DE6AE2"/>
    <w:sectPr w:rsidR="00DE6AE2" w:rsidSect="008B1707">
      <w:pgSz w:w="31680" w:h="3168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707"/>
    <w:rsid w:val="00195413"/>
    <w:rsid w:val="00264982"/>
    <w:rsid w:val="003A03A7"/>
    <w:rsid w:val="003D0186"/>
    <w:rsid w:val="007278E4"/>
    <w:rsid w:val="008B1707"/>
    <w:rsid w:val="00A3738C"/>
    <w:rsid w:val="00B91ABC"/>
    <w:rsid w:val="00BC6C35"/>
    <w:rsid w:val="00CB270D"/>
    <w:rsid w:val="00CF7583"/>
    <w:rsid w:val="00DE6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36362"/>
  <w15:chartTrackingRefBased/>
  <w15:docId w15:val="{6E5EC704-DC1F-4C90-937A-F63972F7E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707"/>
  </w:style>
  <w:style w:type="paragraph" w:styleId="Heading1">
    <w:name w:val="heading 1"/>
    <w:basedOn w:val="Normal"/>
    <w:next w:val="Normal"/>
    <w:link w:val="Heading1Char"/>
    <w:uiPriority w:val="9"/>
    <w:qFormat/>
    <w:rsid w:val="008B17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17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17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17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17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17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17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17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17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17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17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17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17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17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17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17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17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1707"/>
    <w:rPr>
      <w:rFonts w:eastAsiaTheme="majorEastAsia" w:cstheme="majorBidi"/>
      <w:color w:val="272727" w:themeColor="text1" w:themeTint="D8"/>
    </w:rPr>
  </w:style>
  <w:style w:type="paragraph" w:styleId="Title">
    <w:name w:val="Title"/>
    <w:basedOn w:val="Normal"/>
    <w:next w:val="Normal"/>
    <w:link w:val="TitleChar"/>
    <w:uiPriority w:val="10"/>
    <w:qFormat/>
    <w:rsid w:val="008B17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17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17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17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1707"/>
    <w:pPr>
      <w:spacing w:before="160"/>
      <w:jc w:val="center"/>
    </w:pPr>
    <w:rPr>
      <w:i/>
      <w:iCs/>
      <w:color w:val="404040" w:themeColor="text1" w:themeTint="BF"/>
    </w:rPr>
  </w:style>
  <w:style w:type="character" w:customStyle="1" w:styleId="QuoteChar">
    <w:name w:val="Quote Char"/>
    <w:basedOn w:val="DefaultParagraphFont"/>
    <w:link w:val="Quote"/>
    <w:uiPriority w:val="29"/>
    <w:rsid w:val="008B1707"/>
    <w:rPr>
      <w:i/>
      <w:iCs/>
      <w:color w:val="404040" w:themeColor="text1" w:themeTint="BF"/>
    </w:rPr>
  </w:style>
  <w:style w:type="paragraph" w:styleId="ListParagraph">
    <w:name w:val="List Paragraph"/>
    <w:basedOn w:val="Normal"/>
    <w:uiPriority w:val="34"/>
    <w:qFormat/>
    <w:rsid w:val="008B1707"/>
    <w:pPr>
      <w:ind w:left="720"/>
      <w:contextualSpacing/>
    </w:pPr>
  </w:style>
  <w:style w:type="character" w:styleId="IntenseEmphasis">
    <w:name w:val="Intense Emphasis"/>
    <w:basedOn w:val="DefaultParagraphFont"/>
    <w:uiPriority w:val="21"/>
    <w:qFormat/>
    <w:rsid w:val="008B1707"/>
    <w:rPr>
      <w:i/>
      <w:iCs/>
      <w:color w:val="0F4761" w:themeColor="accent1" w:themeShade="BF"/>
    </w:rPr>
  </w:style>
  <w:style w:type="paragraph" w:styleId="IntenseQuote">
    <w:name w:val="Intense Quote"/>
    <w:basedOn w:val="Normal"/>
    <w:next w:val="Normal"/>
    <w:link w:val="IntenseQuoteChar"/>
    <w:uiPriority w:val="30"/>
    <w:qFormat/>
    <w:rsid w:val="008B17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1707"/>
    <w:rPr>
      <w:i/>
      <w:iCs/>
      <w:color w:val="0F4761" w:themeColor="accent1" w:themeShade="BF"/>
    </w:rPr>
  </w:style>
  <w:style w:type="character" w:styleId="IntenseReference">
    <w:name w:val="Intense Reference"/>
    <w:basedOn w:val="DefaultParagraphFont"/>
    <w:uiPriority w:val="32"/>
    <w:qFormat/>
    <w:rsid w:val="008B1707"/>
    <w:rPr>
      <w:b/>
      <w:bCs/>
      <w:smallCaps/>
      <w:color w:val="0F4761" w:themeColor="accent1" w:themeShade="BF"/>
      <w:spacing w:val="5"/>
    </w:rPr>
  </w:style>
  <w:style w:type="character" w:styleId="Strong">
    <w:name w:val="Strong"/>
    <w:basedOn w:val="DefaultParagraphFont"/>
    <w:uiPriority w:val="22"/>
    <w:qFormat/>
    <w:rsid w:val="008B17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7404</Words>
  <Characters>42209</Characters>
  <Application>Microsoft Office Word</Application>
  <DocSecurity>0</DocSecurity>
  <Lines>351</Lines>
  <Paragraphs>99</Paragraphs>
  <ScaleCrop>false</ScaleCrop>
  <Company>Springer Nature</Company>
  <LinksUpToDate>false</LinksUpToDate>
  <CharactersWithSpaces>49514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Nilesh Nawale</dc:creator>
  <cp:keywords/>
  <dc:description/>
  <cp:lastModifiedBy>Nilesh Nawale</cp:lastModifiedBy>
  <cp:revision>1</cp:revision>
  <dcterms:created xsi:type="dcterms:W3CDTF">2026-09-01T10:39:00Z</dcterms:created>
  <dcterms:modified xsi:type="dcterms:W3CDTF">2026-09-01T10:39:00Z</dcterms:modified>
</cp:coreProperties>
</file>