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F3504" w14:textId="77777777" w:rsidR="006B24D4" w:rsidRDefault="006B24D4" w:rsidP="006B24D4">
      <w:pPr>
        <w:pStyle w:val="whitespace-normal"/>
        <w:rPr>
          <w:rFonts w:ascii="Arial" w:hAnsi="Arial" w:cs="Arial"/>
          <w:sz w:val="22"/>
          <w:szCs w:val="22"/>
          <w:lang w:val="en-US"/>
        </w:rPr>
      </w:pPr>
      <w:r w:rsidRPr="00E04B29">
        <w:rPr>
          <w:rStyle w:val="Fett"/>
          <w:rFonts w:ascii="Arial" w:hAnsi="Arial" w:cs="Arial"/>
          <w:sz w:val="22"/>
          <w:szCs w:val="22"/>
          <w:lang w:val="en-US"/>
        </w:rPr>
        <w:t>Inclusion Criteria:</w:t>
      </w:r>
      <w:r w:rsidRPr="00E04B29">
        <w:rPr>
          <w:rFonts w:ascii="Arial" w:hAnsi="Arial" w:cs="Arial"/>
          <w:sz w:val="22"/>
          <w:szCs w:val="22"/>
          <w:lang w:val="en-US"/>
        </w:rPr>
        <w:t xml:space="preserve"> Subjects fulfilling all of the following inclusion criteria are eligible for the investigation:</w:t>
      </w:r>
    </w:p>
    <w:p w14:paraId="2F61BE09" w14:textId="77777777" w:rsidR="006B24D4" w:rsidRPr="001247DB" w:rsidRDefault="006B24D4" w:rsidP="006B24D4">
      <w:pPr>
        <w:pStyle w:val="Listenabsatz"/>
        <w:numPr>
          <w:ilvl w:val="0"/>
          <w:numId w:val="1"/>
        </w:numPr>
        <w:spacing w:after="60"/>
        <w:rPr>
          <w:rFonts w:ascii="Arial" w:hAnsi="Arial" w:cs="Arial"/>
          <w:bCs/>
          <w:color w:val="000000" w:themeColor="text1"/>
          <w:sz w:val="22"/>
          <w:szCs w:val="22"/>
          <w:lang w:val="en-US"/>
        </w:rPr>
      </w:pPr>
      <w:r w:rsidRPr="001247DB">
        <w:rPr>
          <w:rFonts w:ascii="Arial" w:hAnsi="Arial" w:cs="Arial"/>
          <w:bCs/>
          <w:color w:val="000000" w:themeColor="text1"/>
          <w:sz w:val="22"/>
          <w:szCs w:val="22"/>
          <w:lang w:val="en-US"/>
        </w:rPr>
        <w:t xml:space="preserve">Documented initial diagnosis of seropositive celiac disease: confirmed by biopsy or, in case of missing histological documentation at diagnosis, by </w:t>
      </w:r>
      <w:proofErr w:type="spellStart"/>
      <w:r>
        <w:rPr>
          <w:rFonts w:ascii="Arial" w:hAnsi="Arial" w:cs="Arial"/>
          <w:bCs/>
          <w:color w:val="000000" w:themeColor="text1"/>
          <w:sz w:val="22"/>
          <w:szCs w:val="22"/>
          <w:lang w:val="en-US"/>
        </w:rPr>
        <w:t>t</w:t>
      </w:r>
      <w:r w:rsidRPr="001247DB">
        <w:rPr>
          <w:rFonts w:ascii="Arial" w:hAnsi="Arial" w:cs="Arial"/>
          <w:bCs/>
          <w:color w:val="000000" w:themeColor="text1"/>
          <w:sz w:val="22"/>
          <w:szCs w:val="22"/>
          <w:lang w:val="en-US"/>
        </w:rPr>
        <w:t>TG</w:t>
      </w:r>
      <w:proofErr w:type="spellEnd"/>
      <w:r w:rsidRPr="001247DB">
        <w:rPr>
          <w:rFonts w:ascii="Arial" w:hAnsi="Arial" w:cs="Arial"/>
          <w:bCs/>
          <w:color w:val="000000" w:themeColor="text1"/>
          <w:sz w:val="22"/>
          <w:szCs w:val="22"/>
          <w:lang w:val="en-US"/>
        </w:rPr>
        <w:t>-IgA &gt;10 x ULN at diagnosis, at least 12 months prior to baseline visit</w:t>
      </w:r>
    </w:p>
    <w:p w14:paraId="53C4221B" w14:textId="77777777" w:rsidR="006B24D4" w:rsidRPr="001247DB" w:rsidRDefault="006B24D4" w:rsidP="006B24D4">
      <w:pPr>
        <w:pStyle w:val="Listenabsatz"/>
        <w:numPr>
          <w:ilvl w:val="0"/>
          <w:numId w:val="1"/>
        </w:numPr>
        <w:spacing w:after="60"/>
        <w:rPr>
          <w:rFonts w:ascii="Arial" w:hAnsi="Arial" w:cs="Arial"/>
          <w:bCs/>
          <w:color w:val="000000" w:themeColor="text1"/>
          <w:sz w:val="22"/>
          <w:szCs w:val="22"/>
          <w:lang w:val="en-US"/>
        </w:rPr>
      </w:pPr>
      <w:r w:rsidRPr="001247DB">
        <w:rPr>
          <w:rFonts w:ascii="Arial" w:hAnsi="Arial" w:cs="Arial"/>
          <w:bCs/>
          <w:color w:val="000000" w:themeColor="text1"/>
          <w:sz w:val="22"/>
          <w:szCs w:val="22"/>
          <w:lang w:val="en-US"/>
        </w:rPr>
        <w:t>Signed informed consent</w:t>
      </w:r>
    </w:p>
    <w:p w14:paraId="265D408C" w14:textId="77777777" w:rsidR="006B24D4" w:rsidRPr="001247DB" w:rsidRDefault="006B24D4" w:rsidP="006B24D4">
      <w:pPr>
        <w:pStyle w:val="Listenabsatz"/>
        <w:numPr>
          <w:ilvl w:val="0"/>
          <w:numId w:val="1"/>
        </w:numPr>
        <w:spacing w:after="60"/>
        <w:rPr>
          <w:rFonts w:ascii="Arial" w:hAnsi="Arial" w:cs="Arial"/>
          <w:bCs/>
          <w:color w:val="000000" w:themeColor="text1"/>
          <w:sz w:val="22"/>
          <w:szCs w:val="22"/>
          <w:lang w:val="en-US"/>
        </w:rPr>
      </w:pPr>
      <w:r w:rsidRPr="001247DB">
        <w:rPr>
          <w:rFonts w:ascii="Arial" w:hAnsi="Arial" w:cs="Arial"/>
          <w:bCs/>
          <w:color w:val="000000" w:themeColor="text1"/>
          <w:sz w:val="22"/>
          <w:szCs w:val="22"/>
          <w:lang w:val="en-US"/>
        </w:rPr>
        <w:t>Men or women ≥18 and ≤80 years of age</w:t>
      </w:r>
    </w:p>
    <w:p w14:paraId="6282136C" w14:textId="77777777" w:rsidR="006B24D4" w:rsidRPr="001247DB" w:rsidRDefault="006B24D4" w:rsidP="006B24D4">
      <w:pPr>
        <w:pStyle w:val="Listenabsatz"/>
        <w:numPr>
          <w:ilvl w:val="0"/>
          <w:numId w:val="1"/>
        </w:numPr>
        <w:spacing w:after="60"/>
        <w:rPr>
          <w:rFonts w:ascii="Arial" w:hAnsi="Arial" w:cs="Arial"/>
          <w:bCs/>
          <w:color w:val="000000" w:themeColor="text1"/>
          <w:sz w:val="22"/>
          <w:szCs w:val="22"/>
          <w:lang w:val="en-US"/>
        </w:rPr>
      </w:pPr>
      <w:r w:rsidRPr="001247DB">
        <w:rPr>
          <w:rFonts w:ascii="Arial" w:hAnsi="Arial" w:cs="Arial"/>
          <w:bCs/>
          <w:color w:val="000000" w:themeColor="text1"/>
          <w:sz w:val="22"/>
          <w:szCs w:val="22"/>
          <w:lang w:val="en-US"/>
        </w:rPr>
        <w:t>Adherence to a gluten-free diet for at least 12 months prior to baseline visit</w:t>
      </w:r>
    </w:p>
    <w:p w14:paraId="33300AE6" w14:textId="21EC8D0D" w:rsidR="006B24D4" w:rsidRDefault="006B24D4" w:rsidP="006B24D4">
      <w:pPr>
        <w:pStyle w:val="whitespace-normal"/>
        <w:numPr>
          <w:ilvl w:val="0"/>
          <w:numId w:val="1"/>
        </w:numPr>
        <w:rPr>
          <w:rFonts w:ascii="Arial" w:hAnsi="Arial" w:cs="Arial"/>
          <w:sz w:val="22"/>
          <w:szCs w:val="22"/>
          <w:lang w:val="en-US"/>
        </w:rPr>
      </w:pPr>
      <w:r w:rsidRPr="00FE0165">
        <w:rPr>
          <w:rFonts w:ascii="Arial" w:hAnsi="Arial" w:cs="Arial"/>
          <w:sz w:val="22"/>
          <w:szCs w:val="22"/>
          <w:lang w:val="en-US"/>
        </w:rPr>
        <w:t xml:space="preserve">Biopsy showing </w:t>
      </w:r>
      <w:proofErr w:type="spellStart"/>
      <w:r w:rsidRPr="00FE0165">
        <w:rPr>
          <w:rFonts w:ascii="Arial" w:hAnsi="Arial" w:cs="Arial"/>
          <w:sz w:val="22"/>
          <w:szCs w:val="22"/>
          <w:lang w:val="en-US"/>
        </w:rPr>
        <w:t>Vh:Cd</w:t>
      </w:r>
      <w:proofErr w:type="spellEnd"/>
      <w:r w:rsidRPr="00FE0165">
        <w:rPr>
          <w:rFonts w:ascii="Arial" w:hAnsi="Arial" w:cs="Arial"/>
          <w:sz w:val="22"/>
          <w:szCs w:val="22"/>
          <w:lang w:val="en-US"/>
        </w:rPr>
        <w:t xml:space="preserve"> ≥2.0</w:t>
      </w:r>
      <w:r w:rsidR="00967D77">
        <w:rPr>
          <w:rFonts w:ascii="Arial" w:hAnsi="Arial" w:cs="Arial"/>
          <w:sz w:val="22"/>
          <w:szCs w:val="22"/>
          <w:lang w:val="en-US"/>
        </w:rPr>
        <w:t>:1</w:t>
      </w:r>
      <w:r w:rsidRPr="00FE0165">
        <w:rPr>
          <w:rFonts w:ascii="Arial" w:hAnsi="Arial" w:cs="Arial"/>
          <w:sz w:val="22"/>
          <w:szCs w:val="22"/>
          <w:lang w:val="en-US"/>
        </w:rPr>
        <w:t xml:space="preserve"> from distal duodenum biopsies at baseline, confirming </w:t>
      </w:r>
      <w:r>
        <w:rPr>
          <w:rFonts w:ascii="Arial" w:hAnsi="Arial" w:cs="Arial"/>
          <w:sz w:val="22"/>
          <w:szCs w:val="22"/>
          <w:lang w:val="en-US"/>
        </w:rPr>
        <w:t>absence of atrophy</w:t>
      </w:r>
    </w:p>
    <w:p w14:paraId="551EEC46" w14:textId="4AAECDEF" w:rsidR="006B24D4" w:rsidRPr="00BF475A" w:rsidRDefault="006B24D4" w:rsidP="006B24D4">
      <w:pPr>
        <w:pStyle w:val="whitespace-normal"/>
        <w:numPr>
          <w:ilvl w:val="0"/>
          <w:numId w:val="1"/>
        </w:numPr>
        <w:rPr>
          <w:rFonts w:ascii="Arial" w:hAnsi="Arial" w:cs="Arial"/>
          <w:sz w:val="22"/>
          <w:szCs w:val="22"/>
          <w:lang w:val="en-US"/>
        </w:rPr>
      </w:pPr>
      <w:r w:rsidRPr="00FE0165">
        <w:rPr>
          <w:rFonts w:ascii="Arial" w:hAnsi="Arial" w:cs="Arial"/>
          <w:sz w:val="22"/>
          <w:szCs w:val="22"/>
          <w:lang w:val="en-US"/>
        </w:rPr>
        <w:t>Willingness to maintain assigned gluten-free diet approach throughout participation</w:t>
      </w:r>
      <w:r>
        <w:rPr>
          <w:rFonts w:ascii="Arial" w:hAnsi="Arial" w:cs="Arial"/>
          <w:sz w:val="22"/>
          <w:szCs w:val="22"/>
          <w:lang w:val="en-US"/>
        </w:rPr>
        <w:t xml:space="preserve"> and </w:t>
      </w:r>
      <w:r w:rsidRPr="00BF475A">
        <w:rPr>
          <w:rFonts w:ascii="Arial" w:hAnsi="Arial" w:cs="Arial"/>
          <w:sz w:val="22"/>
          <w:szCs w:val="22"/>
          <w:lang w:val="en-US"/>
        </w:rPr>
        <w:t xml:space="preserve">to keep a weekly quantitative recording of </w:t>
      </w:r>
      <w:r>
        <w:rPr>
          <w:rFonts w:ascii="Arial" w:hAnsi="Arial" w:cs="Arial"/>
          <w:sz w:val="22"/>
          <w:szCs w:val="22"/>
          <w:lang w:val="en-US"/>
        </w:rPr>
        <w:t>dietary habits</w:t>
      </w:r>
      <w:r w:rsidRPr="00BF475A">
        <w:rPr>
          <w:rFonts w:ascii="Arial" w:hAnsi="Arial" w:cs="Arial"/>
          <w:sz w:val="22"/>
          <w:szCs w:val="22"/>
          <w:lang w:val="en-US"/>
        </w:rPr>
        <w:t xml:space="preserve"> regarding cross-contamination</w:t>
      </w:r>
    </w:p>
    <w:p w14:paraId="1E5B27A7" w14:textId="77777777" w:rsidR="006B24D4" w:rsidRPr="00E04B29" w:rsidRDefault="006B24D4" w:rsidP="006B24D4">
      <w:pPr>
        <w:pStyle w:val="whitespace-normal"/>
        <w:rPr>
          <w:rFonts w:ascii="Arial" w:hAnsi="Arial" w:cs="Arial"/>
          <w:sz w:val="22"/>
          <w:szCs w:val="22"/>
          <w:lang w:val="en-US"/>
        </w:rPr>
      </w:pPr>
      <w:r w:rsidRPr="00E04B29">
        <w:rPr>
          <w:rStyle w:val="Fett"/>
          <w:rFonts w:ascii="Arial" w:hAnsi="Arial" w:cs="Arial"/>
          <w:sz w:val="22"/>
          <w:szCs w:val="22"/>
          <w:lang w:val="en-US"/>
        </w:rPr>
        <w:t>Exclusion Criteria:</w:t>
      </w:r>
      <w:r w:rsidRPr="00E04B29">
        <w:rPr>
          <w:rFonts w:ascii="Arial" w:hAnsi="Arial" w:cs="Arial"/>
          <w:sz w:val="22"/>
          <w:szCs w:val="22"/>
          <w:lang w:val="en-US"/>
        </w:rPr>
        <w:t xml:space="preserve"> The presence of any one of the following exclusion criteria will lead to exclusion:</w:t>
      </w:r>
    </w:p>
    <w:p w14:paraId="2A0CEC90" w14:textId="77777777" w:rsidR="006B24D4" w:rsidRPr="001247DB" w:rsidRDefault="006B24D4" w:rsidP="006B24D4">
      <w:pPr>
        <w:pStyle w:val="Listenabsatz"/>
        <w:numPr>
          <w:ilvl w:val="0"/>
          <w:numId w:val="2"/>
        </w:numPr>
        <w:spacing w:before="100" w:beforeAutospacing="1" w:after="100" w:afterAutospacing="1"/>
        <w:rPr>
          <w:rFonts w:ascii="Arial" w:hAnsi="Arial" w:cs="Arial"/>
          <w:sz w:val="22"/>
          <w:szCs w:val="22"/>
          <w:lang w:val="en-US"/>
        </w:rPr>
      </w:pPr>
      <w:r w:rsidRPr="001247DB">
        <w:rPr>
          <w:rFonts w:ascii="Arial" w:hAnsi="Arial" w:cs="Arial"/>
          <w:sz w:val="22"/>
          <w:szCs w:val="22"/>
          <w:lang w:val="en-US"/>
        </w:rPr>
        <w:t>Seronegative celiac disease, as celiac-specific antibody measurement serves as safety monitoring</w:t>
      </w:r>
    </w:p>
    <w:p w14:paraId="4CDC214F" w14:textId="5F09EABA" w:rsidR="006B24D4" w:rsidRPr="001247DB" w:rsidRDefault="006B24D4" w:rsidP="006B24D4">
      <w:pPr>
        <w:pStyle w:val="Listenabsatz"/>
        <w:numPr>
          <w:ilvl w:val="0"/>
          <w:numId w:val="2"/>
        </w:numPr>
        <w:spacing w:before="100" w:beforeAutospacing="1" w:after="100" w:afterAutospacing="1"/>
        <w:rPr>
          <w:rFonts w:ascii="Arial" w:hAnsi="Arial" w:cs="Arial"/>
          <w:sz w:val="22"/>
          <w:szCs w:val="22"/>
          <w:lang w:val="en-US"/>
        </w:rPr>
      </w:pPr>
      <w:r w:rsidRPr="001247DB">
        <w:rPr>
          <w:rFonts w:ascii="Arial" w:hAnsi="Arial" w:cs="Arial"/>
          <w:sz w:val="22"/>
          <w:szCs w:val="22"/>
          <w:lang w:val="en-US"/>
        </w:rPr>
        <w:t xml:space="preserve">Symptoms related to </w:t>
      </w:r>
      <w:proofErr w:type="spellStart"/>
      <w:r w:rsidRPr="001247DB">
        <w:rPr>
          <w:rFonts w:ascii="Arial" w:hAnsi="Arial" w:cs="Arial"/>
          <w:sz w:val="22"/>
          <w:szCs w:val="22"/>
          <w:lang w:val="en-US"/>
        </w:rPr>
        <w:t>CeD</w:t>
      </w:r>
      <w:proofErr w:type="spellEnd"/>
      <w:r w:rsidRPr="001247DB">
        <w:rPr>
          <w:rFonts w:ascii="Arial" w:hAnsi="Arial" w:cs="Arial"/>
          <w:sz w:val="22"/>
          <w:szCs w:val="22"/>
          <w:lang w:val="en-US"/>
        </w:rPr>
        <w:t xml:space="preserve">  seen in a symptom-score &gt; </w:t>
      </w:r>
      <w:r>
        <w:rPr>
          <w:rFonts w:ascii="Arial" w:hAnsi="Arial" w:cs="Arial"/>
          <w:sz w:val="22"/>
          <w:szCs w:val="22"/>
          <w:lang w:val="en-US"/>
        </w:rPr>
        <w:t>3</w:t>
      </w:r>
      <w:r w:rsidR="00967D77">
        <w:rPr>
          <w:rFonts w:ascii="Arial" w:hAnsi="Arial" w:cs="Arial"/>
          <w:sz w:val="22"/>
          <w:szCs w:val="22"/>
          <w:lang w:val="en-US"/>
        </w:rPr>
        <w:t>6</w:t>
      </w:r>
      <w:r w:rsidRPr="001247DB">
        <w:rPr>
          <w:rFonts w:ascii="Arial" w:hAnsi="Arial" w:cs="Arial"/>
          <w:sz w:val="22"/>
          <w:szCs w:val="22"/>
          <w:lang w:val="en-US"/>
        </w:rPr>
        <w:t xml:space="preserve"> points 4 weeks prior screening</w:t>
      </w:r>
    </w:p>
    <w:p w14:paraId="33F6BB1A" w14:textId="77777777" w:rsidR="006B24D4" w:rsidRPr="001247DB" w:rsidRDefault="006B24D4" w:rsidP="006B24D4">
      <w:pPr>
        <w:pStyle w:val="Listenabsatz"/>
        <w:numPr>
          <w:ilvl w:val="0"/>
          <w:numId w:val="2"/>
        </w:numPr>
        <w:spacing w:before="100" w:beforeAutospacing="1" w:after="100" w:afterAutospacing="1"/>
        <w:rPr>
          <w:rFonts w:ascii="Arial" w:hAnsi="Arial" w:cs="Arial"/>
          <w:sz w:val="22"/>
          <w:szCs w:val="22"/>
          <w:lang w:val="en-US"/>
        </w:rPr>
      </w:pPr>
      <w:r w:rsidRPr="001247DB">
        <w:rPr>
          <w:rFonts w:ascii="Arial" w:hAnsi="Arial" w:cs="Arial"/>
          <w:sz w:val="22"/>
          <w:szCs w:val="22"/>
          <w:lang w:val="en-US"/>
        </w:rPr>
        <w:t>Concomitant intestinal diseases including Crohn's disease, ulcerative colitis, inflammatory bowel disease, severe irritable bowel syndrome, microscopic colitis, small intestinal bacterial overgrowth, exocrine pancreatic insufficiency, or other active intestinal diseases that might interfere with symptom assessment</w:t>
      </w:r>
    </w:p>
    <w:p w14:paraId="1B74A166" w14:textId="4D672448" w:rsidR="006B24D4" w:rsidRPr="006B24D4" w:rsidRDefault="006B24D4" w:rsidP="006B24D4">
      <w:pPr>
        <w:pStyle w:val="Listenabsatz"/>
        <w:numPr>
          <w:ilvl w:val="0"/>
          <w:numId w:val="2"/>
        </w:numPr>
        <w:spacing w:before="100" w:beforeAutospacing="1" w:after="100" w:afterAutospacing="1"/>
        <w:rPr>
          <w:rFonts w:ascii="Arial" w:hAnsi="Arial" w:cs="Arial"/>
          <w:sz w:val="22"/>
          <w:szCs w:val="22"/>
          <w:lang w:val="en-US"/>
        </w:rPr>
      </w:pPr>
      <w:r w:rsidRPr="001247DB">
        <w:rPr>
          <w:rFonts w:ascii="Arial" w:hAnsi="Arial" w:cs="Arial"/>
          <w:sz w:val="22"/>
          <w:szCs w:val="22"/>
          <w:lang w:val="en-US"/>
        </w:rPr>
        <w:t>Concomitant metabolic disorders including obesity (BMI &gt;35), diabetes mellitus Type 1 or Type 2 with insulin therapy</w:t>
      </w:r>
      <w:r>
        <w:rPr>
          <w:rFonts w:ascii="Arial" w:hAnsi="Arial" w:cs="Arial"/>
          <w:sz w:val="22"/>
          <w:szCs w:val="22"/>
          <w:lang w:val="en-US"/>
        </w:rPr>
        <w:t xml:space="preserve"> </w:t>
      </w:r>
      <w:r w:rsidRPr="001247DB">
        <w:rPr>
          <w:rFonts w:ascii="Arial" w:hAnsi="Arial" w:cs="Arial"/>
          <w:sz w:val="22"/>
          <w:szCs w:val="22"/>
          <w:lang w:val="en-US"/>
        </w:rPr>
        <w:t xml:space="preserve">that might interfere with </w:t>
      </w:r>
      <w:r>
        <w:rPr>
          <w:rFonts w:ascii="Arial" w:hAnsi="Arial" w:cs="Arial"/>
          <w:sz w:val="22"/>
          <w:szCs w:val="22"/>
          <w:lang w:val="en-US"/>
        </w:rPr>
        <w:t>eating habits</w:t>
      </w:r>
    </w:p>
    <w:p w14:paraId="64608E6F" w14:textId="77777777" w:rsidR="006B24D4" w:rsidRPr="001247DB" w:rsidRDefault="006B24D4" w:rsidP="006B24D4">
      <w:pPr>
        <w:pStyle w:val="Listenabsatz"/>
        <w:numPr>
          <w:ilvl w:val="0"/>
          <w:numId w:val="2"/>
        </w:numPr>
        <w:spacing w:before="100" w:beforeAutospacing="1" w:after="100" w:afterAutospacing="1"/>
        <w:rPr>
          <w:rFonts w:ascii="Arial" w:hAnsi="Arial" w:cs="Arial"/>
          <w:sz w:val="22"/>
          <w:szCs w:val="22"/>
          <w:lang w:val="en-US"/>
        </w:rPr>
      </w:pPr>
      <w:r w:rsidRPr="001247DB">
        <w:rPr>
          <w:rFonts w:ascii="Arial" w:hAnsi="Arial" w:cs="Arial"/>
          <w:sz w:val="22"/>
          <w:szCs w:val="22"/>
          <w:lang w:val="en-US"/>
        </w:rPr>
        <w:t>Concomitant mental disorders including major depression, eating disorders, or anxiety disorders that might interfere with eating habits</w:t>
      </w:r>
    </w:p>
    <w:p w14:paraId="674523FE" w14:textId="77777777" w:rsidR="006B24D4" w:rsidRDefault="006B24D4" w:rsidP="006B24D4">
      <w:pPr>
        <w:pStyle w:val="Listenabsatz"/>
        <w:numPr>
          <w:ilvl w:val="0"/>
          <w:numId w:val="2"/>
        </w:numPr>
        <w:spacing w:before="100" w:beforeAutospacing="1" w:after="100" w:afterAutospacing="1"/>
        <w:rPr>
          <w:rFonts w:ascii="Arial" w:hAnsi="Arial" w:cs="Arial"/>
          <w:sz w:val="22"/>
          <w:szCs w:val="22"/>
          <w:lang w:val="en-US"/>
        </w:rPr>
      </w:pPr>
      <w:r w:rsidRPr="001247DB">
        <w:rPr>
          <w:rFonts w:ascii="Arial" w:hAnsi="Arial" w:cs="Arial"/>
          <w:sz w:val="22"/>
          <w:szCs w:val="22"/>
          <w:lang w:val="en-US"/>
        </w:rPr>
        <w:t>Existing or intended pregnancy or breast-feeding</w:t>
      </w:r>
    </w:p>
    <w:p w14:paraId="6282C826" w14:textId="77777777" w:rsidR="006B24D4" w:rsidRPr="000D1D87" w:rsidRDefault="006B24D4" w:rsidP="006B24D4">
      <w:pPr>
        <w:pStyle w:val="Listenabsatz"/>
        <w:numPr>
          <w:ilvl w:val="0"/>
          <w:numId w:val="2"/>
        </w:numPr>
        <w:spacing w:before="100" w:beforeAutospacing="1" w:after="100" w:afterAutospacing="1"/>
        <w:rPr>
          <w:rFonts w:ascii="Arial" w:hAnsi="Arial" w:cs="Arial"/>
          <w:sz w:val="22"/>
          <w:szCs w:val="22"/>
          <w:lang w:val="en-US"/>
        </w:rPr>
      </w:pPr>
      <w:proofErr w:type="spellStart"/>
      <w:r w:rsidRPr="001E265E">
        <w:rPr>
          <w:rFonts w:ascii="Arial" w:hAnsi="Arial" w:cs="Arial"/>
          <w:sz w:val="22"/>
          <w:szCs w:val="22"/>
          <w:lang w:val="fr-CH"/>
        </w:rPr>
        <w:t>Continuous</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intake</w:t>
      </w:r>
      <w:proofErr w:type="spellEnd"/>
      <w:r w:rsidRPr="001E265E">
        <w:rPr>
          <w:rFonts w:ascii="Arial" w:hAnsi="Arial" w:cs="Arial"/>
          <w:sz w:val="22"/>
          <w:szCs w:val="22"/>
          <w:lang w:val="fr-CH"/>
        </w:rPr>
        <w:t xml:space="preserve"> of </w:t>
      </w:r>
      <w:proofErr w:type="spellStart"/>
      <w:r w:rsidRPr="001E265E">
        <w:rPr>
          <w:rFonts w:ascii="Arial" w:hAnsi="Arial" w:cs="Arial"/>
          <w:sz w:val="22"/>
          <w:szCs w:val="22"/>
          <w:lang w:val="fr-CH"/>
        </w:rPr>
        <w:t>drugs</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with</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known</w:t>
      </w:r>
      <w:proofErr w:type="spellEnd"/>
      <w:r w:rsidRPr="001E265E">
        <w:rPr>
          <w:rFonts w:ascii="Arial" w:hAnsi="Arial" w:cs="Arial"/>
          <w:sz w:val="22"/>
          <w:szCs w:val="22"/>
          <w:lang w:val="fr-CH"/>
        </w:rPr>
        <w:t xml:space="preserve"> or </w:t>
      </w:r>
      <w:proofErr w:type="spellStart"/>
      <w:r w:rsidRPr="001E265E">
        <w:rPr>
          <w:rFonts w:ascii="Arial" w:hAnsi="Arial" w:cs="Arial"/>
          <w:sz w:val="22"/>
          <w:szCs w:val="22"/>
          <w:lang w:val="fr-CH"/>
        </w:rPr>
        <w:t>suspected</w:t>
      </w:r>
      <w:proofErr w:type="spellEnd"/>
      <w:r w:rsidRPr="001E265E">
        <w:rPr>
          <w:rFonts w:ascii="Arial" w:hAnsi="Arial" w:cs="Arial"/>
          <w:sz w:val="22"/>
          <w:szCs w:val="22"/>
          <w:lang w:val="fr-CH"/>
        </w:rPr>
        <w:t xml:space="preserve"> impact on </w:t>
      </w:r>
      <w:proofErr w:type="spellStart"/>
      <w:r w:rsidRPr="001E265E">
        <w:rPr>
          <w:rFonts w:ascii="Arial" w:hAnsi="Arial" w:cs="Arial"/>
          <w:sz w:val="22"/>
          <w:szCs w:val="22"/>
          <w:lang w:val="fr-CH"/>
        </w:rPr>
        <w:t>villous</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atrophy</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specifically</w:t>
      </w:r>
      <w:proofErr w:type="spellEnd"/>
      <w:r w:rsidRPr="001E265E">
        <w:rPr>
          <w:rFonts w:ascii="Arial" w:hAnsi="Arial" w:cs="Arial"/>
          <w:sz w:val="22"/>
          <w:szCs w:val="22"/>
          <w:lang w:val="fr-CH"/>
        </w:rPr>
        <w:t>:</w:t>
      </w:r>
    </w:p>
    <w:p w14:paraId="4E4543D4" w14:textId="77777777" w:rsidR="006B24D4" w:rsidRPr="000D1D87" w:rsidRDefault="006B24D4" w:rsidP="006B24D4">
      <w:pPr>
        <w:pStyle w:val="Listenabsatz"/>
        <w:numPr>
          <w:ilvl w:val="1"/>
          <w:numId w:val="2"/>
        </w:numPr>
        <w:spacing w:before="100" w:beforeAutospacing="1" w:after="100" w:afterAutospacing="1"/>
        <w:rPr>
          <w:rFonts w:ascii="Arial" w:hAnsi="Arial" w:cs="Arial"/>
          <w:sz w:val="22"/>
          <w:szCs w:val="22"/>
          <w:lang w:val="en-US"/>
        </w:rPr>
      </w:pPr>
      <w:r w:rsidRPr="001E265E">
        <w:rPr>
          <w:rFonts w:ascii="Arial" w:hAnsi="Arial" w:cs="Arial"/>
          <w:sz w:val="22"/>
          <w:szCs w:val="22"/>
          <w:lang w:val="fr-CH"/>
        </w:rPr>
        <w:t>Proton-</w:t>
      </w:r>
      <w:proofErr w:type="spellStart"/>
      <w:r w:rsidRPr="001E265E">
        <w:rPr>
          <w:rFonts w:ascii="Arial" w:hAnsi="Arial" w:cs="Arial"/>
          <w:sz w:val="22"/>
          <w:szCs w:val="22"/>
          <w:lang w:val="fr-CH"/>
        </w:rPr>
        <w:t>pump</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inhibitors</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PPIs</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above</w:t>
      </w:r>
      <w:proofErr w:type="spellEnd"/>
      <w:r w:rsidRPr="001E265E">
        <w:rPr>
          <w:rFonts w:ascii="Arial" w:hAnsi="Arial" w:cs="Arial"/>
          <w:sz w:val="22"/>
          <w:szCs w:val="22"/>
          <w:lang w:val="fr-CH"/>
        </w:rPr>
        <w:t xml:space="preserve"> a </w:t>
      </w:r>
      <w:proofErr w:type="spellStart"/>
      <w:r w:rsidRPr="001E265E">
        <w:rPr>
          <w:rFonts w:ascii="Arial" w:hAnsi="Arial" w:cs="Arial"/>
          <w:sz w:val="22"/>
          <w:szCs w:val="22"/>
          <w:lang w:val="fr-CH"/>
        </w:rPr>
        <w:t>regular</w:t>
      </w:r>
      <w:proofErr w:type="spellEnd"/>
      <w:r w:rsidRPr="001E265E">
        <w:rPr>
          <w:rFonts w:ascii="Arial" w:hAnsi="Arial" w:cs="Arial"/>
          <w:sz w:val="22"/>
          <w:szCs w:val="22"/>
          <w:lang w:val="fr-CH"/>
        </w:rPr>
        <w:t xml:space="preserve"> dose </w:t>
      </w:r>
      <w:proofErr w:type="spellStart"/>
      <w:r w:rsidRPr="001E265E">
        <w:rPr>
          <w:rFonts w:ascii="Arial" w:hAnsi="Arial" w:cs="Arial"/>
          <w:sz w:val="22"/>
          <w:szCs w:val="22"/>
          <w:lang w:val="fr-CH"/>
        </w:rPr>
        <w:t>equivalent</w:t>
      </w:r>
      <w:proofErr w:type="spellEnd"/>
      <w:r w:rsidRPr="001E265E">
        <w:rPr>
          <w:rFonts w:ascii="Arial" w:hAnsi="Arial" w:cs="Arial"/>
          <w:sz w:val="22"/>
          <w:szCs w:val="22"/>
          <w:lang w:val="fr-CH"/>
        </w:rPr>
        <w:t xml:space="preserve"> to 20–40 mg/</w:t>
      </w:r>
      <w:proofErr w:type="spellStart"/>
      <w:r w:rsidRPr="001E265E">
        <w:rPr>
          <w:rFonts w:ascii="Arial" w:hAnsi="Arial" w:cs="Arial"/>
          <w:sz w:val="22"/>
          <w:szCs w:val="22"/>
          <w:lang w:val="fr-CH"/>
        </w:rPr>
        <w:t>day</w:t>
      </w:r>
      <w:proofErr w:type="spellEnd"/>
      <w:r w:rsidRPr="001E265E">
        <w:rPr>
          <w:rFonts w:ascii="Arial" w:hAnsi="Arial" w:cs="Arial"/>
          <w:sz w:val="22"/>
          <w:szCs w:val="22"/>
          <w:lang w:val="fr-CH"/>
        </w:rPr>
        <w:t xml:space="preserve"> pantoprazole, </w:t>
      </w:r>
      <w:proofErr w:type="spellStart"/>
      <w:r w:rsidRPr="001E265E">
        <w:rPr>
          <w:rFonts w:ascii="Arial" w:hAnsi="Arial" w:cs="Arial"/>
          <w:sz w:val="22"/>
          <w:szCs w:val="22"/>
          <w:lang w:val="fr-CH"/>
        </w:rPr>
        <w:t>esomeprazole</w:t>
      </w:r>
      <w:proofErr w:type="spellEnd"/>
      <w:r w:rsidRPr="001E265E">
        <w:rPr>
          <w:rFonts w:ascii="Arial" w:hAnsi="Arial" w:cs="Arial"/>
          <w:sz w:val="22"/>
          <w:szCs w:val="22"/>
          <w:lang w:val="fr-CH"/>
        </w:rPr>
        <w:t xml:space="preserve"> or </w:t>
      </w:r>
      <w:proofErr w:type="spellStart"/>
      <w:r w:rsidRPr="001E265E">
        <w:rPr>
          <w:rFonts w:ascii="Arial" w:hAnsi="Arial" w:cs="Arial"/>
          <w:sz w:val="22"/>
          <w:szCs w:val="22"/>
          <w:lang w:val="fr-CH"/>
        </w:rPr>
        <w:t>equivalent</w:t>
      </w:r>
      <w:proofErr w:type="spellEnd"/>
    </w:p>
    <w:p w14:paraId="5247F6AE" w14:textId="77777777" w:rsidR="006B24D4" w:rsidRPr="000D1D87" w:rsidRDefault="006B24D4" w:rsidP="006B24D4">
      <w:pPr>
        <w:pStyle w:val="Listenabsatz"/>
        <w:numPr>
          <w:ilvl w:val="1"/>
          <w:numId w:val="2"/>
        </w:numPr>
        <w:spacing w:before="100" w:beforeAutospacing="1" w:after="100" w:afterAutospacing="1"/>
        <w:rPr>
          <w:rFonts w:ascii="Arial" w:hAnsi="Arial" w:cs="Arial"/>
          <w:sz w:val="22"/>
          <w:szCs w:val="22"/>
          <w:lang w:val="en-US"/>
        </w:rPr>
      </w:pPr>
      <w:proofErr w:type="spellStart"/>
      <w:r w:rsidRPr="001E265E">
        <w:rPr>
          <w:rFonts w:ascii="Arial" w:hAnsi="Arial" w:cs="Arial"/>
          <w:sz w:val="22"/>
          <w:szCs w:val="22"/>
          <w:lang w:val="fr-CH"/>
        </w:rPr>
        <w:t>Selective</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serotonin</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reuptake</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inhibitors</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SSRIs</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above</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low</w:t>
      </w:r>
      <w:proofErr w:type="spellEnd"/>
      <w:r w:rsidRPr="001E265E">
        <w:rPr>
          <w:rFonts w:ascii="Arial" w:hAnsi="Arial" w:cs="Arial"/>
          <w:sz w:val="22"/>
          <w:szCs w:val="22"/>
          <w:lang w:val="fr-CH"/>
        </w:rPr>
        <w:t xml:space="preserve"> to medium dose (&gt;150 mg </w:t>
      </w:r>
      <w:proofErr w:type="spellStart"/>
      <w:r w:rsidRPr="001E265E">
        <w:rPr>
          <w:rFonts w:ascii="Arial" w:hAnsi="Arial" w:cs="Arial"/>
          <w:sz w:val="22"/>
          <w:szCs w:val="22"/>
          <w:lang w:val="fr-CH"/>
        </w:rPr>
        <w:t>fluvoxamine</w:t>
      </w:r>
      <w:proofErr w:type="spellEnd"/>
      <w:r w:rsidRPr="001E265E">
        <w:rPr>
          <w:rFonts w:ascii="Arial" w:hAnsi="Arial" w:cs="Arial"/>
          <w:sz w:val="22"/>
          <w:szCs w:val="22"/>
          <w:lang w:val="fr-CH"/>
        </w:rPr>
        <w:t xml:space="preserve"> or </w:t>
      </w:r>
      <w:proofErr w:type="spellStart"/>
      <w:r w:rsidRPr="001E265E">
        <w:rPr>
          <w:rFonts w:ascii="Arial" w:hAnsi="Arial" w:cs="Arial"/>
          <w:sz w:val="22"/>
          <w:szCs w:val="22"/>
          <w:lang w:val="fr-CH"/>
        </w:rPr>
        <w:t>equivalent</w:t>
      </w:r>
      <w:proofErr w:type="spellEnd"/>
      <w:r w:rsidRPr="001E265E">
        <w:rPr>
          <w:rFonts w:ascii="Arial" w:hAnsi="Arial" w:cs="Arial"/>
          <w:sz w:val="22"/>
          <w:szCs w:val="22"/>
          <w:lang w:val="fr-CH"/>
        </w:rPr>
        <w:t xml:space="preserve">), or </w:t>
      </w:r>
      <w:proofErr w:type="spellStart"/>
      <w:r w:rsidRPr="001E265E">
        <w:rPr>
          <w:rFonts w:ascii="Arial" w:hAnsi="Arial" w:cs="Arial"/>
          <w:sz w:val="22"/>
          <w:szCs w:val="22"/>
          <w:lang w:val="fr-CH"/>
        </w:rPr>
        <w:t>SSRIs</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initiated</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within</w:t>
      </w:r>
      <w:proofErr w:type="spellEnd"/>
      <w:r w:rsidRPr="001E265E">
        <w:rPr>
          <w:rFonts w:ascii="Arial" w:hAnsi="Arial" w:cs="Arial"/>
          <w:sz w:val="22"/>
          <w:szCs w:val="22"/>
          <w:lang w:val="fr-CH"/>
        </w:rPr>
        <w:t xml:space="preserve"> the </w:t>
      </w:r>
      <w:proofErr w:type="spellStart"/>
      <w:r w:rsidRPr="001E265E">
        <w:rPr>
          <w:rFonts w:ascii="Arial" w:hAnsi="Arial" w:cs="Arial"/>
          <w:sz w:val="22"/>
          <w:szCs w:val="22"/>
          <w:lang w:val="fr-CH"/>
        </w:rPr>
        <w:t>past</w:t>
      </w:r>
      <w:proofErr w:type="spellEnd"/>
      <w:r w:rsidRPr="001E265E">
        <w:rPr>
          <w:rFonts w:ascii="Arial" w:hAnsi="Arial" w:cs="Arial"/>
          <w:sz w:val="22"/>
          <w:szCs w:val="22"/>
          <w:lang w:val="fr-CH"/>
        </w:rPr>
        <w:t xml:space="preserve"> 6 </w:t>
      </w:r>
      <w:proofErr w:type="spellStart"/>
      <w:r w:rsidRPr="001E265E">
        <w:rPr>
          <w:rFonts w:ascii="Arial" w:hAnsi="Arial" w:cs="Arial"/>
          <w:sz w:val="22"/>
          <w:szCs w:val="22"/>
          <w:lang w:val="fr-CH"/>
        </w:rPr>
        <w:t>months</w:t>
      </w:r>
      <w:proofErr w:type="spellEnd"/>
      <w:r w:rsidRPr="001E265E">
        <w:rPr>
          <w:rFonts w:ascii="Arial" w:hAnsi="Arial" w:cs="Arial"/>
          <w:sz w:val="22"/>
          <w:szCs w:val="22"/>
          <w:lang w:val="fr-CH"/>
        </w:rPr>
        <w:t xml:space="preserve"> </w:t>
      </w:r>
      <w:proofErr w:type="spellStart"/>
      <w:r w:rsidRPr="001E265E">
        <w:rPr>
          <w:rFonts w:ascii="Arial" w:hAnsi="Arial" w:cs="Arial"/>
          <w:sz w:val="22"/>
          <w:szCs w:val="22"/>
          <w:lang w:val="fr-CH"/>
        </w:rPr>
        <w:t>prior</w:t>
      </w:r>
      <w:proofErr w:type="spellEnd"/>
      <w:r w:rsidRPr="001E265E">
        <w:rPr>
          <w:rFonts w:ascii="Arial" w:hAnsi="Arial" w:cs="Arial"/>
          <w:sz w:val="22"/>
          <w:szCs w:val="22"/>
          <w:lang w:val="fr-CH"/>
        </w:rPr>
        <w:t xml:space="preserve"> to </w:t>
      </w:r>
      <w:proofErr w:type="spellStart"/>
      <w:r w:rsidRPr="001E265E">
        <w:rPr>
          <w:rFonts w:ascii="Arial" w:hAnsi="Arial" w:cs="Arial"/>
          <w:sz w:val="22"/>
          <w:szCs w:val="22"/>
          <w:lang w:val="fr-CH"/>
        </w:rPr>
        <w:t>baseline</w:t>
      </w:r>
      <w:proofErr w:type="spellEnd"/>
    </w:p>
    <w:p w14:paraId="2DCF42CF" w14:textId="77777777" w:rsidR="006B24D4" w:rsidRPr="000D1D87" w:rsidRDefault="006B24D4" w:rsidP="006B24D4">
      <w:pPr>
        <w:pStyle w:val="Listenabsatz"/>
        <w:numPr>
          <w:ilvl w:val="1"/>
          <w:numId w:val="2"/>
        </w:numPr>
        <w:spacing w:before="100" w:beforeAutospacing="1" w:after="100" w:afterAutospacing="1"/>
        <w:rPr>
          <w:rFonts w:ascii="Arial" w:hAnsi="Arial" w:cs="Arial"/>
          <w:sz w:val="22"/>
          <w:szCs w:val="22"/>
          <w:lang w:val="en-US"/>
        </w:rPr>
      </w:pPr>
      <w:r w:rsidRPr="000D1D87">
        <w:rPr>
          <w:rFonts w:ascii="Arial" w:hAnsi="Arial" w:cs="Arial"/>
          <w:sz w:val="22"/>
          <w:szCs w:val="22"/>
        </w:rPr>
        <w:t>Olmesartan (</w:t>
      </w:r>
      <w:proofErr w:type="spellStart"/>
      <w:r w:rsidRPr="000D1D87">
        <w:rPr>
          <w:rFonts w:ascii="Arial" w:hAnsi="Arial" w:cs="Arial"/>
          <w:sz w:val="22"/>
          <w:szCs w:val="22"/>
        </w:rPr>
        <w:t>angiotensin</w:t>
      </w:r>
      <w:proofErr w:type="spellEnd"/>
      <w:r w:rsidRPr="000D1D87">
        <w:rPr>
          <w:rFonts w:ascii="Arial" w:hAnsi="Arial" w:cs="Arial"/>
          <w:sz w:val="22"/>
          <w:szCs w:val="22"/>
        </w:rPr>
        <w:t xml:space="preserve"> II </w:t>
      </w:r>
      <w:proofErr w:type="spellStart"/>
      <w:r w:rsidRPr="000D1D87">
        <w:rPr>
          <w:rFonts w:ascii="Arial" w:hAnsi="Arial" w:cs="Arial"/>
          <w:sz w:val="22"/>
          <w:szCs w:val="22"/>
        </w:rPr>
        <w:t>receptor</w:t>
      </w:r>
      <w:proofErr w:type="spellEnd"/>
      <w:r w:rsidRPr="000D1D87">
        <w:rPr>
          <w:rFonts w:ascii="Arial" w:hAnsi="Arial" w:cs="Arial"/>
          <w:sz w:val="22"/>
          <w:szCs w:val="22"/>
        </w:rPr>
        <w:t xml:space="preserve"> </w:t>
      </w:r>
      <w:proofErr w:type="spellStart"/>
      <w:r w:rsidRPr="000D1D87">
        <w:rPr>
          <w:rFonts w:ascii="Arial" w:hAnsi="Arial" w:cs="Arial"/>
          <w:sz w:val="22"/>
          <w:szCs w:val="22"/>
        </w:rPr>
        <w:t>blocker</w:t>
      </w:r>
      <w:proofErr w:type="spellEnd"/>
      <w:r w:rsidRPr="000D1D87">
        <w:rPr>
          <w:rFonts w:ascii="Arial" w:hAnsi="Arial" w:cs="Arial"/>
          <w:sz w:val="22"/>
          <w:szCs w:val="22"/>
        </w:rPr>
        <w:t xml:space="preserve">) at </w:t>
      </w:r>
      <w:proofErr w:type="spellStart"/>
      <w:r w:rsidRPr="000D1D87">
        <w:rPr>
          <w:rFonts w:ascii="Arial" w:hAnsi="Arial" w:cs="Arial"/>
          <w:sz w:val="22"/>
          <w:szCs w:val="22"/>
        </w:rPr>
        <w:t>any</w:t>
      </w:r>
      <w:proofErr w:type="spellEnd"/>
      <w:r w:rsidRPr="000D1D87">
        <w:rPr>
          <w:rFonts w:ascii="Arial" w:hAnsi="Arial" w:cs="Arial"/>
          <w:sz w:val="22"/>
          <w:szCs w:val="22"/>
        </w:rPr>
        <w:t xml:space="preserve"> dose</w:t>
      </w:r>
    </w:p>
    <w:p w14:paraId="0342D1A0" w14:textId="77777777" w:rsidR="006B24D4" w:rsidRPr="000D1D87" w:rsidRDefault="006B24D4" w:rsidP="006B24D4">
      <w:pPr>
        <w:pStyle w:val="Listenabsatz"/>
        <w:numPr>
          <w:ilvl w:val="1"/>
          <w:numId w:val="2"/>
        </w:numPr>
        <w:spacing w:before="100" w:beforeAutospacing="1" w:after="100" w:afterAutospacing="1"/>
        <w:rPr>
          <w:rFonts w:ascii="Arial" w:hAnsi="Arial" w:cs="Arial"/>
          <w:sz w:val="22"/>
          <w:szCs w:val="22"/>
          <w:lang w:val="en-US"/>
        </w:rPr>
      </w:pPr>
      <w:proofErr w:type="spellStart"/>
      <w:r w:rsidRPr="000D1D87">
        <w:rPr>
          <w:rFonts w:ascii="Arial" w:hAnsi="Arial" w:cs="Arial"/>
          <w:sz w:val="22"/>
          <w:szCs w:val="22"/>
        </w:rPr>
        <w:t>Mycophenolate</w:t>
      </w:r>
      <w:proofErr w:type="spellEnd"/>
      <w:r w:rsidRPr="000D1D87">
        <w:rPr>
          <w:rFonts w:ascii="Arial" w:hAnsi="Arial" w:cs="Arial"/>
          <w:sz w:val="22"/>
          <w:szCs w:val="22"/>
        </w:rPr>
        <w:t xml:space="preserve"> at </w:t>
      </w:r>
      <w:proofErr w:type="spellStart"/>
      <w:r w:rsidRPr="000D1D87">
        <w:rPr>
          <w:rFonts w:ascii="Arial" w:hAnsi="Arial" w:cs="Arial"/>
          <w:sz w:val="22"/>
          <w:szCs w:val="22"/>
        </w:rPr>
        <w:t>any</w:t>
      </w:r>
      <w:proofErr w:type="spellEnd"/>
      <w:r w:rsidRPr="000D1D87">
        <w:rPr>
          <w:rFonts w:ascii="Arial" w:hAnsi="Arial" w:cs="Arial"/>
          <w:sz w:val="22"/>
          <w:szCs w:val="22"/>
        </w:rPr>
        <w:t xml:space="preserve"> dose </w:t>
      </w:r>
      <w:proofErr w:type="spellStart"/>
      <w:r w:rsidRPr="000D1D87">
        <w:rPr>
          <w:rFonts w:ascii="Arial" w:hAnsi="Arial" w:cs="Arial"/>
          <w:sz w:val="22"/>
          <w:szCs w:val="22"/>
        </w:rPr>
        <w:t>within</w:t>
      </w:r>
      <w:proofErr w:type="spellEnd"/>
      <w:r w:rsidRPr="000D1D87">
        <w:rPr>
          <w:rFonts w:ascii="Arial" w:hAnsi="Arial" w:cs="Arial"/>
          <w:sz w:val="22"/>
          <w:szCs w:val="22"/>
        </w:rPr>
        <w:t xml:space="preserve"> the </w:t>
      </w:r>
      <w:proofErr w:type="spellStart"/>
      <w:r w:rsidRPr="000D1D87">
        <w:rPr>
          <w:rFonts w:ascii="Arial" w:hAnsi="Arial" w:cs="Arial"/>
          <w:sz w:val="22"/>
          <w:szCs w:val="22"/>
        </w:rPr>
        <w:t>past</w:t>
      </w:r>
      <w:proofErr w:type="spellEnd"/>
      <w:r w:rsidRPr="000D1D87">
        <w:rPr>
          <w:rFonts w:ascii="Arial" w:hAnsi="Arial" w:cs="Arial"/>
          <w:sz w:val="22"/>
          <w:szCs w:val="22"/>
        </w:rPr>
        <w:t xml:space="preserve"> 2 </w:t>
      </w:r>
      <w:proofErr w:type="spellStart"/>
      <w:r w:rsidRPr="000D1D87">
        <w:rPr>
          <w:rFonts w:ascii="Arial" w:hAnsi="Arial" w:cs="Arial"/>
          <w:sz w:val="22"/>
          <w:szCs w:val="22"/>
        </w:rPr>
        <w:t>months</w:t>
      </w:r>
      <w:proofErr w:type="spellEnd"/>
      <w:r w:rsidRPr="000D1D87">
        <w:rPr>
          <w:rFonts w:ascii="Arial" w:hAnsi="Arial" w:cs="Arial"/>
          <w:sz w:val="22"/>
          <w:szCs w:val="22"/>
        </w:rPr>
        <w:t xml:space="preserve"> </w:t>
      </w:r>
      <w:proofErr w:type="spellStart"/>
      <w:r w:rsidRPr="000D1D87">
        <w:rPr>
          <w:rFonts w:ascii="Arial" w:hAnsi="Arial" w:cs="Arial"/>
          <w:sz w:val="22"/>
          <w:szCs w:val="22"/>
        </w:rPr>
        <w:t>prior</w:t>
      </w:r>
      <w:proofErr w:type="spellEnd"/>
      <w:r w:rsidRPr="000D1D87">
        <w:rPr>
          <w:rFonts w:ascii="Arial" w:hAnsi="Arial" w:cs="Arial"/>
          <w:sz w:val="22"/>
          <w:szCs w:val="22"/>
        </w:rPr>
        <w:t xml:space="preserve"> to </w:t>
      </w:r>
      <w:proofErr w:type="spellStart"/>
      <w:r w:rsidRPr="000D1D87">
        <w:rPr>
          <w:rFonts w:ascii="Arial" w:hAnsi="Arial" w:cs="Arial"/>
          <w:sz w:val="22"/>
          <w:szCs w:val="22"/>
        </w:rPr>
        <w:t>baseline</w:t>
      </w:r>
      <w:proofErr w:type="spellEnd"/>
      <w:r w:rsidRPr="000D1D87">
        <w:rPr>
          <w:rFonts w:ascii="Arial" w:hAnsi="Arial" w:cs="Arial"/>
          <w:sz w:val="22"/>
          <w:szCs w:val="22"/>
        </w:rPr>
        <w:t xml:space="preserve"> </w:t>
      </w:r>
      <w:proofErr w:type="spellStart"/>
      <w:r w:rsidRPr="000D1D87">
        <w:rPr>
          <w:rFonts w:ascii="Arial" w:hAnsi="Arial" w:cs="Arial"/>
          <w:sz w:val="22"/>
          <w:szCs w:val="22"/>
        </w:rPr>
        <w:t>biopsy</w:t>
      </w:r>
      <w:proofErr w:type="spellEnd"/>
    </w:p>
    <w:p w14:paraId="3570931C" w14:textId="77777777" w:rsidR="006B24D4" w:rsidRPr="000D1D87" w:rsidRDefault="006B24D4" w:rsidP="006B24D4">
      <w:pPr>
        <w:pStyle w:val="Listenabsatz"/>
        <w:numPr>
          <w:ilvl w:val="1"/>
          <w:numId w:val="2"/>
        </w:numPr>
        <w:spacing w:before="100" w:beforeAutospacing="1" w:after="100" w:afterAutospacing="1"/>
        <w:rPr>
          <w:rFonts w:ascii="Arial" w:hAnsi="Arial" w:cs="Arial"/>
          <w:sz w:val="22"/>
          <w:szCs w:val="22"/>
          <w:lang w:val="en-US"/>
        </w:rPr>
      </w:pPr>
      <w:r w:rsidRPr="001E265E">
        <w:rPr>
          <w:rFonts w:ascii="Arial" w:hAnsi="Arial" w:cs="Arial"/>
          <w:sz w:val="22"/>
          <w:szCs w:val="22"/>
          <w:lang w:val="en-US"/>
        </w:rPr>
        <w:t>Non-steroidal anti-inflammatory drugs (NSAIDs) above the following thresholds within 4 weeks prior to baseline biopsy: ibuprofen &gt;900 mg/day, naproxen &gt;500 mg/day, diclofenac &gt;75 mg/day, or any NSAID within one week prior to biopsy</w:t>
      </w:r>
    </w:p>
    <w:p w14:paraId="3AC8648D" w14:textId="77777777" w:rsidR="006B24D4" w:rsidRPr="000D1D87" w:rsidRDefault="006B24D4" w:rsidP="006B24D4">
      <w:pPr>
        <w:pStyle w:val="Listenabsatz"/>
        <w:numPr>
          <w:ilvl w:val="1"/>
          <w:numId w:val="2"/>
        </w:numPr>
        <w:spacing w:before="100" w:beforeAutospacing="1" w:after="100" w:afterAutospacing="1"/>
        <w:rPr>
          <w:rFonts w:ascii="Arial" w:hAnsi="Arial" w:cs="Arial"/>
          <w:sz w:val="22"/>
          <w:szCs w:val="22"/>
          <w:lang w:val="en-US"/>
        </w:rPr>
      </w:pPr>
      <w:r w:rsidRPr="001E265E">
        <w:rPr>
          <w:rFonts w:ascii="Arial" w:hAnsi="Arial" w:cs="Arial"/>
          <w:sz w:val="22"/>
          <w:szCs w:val="22"/>
          <w:lang w:val="en-US"/>
        </w:rPr>
        <w:t>Acetylsalicylic acid above 100 mg/day within 4 weeks prior to baseline biopsy</w:t>
      </w:r>
    </w:p>
    <w:p w14:paraId="34C65BBA" w14:textId="77777777" w:rsidR="006B24D4" w:rsidRPr="002A2A92" w:rsidRDefault="006B24D4" w:rsidP="006B24D4">
      <w:pPr>
        <w:pStyle w:val="Listenabsatz"/>
        <w:numPr>
          <w:ilvl w:val="0"/>
          <w:numId w:val="2"/>
        </w:numPr>
        <w:spacing w:before="100" w:beforeAutospacing="1" w:after="100" w:afterAutospacing="1"/>
        <w:rPr>
          <w:rFonts w:ascii="Arial" w:hAnsi="Arial" w:cs="Arial"/>
          <w:sz w:val="22"/>
          <w:szCs w:val="22"/>
          <w:lang w:val="en-US"/>
        </w:rPr>
      </w:pPr>
      <w:r w:rsidRPr="001E265E">
        <w:rPr>
          <w:rFonts w:ascii="Arial" w:hAnsi="Arial" w:cs="Arial"/>
          <w:sz w:val="22"/>
          <w:szCs w:val="22"/>
          <w:lang w:val="en-US"/>
        </w:rPr>
        <w:t xml:space="preserve">Use of any oral enzyme preparation marketed for the digestion of gluten (including but not limited to AN-PEP, prolyl endopeptidases, </w:t>
      </w:r>
      <w:proofErr w:type="spellStart"/>
      <w:r w:rsidRPr="001E265E">
        <w:rPr>
          <w:rFonts w:ascii="Arial" w:hAnsi="Arial" w:cs="Arial"/>
          <w:sz w:val="22"/>
          <w:szCs w:val="22"/>
          <w:lang w:val="en-US"/>
        </w:rPr>
        <w:t>GliadinX</w:t>
      </w:r>
      <w:proofErr w:type="spellEnd"/>
      <w:r w:rsidRPr="001E265E">
        <w:rPr>
          <w:rFonts w:ascii="Arial" w:hAnsi="Arial" w:cs="Arial"/>
          <w:sz w:val="22"/>
          <w:szCs w:val="22"/>
          <w:lang w:val="en-US"/>
        </w:rPr>
        <w:t xml:space="preserve">, </w:t>
      </w:r>
      <w:proofErr w:type="spellStart"/>
      <w:r w:rsidRPr="001E265E">
        <w:rPr>
          <w:rFonts w:ascii="Arial" w:hAnsi="Arial" w:cs="Arial"/>
          <w:sz w:val="22"/>
          <w:szCs w:val="22"/>
          <w:lang w:val="en-US"/>
        </w:rPr>
        <w:t>Tolerase</w:t>
      </w:r>
      <w:proofErr w:type="spellEnd"/>
      <w:r w:rsidRPr="001E265E">
        <w:rPr>
          <w:rFonts w:ascii="Arial" w:hAnsi="Arial" w:cs="Arial"/>
          <w:sz w:val="22"/>
          <w:szCs w:val="22"/>
          <w:lang w:val="en-US"/>
        </w:rPr>
        <w:t xml:space="preserve"> G) within 4 weeks prior to baseline, or unwillingness to discontinue such products for the duration of the study.</w:t>
      </w:r>
    </w:p>
    <w:p w14:paraId="38B9B4A1" w14:textId="63F74443" w:rsidR="006B24D4" w:rsidRDefault="006B24D4" w:rsidP="006B24D4">
      <w:pPr>
        <w:pStyle w:val="Listenabsatz"/>
        <w:numPr>
          <w:ilvl w:val="0"/>
          <w:numId w:val="2"/>
        </w:numPr>
        <w:spacing w:before="100" w:beforeAutospacing="1" w:after="100" w:afterAutospacing="1"/>
        <w:rPr>
          <w:rFonts w:ascii="Arial" w:hAnsi="Arial" w:cs="Arial"/>
          <w:sz w:val="22"/>
          <w:szCs w:val="22"/>
          <w:lang w:val="en-US"/>
        </w:rPr>
      </w:pPr>
      <w:r w:rsidRPr="001247DB">
        <w:rPr>
          <w:rFonts w:ascii="Arial" w:hAnsi="Arial" w:cs="Arial"/>
          <w:sz w:val="22"/>
          <w:szCs w:val="22"/>
          <w:lang w:val="en-US"/>
        </w:rPr>
        <w:t xml:space="preserve">Close affiliation with the Sponsor-Investigator, Investigator </w:t>
      </w:r>
      <w:r>
        <w:rPr>
          <w:rFonts w:ascii="Arial" w:hAnsi="Arial" w:cs="Arial"/>
          <w:sz w:val="22"/>
          <w:szCs w:val="22"/>
          <w:lang w:val="en-US"/>
        </w:rPr>
        <w:t xml:space="preserve">(DS) </w:t>
      </w:r>
      <w:r w:rsidRPr="001247DB">
        <w:rPr>
          <w:rFonts w:ascii="Arial" w:hAnsi="Arial" w:cs="Arial"/>
          <w:sz w:val="22"/>
          <w:szCs w:val="22"/>
          <w:lang w:val="en-US"/>
        </w:rPr>
        <w:t>or financial dependence on study site personnel</w:t>
      </w:r>
      <w:r>
        <w:rPr>
          <w:rFonts w:ascii="Arial" w:hAnsi="Arial" w:cs="Arial"/>
          <w:sz w:val="22"/>
          <w:szCs w:val="22"/>
          <w:lang w:val="en-US"/>
        </w:rPr>
        <w:t xml:space="preserve">. </w:t>
      </w:r>
    </w:p>
    <w:p w14:paraId="475357F5" w14:textId="77777777" w:rsidR="006B24D4" w:rsidRPr="001247DB" w:rsidRDefault="006B24D4" w:rsidP="006B24D4">
      <w:pPr>
        <w:pStyle w:val="Listenabsatz"/>
        <w:numPr>
          <w:ilvl w:val="0"/>
          <w:numId w:val="2"/>
        </w:numPr>
        <w:spacing w:before="100" w:beforeAutospacing="1" w:after="100" w:afterAutospacing="1"/>
        <w:rPr>
          <w:rFonts w:ascii="Arial" w:hAnsi="Arial" w:cs="Arial"/>
          <w:sz w:val="22"/>
          <w:szCs w:val="22"/>
          <w:lang w:val="en-US"/>
        </w:rPr>
      </w:pPr>
      <w:r w:rsidRPr="0029015C">
        <w:rPr>
          <w:rFonts w:ascii="Arial" w:hAnsi="Arial" w:cs="Arial"/>
          <w:sz w:val="22"/>
          <w:szCs w:val="22"/>
          <w:lang w:val="en-US"/>
        </w:rPr>
        <w:t>Participation in the stakeholder engagement process of this study (Req-2025-01479)</w:t>
      </w:r>
    </w:p>
    <w:p w14:paraId="6362392E" w14:textId="77777777" w:rsidR="006B24D4" w:rsidRPr="001247DB" w:rsidRDefault="006B24D4" w:rsidP="006B24D4">
      <w:pPr>
        <w:pStyle w:val="Listenabsatz"/>
        <w:numPr>
          <w:ilvl w:val="0"/>
          <w:numId w:val="2"/>
        </w:numPr>
        <w:spacing w:before="100" w:beforeAutospacing="1" w:after="100" w:afterAutospacing="1"/>
        <w:rPr>
          <w:rFonts w:ascii="Arial" w:hAnsi="Arial" w:cs="Arial"/>
          <w:sz w:val="22"/>
          <w:szCs w:val="22"/>
          <w:lang w:val="en-US"/>
        </w:rPr>
      </w:pPr>
      <w:r w:rsidRPr="001247DB">
        <w:rPr>
          <w:rFonts w:ascii="Arial" w:hAnsi="Arial" w:cs="Arial"/>
          <w:sz w:val="22"/>
          <w:szCs w:val="22"/>
          <w:lang w:val="en-US"/>
        </w:rPr>
        <w:t>Participation in another clinical trial involving modified gluten-free diet or celiac disease-related interventions within 12 months prior to screening</w:t>
      </w:r>
    </w:p>
    <w:p w14:paraId="4A38781F" w14:textId="77777777" w:rsidR="006B24D4" w:rsidRPr="001247DB" w:rsidRDefault="006B24D4" w:rsidP="006B24D4">
      <w:pPr>
        <w:pStyle w:val="Listenabsatz"/>
        <w:numPr>
          <w:ilvl w:val="0"/>
          <w:numId w:val="2"/>
        </w:numPr>
        <w:spacing w:before="100" w:beforeAutospacing="1" w:after="100" w:afterAutospacing="1"/>
        <w:rPr>
          <w:rFonts w:ascii="Arial" w:hAnsi="Arial" w:cs="Arial"/>
          <w:sz w:val="22"/>
          <w:szCs w:val="22"/>
          <w:lang w:val="en-US"/>
        </w:rPr>
      </w:pPr>
      <w:r w:rsidRPr="001247DB">
        <w:rPr>
          <w:rFonts w:ascii="Arial" w:hAnsi="Arial" w:cs="Arial"/>
          <w:sz w:val="22"/>
          <w:szCs w:val="22"/>
          <w:lang w:val="en-US"/>
        </w:rPr>
        <w:lastRenderedPageBreak/>
        <w:t>Inability to follow investigation procedures due to language barriers, psychological disorders, or dementia</w:t>
      </w:r>
    </w:p>
    <w:p w14:paraId="73651201" w14:textId="77777777" w:rsidR="006B24D4" w:rsidRPr="001247DB" w:rsidRDefault="006B24D4" w:rsidP="006B24D4">
      <w:pPr>
        <w:pStyle w:val="Listenabsatz"/>
        <w:numPr>
          <w:ilvl w:val="0"/>
          <w:numId w:val="2"/>
        </w:numPr>
        <w:spacing w:before="100" w:beforeAutospacing="1" w:after="100" w:afterAutospacing="1"/>
        <w:rPr>
          <w:rFonts w:ascii="Arial" w:hAnsi="Arial" w:cs="Arial"/>
          <w:sz w:val="22"/>
          <w:szCs w:val="22"/>
          <w:lang w:val="en-US"/>
        </w:rPr>
      </w:pPr>
      <w:r w:rsidRPr="001247DB">
        <w:rPr>
          <w:rFonts w:ascii="Arial" w:hAnsi="Arial" w:cs="Arial"/>
          <w:sz w:val="22"/>
          <w:szCs w:val="22"/>
          <w:lang w:val="en-US"/>
        </w:rPr>
        <w:t>Previous enrollment in the current investigation</w:t>
      </w:r>
      <w:r>
        <w:rPr>
          <w:rFonts w:ascii="Arial" w:hAnsi="Arial" w:cs="Arial"/>
          <w:sz w:val="22"/>
          <w:szCs w:val="22"/>
          <w:lang w:val="en-US"/>
        </w:rPr>
        <w:t xml:space="preserve"> and participation in another clinical trial</w:t>
      </w:r>
    </w:p>
    <w:p w14:paraId="07709AEA" w14:textId="77777777" w:rsidR="006B24D4" w:rsidRPr="001247DB" w:rsidRDefault="006B24D4" w:rsidP="006B24D4">
      <w:pPr>
        <w:pStyle w:val="StandardWeb"/>
        <w:numPr>
          <w:ilvl w:val="0"/>
          <w:numId w:val="2"/>
        </w:numPr>
        <w:spacing w:before="2"/>
        <w:rPr>
          <w:rFonts w:ascii="Times New Roman" w:hAnsi="Times New Roman"/>
          <w:sz w:val="22"/>
          <w:szCs w:val="22"/>
          <w:lang w:val="en-US"/>
        </w:rPr>
      </w:pPr>
      <w:r w:rsidRPr="001247DB">
        <w:rPr>
          <w:rFonts w:ascii="Arial" w:hAnsi="Arial" w:cs="Arial"/>
          <w:sz w:val="22"/>
          <w:szCs w:val="22"/>
          <w:lang w:val="en-US"/>
        </w:rPr>
        <w:t>Suspected non-compliance due to alcohol or drug abuse or behavioral concerns during screening</w:t>
      </w:r>
    </w:p>
    <w:p w14:paraId="29D35D47" w14:textId="77777777" w:rsidR="006B24D4" w:rsidRPr="001E265E" w:rsidRDefault="006B24D4">
      <w:pPr>
        <w:rPr>
          <w:lang w:val="fr-CH"/>
        </w:rPr>
      </w:pPr>
    </w:p>
    <w:p w14:paraId="48881B9F" w14:textId="74A54647" w:rsidR="006B24D4" w:rsidRPr="001247DB" w:rsidRDefault="006B24D4" w:rsidP="006B24D4">
      <w:pPr>
        <w:pStyle w:val="whitespace-normal"/>
        <w:rPr>
          <w:rFonts w:ascii="Arial" w:hAnsi="Arial" w:cs="Arial"/>
          <w:sz w:val="22"/>
          <w:szCs w:val="22"/>
          <w:lang w:val="en-US"/>
        </w:rPr>
      </w:pPr>
      <w:r w:rsidRPr="001247DB">
        <w:rPr>
          <w:rStyle w:val="Fett"/>
          <w:rFonts w:ascii="Arial" w:hAnsi="Arial" w:cs="Arial"/>
          <w:sz w:val="22"/>
          <w:szCs w:val="22"/>
          <w:lang w:val="en-US"/>
        </w:rPr>
        <w:t>Justification for Study Population Choice:</w:t>
      </w:r>
      <w:r w:rsidRPr="001247DB">
        <w:rPr>
          <w:rFonts w:ascii="Arial" w:hAnsi="Arial" w:cs="Arial"/>
          <w:sz w:val="22"/>
          <w:szCs w:val="22"/>
          <w:lang w:val="en-US"/>
        </w:rPr>
        <w:t xml:space="preserve"> This population represents the target group most likely to benefit from evidence-based dietary flexibility guidance while ensuring safety through established disease control. Adults with confirmed diagnosis and demonstrated dietary adherence possess the knowledge base and self-management skills necessary for implementing modified dietary approaches. The requirement for mucosal</w:t>
      </w:r>
      <w:r>
        <w:rPr>
          <w:rFonts w:ascii="Arial" w:hAnsi="Arial" w:cs="Arial"/>
          <w:sz w:val="22"/>
          <w:szCs w:val="22"/>
          <w:lang w:val="en-US"/>
        </w:rPr>
        <w:t xml:space="preserve"> recovery, especially the absence of atrophy</w:t>
      </w:r>
      <w:r w:rsidRPr="001247DB">
        <w:rPr>
          <w:rFonts w:ascii="Arial" w:hAnsi="Arial" w:cs="Arial"/>
          <w:sz w:val="22"/>
          <w:szCs w:val="22"/>
          <w:lang w:val="en-US"/>
        </w:rPr>
        <w:t xml:space="preserve"> and symptom recovery ensures participants have achieved clinical remission, providing appropriate baseline for safety assessment of controlled gluten exposure.</w:t>
      </w:r>
    </w:p>
    <w:p w14:paraId="052DC917" w14:textId="77777777" w:rsidR="006B24D4" w:rsidRPr="001E265E" w:rsidRDefault="006B24D4">
      <w:pPr>
        <w:rPr>
          <w:lang w:val="fr-CH"/>
        </w:rPr>
      </w:pPr>
    </w:p>
    <w:sectPr w:rsidR="006B24D4" w:rsidRPr="001E265E" w:rsidSect="00263E9E">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Sylfaen"/>
    <w:panose1 w:val="02000500000000000000"/>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571E16"/>
    <w:multiLevelType w:val="hybridMultilevel"/>
    <w:tmpl w:val="B79200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C354BD6"/>
    <w:multiLevelType w:val="hybridMultilevel"/>
    <w:tmpl w:val="4B02ECD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60536445">
    <w:abstractNumId w:val="0"/>
  </w:num>
  <w:num w:numId="2" w16cid:durableId="69345662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4D4"/>
    <w:rsid w:val="0000131F"/>
    <w:rsid w:val="00014FF6"/>
    <w:rsid w:val="0001608B"/>
    <w:rsid w:val="00017C6A"/>
    <w:rsid w:val="00024BCA"/>
    <w:rsid w:val="0002796C"/>
    <w:rsid w:val="000406A0"/>
    <w:rsid w:val="00042090"/>
    <w:rsid w:val="00044002"/>
    <w:rsid w:val="00044CF5"/>
    <w:rsid w:val="00045847"/>
    <w:rsid w:val="00053313"/>
    <w:rsid w:val="00061121"/>
    <w:rsid w:val="000625D9"/>
    <w:rsid w:val="00064265"/>
    <w:rsid w:val="0008252C"/>
    <w:rsid w:val="0008620A"/>
    <w:rsid w:val="000B33D8"/>
    <w:rsid w:val="000B50DF"/>
    <w:rsid w:val="000B590C"/>
    <w:rsid w:val="000B7B58"/>
    <w:rsid w:val="000B7DA0"/>
    <w:rsid w:val="000C696F"/>
    <w:rsid w:val="000D7E74"/>
    <w:rsid w:val="000E0430"/>
    <w:rsid w:val="000E4F93"/>
    <w:rsid w:val="0010314F"/>
    <w:rsid w:val="00107AD8"/>
    <w:rsid w:val="001119B6"/>
    <w:rsid w:val="0012599D"/>
    <w:rsid w:val="00147D8E"/>
    <w:rsid w:val="00151563"/>
    <w:rsid w:val="00155C23"/>
    <w:rsid w:val="0015745F"/>
    <w:rsid w:val="00162531"/>
    <w:rsid w:val="00165010"/>
    <w:rsid w:val="00166C28"/>
    <w:rsid w:val="00170D9B"/>
    <w:rsid w:val="00181BB9"/>
    <w:rsid w:val="00186E75"/>
    <w:rsid w:val="00196095"/>
    <w:rsid w:val="001977B1"/>
    <w:rsid w:val="001A0850"/>
    <w:rsid w:val="001A374A"/>
    <w:rsid w:val="001A51D0"/>
    <w:rsid w:val="001B2D03"/>
    <w:rsid w:val="001B4B3B"/>
    <w:rsid w:val="001C261D"/>
    <w:rsid w:val="001E08C5"/>
    <w:rsid w:val="001E265E"/>
    <w:rsid w:val="001F540C"/>
    <w:rsid w:val="002010D6"/>
    <w:rsid w:val="00203823"/>
    <w:rsid w:val="002138E7"/>
    <w:rsid w:val="00217CCA"/>
    <w:rsid w:val="00227596"/>
    <w:rsid w:val="00233981"/>
    <w:rsid w:val="0025317D"/>
    <w:rsid w:val="0025565B"/>
    <w:rsid w:val="00262F8F"/>
    <w:rsid w:val="00263E9E"/>
    <w:rsid w:val="002647EC"/>
    <w:rsid w:val="002656D0"/>
    <w:rsid w:val="00294925"/>
    <w:rsid w:val="002A2DB5"/>
    <w:rsid w:val="002A33B7"/>
    <w:rsid w:val="002A43FC"/>
    <w:rsid w:val="002A49CC"/>
    <w:rsid w:val="002B341D"/>
    <w:rsid w:val="002C1E97"/>
    <w:rsid w:val="002C37C4"/>
    <w:rsid w:val="002C4118"/>
    <w:rsid w:val="002D279B"/>
    <w:rsid w:val="002E4673"/>
    <w:rsid w:val="00301C62"/>
    <w:rsid w:val="00312D67"/>
    <w:rsid w:val="003203EF"/>
    <w:rsid w:val="003262AD"/>
    <w:rsid w:val="003418EC"/>
    <w:rsid w:val="00342D35"/>
    <w:rsid w:val="00345341"/>
    <w:rsid w:val="003511B4"/>
    <w:rsid w:val="00384C2B"/>
    <w:rsid w:val="00395764"/>
    <w:rsid w:val="003B0AB9"/>
    <w:rsid w:val="003B1FBA"/>
    <w:rsid w:val="003B276A"/>
    <w:rsid w:val="003C3384"/>
    <w:rsid w:val="003C4EBF"/>
    <w:rsid w:val="003C54A0"/>
    <w:rsid w:val="003D3B99"/>
    <w:rsid w:val="003E0C10"/>
    <w:rsid w:val="00400B85"/>
    <w:rsid w:val="00407903"/>
    <w:rsid w:val="00410AF0"/>
    <w:rsid w:val="00416719"/>
    <w:rsid w:val="00420881"/>
    <w:rsid w:val="0042768B"/>
    <w:rsid w:val="00430823"/>
    <w:rsid w:val="004406FE"/>
    <w:rsid w:val="0044447B"/>
    <w:rsid w:val="004464CB"/>
    <w:rsid w:val="0045434D"/>
    <w:rsid w:val="00456D83"/>
    <w:rsid w:val="0048109B"/>
    <w:rsid w:val="004824B7"/>
    <w:rsid w:val="00485653"/>
    <w:rsid w:val="0048672D"/>
    <w:rsid w:val="0049251C"/>
    <w:rsid w:val="004A1D41"/>
    <w:rsid w:val="004A2C21"/>
    <w:rsid w:val="004B2C92"/>
    <w:rsid w:val="004B70AA"/>
    <w:rsid w:val="004D2C89"/>
    <w:rsid w:val="004E30BE"/>
    <w:rsid w:val="004E73D5"/>
    <w:rsid w:val="004F10DE"/>
    <w:rsid w:val="004F265E"/>
    <w:rsid w:val="00516E28"/>
    <w:rsid w:val="00546980"/>
    <w:rsid w:val="005541DF"/>
    <w:rsid w:val="00555B8A"/>
    <w:rsid w:val="00561F36"/>
    <w:rsid w:val="005A15EE"/>
    <w:rsid w:val="005B22CA"/>
    <w:rsid w:val="005B56EA"/>
    <w:rsid w:val="005C0A01"/>
    <w:rsid w:val="005C1057"/>
    <w:rsid w:val="005D2DE9"/>
    <w:rsid w:val="005D6A5F"/>
    <w:rsid w:val="005F1F8A"/>
    <w:rsid w:val="005F35EB"/>
    <w:rsid w:val="005F3E1F"/>
    <w:rsid w:val="0060014A"/>
    <w:rsid w:val="00601218"/>
    <w:rsid w:val="00603B36"/>
    <w:rsid w:val="00616B06"/>
    <w:rsid w:val="00622A5B"/>
    <w:rsid w:val="00626C7A"/>
    <w:rsid w:val="00633AAC"/>
    <w:rsid w:val="00634370"/>
    <w:rsid w:val="0063675E"/>
    <w:rsid w:val="00637E6E"/>
    <w:rsid w:val="006402C5"/>
    <w:rsid w:val="00651B7B"/>
    <w:rsid w:val="00652CFF"/>
    <w:rsid w:val="00656234"/>
    <w:rsid w:val="00661FC4"/>
    <w:rsid w:val="00663B53"/>
    <w:rsid w:val="00665B9B"/>
    <w:rsid w:val="00665BD4"/>
    <w:rsid w:val="006823FA"/>
    <w:rsid w:val="00686474"/>
    <w:rsid w:val="0068661E"/>
    <w:rsid w:val="006962F1"/>
    <w:rsid w:val="006A172B"/>
    <w:rsid w:val="006A3216"/>
    <w:rsid w:val="006B24D4"/>
    <w:rsid w:val="006B6612"/>
    <w:rsid w:val="006C3951"/>
    <w:rsid w:val="006D2A90"/>
    <w:rsid w:val="006E6CD6"/>
    <w:rsid w:val="006F0B2A"/>
    <w:rsid w:val="006F4B62"/>
    <w:rsid w:val="006F7000"/>
    <w:rsid w:val="007108C9"/>
    <w:rsid w:val="0071637C"/>
    <w:rsid w:val="00725035"/>
    <w:rsid w:val="00727656"/>
    <w:rsid w:val="00730DF7"/>
    <w:rsid w:val="007413B1"/>
    <w:rsid w:val="00744255"/>
    <w:rsid w:val="00746ED3"/>
    <w:rsid w:val="007510A4"/>
    <w:rsid w:val="00761978"/>
    <w:rsid w:val="007640B6"/>
    <w:rsid w:val="00770D45"/>
    <w:rsid w:val="00796DF5"/>
    <w:rsid w:val="007B2277"/>
    <w:rsid w:val="007B4276"/>
    <w:rsid w:val="007B7856"/>
    <w:rsid w:val="007D0E01"/>
    <w:rsid w:val="007D5BAD"/>
    <w:rsid w:val="007E7949"/>
    <w:rsid w:val="007F0AA6"/>
    <w:rsid w:val="00801966"/>
    <w:rsid w:val="00810210"/>
    <w:rsid w:val="00810A15"/>
    <w:rsid w:val="00827699"/>
    <w:rsid w:val="00830EAD"/>
    <w:rsid w:val="0083456C"/>
    <w:rsid w:val="0084295B"/>
    <w:rsid w:val="00862207"/>
    <w:rsid w:val="00864FE2"/>
    <w:rsid w:val="008755FE"/>
    <w:rsid w:val="0088190E"/>
    <w:rsid w:val="0088313A"/>
    <w:rsid w:val="00897C51"/>
    <w:rsid w:val="008B13B4"/>
    <w:rsid w:val="008B71DC"/>
    <w:rsid w:val="008C24B0"/>
    <w:rsid w:val="008C2CF4"/>
    <w:rsid w:val="008C3192"/>
    <w:rsid w:val="008C5534"/>
    <w:rsid w:val="008C5E44"/>
    <w:rsid w:val="008C6B01"/>
    <w:rsid w:val="008E609D"/>
    <w:rsid w:val="008F494E"/>
    <w:rsid w:val="008F5985"/>
    <w:rsid w:val="00905408"/>
    <w:rsid w:val="009360EE"/>
    <w:rsid w:val="0094403A"/>
    <w:rsid w:val="00946B92"/>
    <w:rsid w:val="00955534"/>
    <w:rsid w:val="00960E8C"/>
    <w:rsid w:val="00967D77"/>
    <w:rsid w:val="00973FC5"/>
    <w:rsid w:val="00980DE4"/>
    <w:rsid w:val="009825AD"/>
    <w:rsid w:val="00997A8B"/>
    <w:rsid w:val="009A6A22"/>
    <w:rsid w:val="009C66CD"/>
    <w:rsid w:val="009F23CB"/>
    <w:rsid w:val="009F4325"/>
    <w:rsid w:val="009F5AF1"/>
    <w:rsid w:val="00A033B1"/>
    <w:rsid w:val="00A03896"/>
    <w:rsid w:val="00A101CF"/>
    <w:rsid w:val="00A16397"/>
    <w:rsid w:val="00A3729E"/>
    <w:rsid w:val="00A44548"/>
    <w:rsid w:val="00A47F5F"/>
    <w:rsid w:val="00A673E0"/>
    <w:rsid w:val="00A71087"/>
    <w:rsid w:val="00A71192"/>
    <w:rsid w:val="00A82ABC"/>
    <w:rsid w:val="00A86D69"/>
    <w:rsid w:val="00A90DFD"/>
    <w:rsid w:val="00A970D5"/>
    <w:rsid w:val="00AA1F64"/>
    <w:rsid w:val="00AA7F24"/>
    <w:rsid w:val="00AB127A"/>
    <w:rsid w:val="00AC4795"/>
    <w:rsid w:val="00AC4B7A"/>
    <w:rsid w:val="00AD5AB5"/>
    <w:rsid w:val="00AE27F9"/>
    <w:rsid w:val="00AE3D3B"/>
    <w:rsid w:val="00AF5336"/>
    <w:rsid w:val="00B0081D"/>
    <w:rsid w:val="00B04D7E"/>
    <w:rsid w:val="00B04DFC"/>
    <w:rsid w:val="00B05FD9"/>
    <w:rsid w:val="00B11469"/>
    <w:rsid w:val="00B13B8F"/>
    <w:rsid w:val="00B41730"/>
    <w:rsid w:val="00B50311"/>
    <w:rsid w:val="00B52873"/>
    <w:rsid w:val="00B57C5C"/>
    <w:rsid w:val="00B70790"/>
    <w:rsid w:val="00B71137"/>
    <w:rsid w:val="00B85E8F"/>
    <w:rsid w:val="00BA07E5"/>
    <w:rsid w:val="00BA0F40"/>
    <w:rsid w:val="00BA6642"/>
    <w:rsid w:val="00BB5E80"/>
    <w:rsid w:val="00BC2EB7"/>
    <w:rsid w:val="00BC7954"/>
    <w:rsid w:val="00BD2994"/>
    <w:rsid w:val="00BD3910"/>
    <w:rsid w:val="00BF6F66"/>
    <w:rsid w:val="00BF7103"/>
    <w:rsid w:val="00C00198"/>
    <w:rsid w:val="00C05E78"/>
    <w:rsid w:val="00C11C20"/>
    <w:rsid w:val="00C13531"/>
    <w:rsid w:val="00C20665"/>
    <w:rsid w:val="00C37CB9"/>
    <w:rsid w:val="00C40FDA"/>
    <w:rsid w:val="00C4264D"/>
    <w:rsid w:val="00C55493"/>
    <w:rsid w:val="00C5581E"/>
    <w:rsid w:val="00C56573"/>
    <w:rsid w:val="00C6038A"/>
    <w:rsid w:val="00C76D25"/>
    <w:rsid w:val="00C85E8F"/>
    <w:rsid w:val="00C9407F"/>
    <w:rsid w:val="00CA63C9"/>
    <w:rsid w:val="00CA6738"/>
    <w:rsid w:val="00CB71A4"/>
    <w:rsid w:val="00CC0571"/>
    <w:rsid w:val="00CD5BD9"/>
    <w:rsid w:val="00CE4479"/>
    <w:rsid w:val="00CE6040"/>
    <w:rsid w:val="00CE61ED"/>
    <w:rsid w:val="00CE6F2D"/>
    <w:rsid w:val="00CE7B87"/>
    <w:rsid w:val="00CF2357"/>
    <w:rsid w:val="00D007AD"/>
    <w:rsid w:val="00D02F01"/>
    <w:rsid w:val="00D161B2"/>
    <w:rsid w:val="00D16F98"/>
    <w:rsid w:val="00D4094D"/>
    <w:rsid w:val="00D43982"/>
    <w:rsid w:val="00D52811"/>
    <w:rsid w:val="00D53052"/>
    <w:rsid w:val="00D56990"/>
    <w:rsid w:val="00D71E62"/>
    <w:rsid w:val="00D7605B"/>
    <w:rsid w:val="00D868B4"/>
    <w:rsid w:val="00DA67E9"/>
    <w:rsid w:val="00DC2B76"/>
    <w:rsid w:val="00DC6789"/>
    <w:rsid w:val="00DD627A"/>
    <w:rsid w:val="00DF4127"/>
    <w:rsid w:val="00DF5364"/>
    <w:rsid w:val="00E13D82"/>
    <w:rsid w:val="00E25AB8"/>
    <w:rsid w:val="00E56A7F"/>
    <w:rsid w:val="00E76F8E"/>
    <w:rsid w:val="00E7752C"/>
    <w:rsid w:val="00E803E3"/>
    <w:rsid w:val="00E810DC"/>
    <w:rsid w:val="00E8466D"/>
    <w:rsid w:val="00E877FC"/>
    <w:rsid w:val="00E92E34"/>
    <w:rsid w:val="00E9633A"/>
    <w:rsid w:val="00EB2EC4"/>
    <w:rsid w:val="00ED5B7C"/>
    <w:rsid w:val="00EE301D"/>
    <w:rsid w:val="00EE52C0"/>
    <w:rsid w:val="00F004E6"/>
    <w:rsid w:val="00F067A6"/>
    <w:rsid w:val="00F11342"/>
    <w:rsid w:val="00F15C2B"/>
    <w:rsid w:val="00F24B1A"/>
    <w:rsid w:val="00F3279F"/>
    <w:rsid w:val="00F362E8"/>
    <w:rsid w:val="00F51709"/>
    <w:rsid w:val="00F550E4"/>
    <w:rsid w:val="00F76C80"/>
    <w:rsid w:val="00F82BAD"/>
    <w:rsid w:val="00F94205"/>
    <w:rsid w:val="00F96A55"/>
    <w:rsid w:val="00FB24B2"/>
    <w:rsid w:val="00FD7599"/>
    <w:rsid w:val="00FD7D7E"/>
    <w:rsid w:val="00FE1327"/>
    <w:rsid w:val="00FF26EA"/>
    <w:rsid w:val="00FF3BA2"/>
    <w:rsid w:val="00FF54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563CE48"/>
  <w15:chartTrackingRefBased/>
  <w15:docId w15:val="{F04AF36E-3E1A-CA49-B873-A3191C1B0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B24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6B24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6B24D4"/>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6B24D4"/>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6B24D4"/>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6B24D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B24D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B24D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B24D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B24D4"/>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6B24D4"/>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6B24D4"/>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6B24D4"/>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B24D4"/>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6B24D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B24D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B24D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B24D4"/>
    <w:rPr>
      <w:rFonts w:eastAsiaTheme="majorEastAsia" w:cstheme="majorBidi"/>
      <w:color w:val="272727" w:themeColor="text1" w:themeTint="D8"/>
    </w:rPr>
  </w:style>
  <w:style w:type="paragraph" w:styleId="Titel">
    <w:name w:val="Title"/>
    <w:basedOn w:val="Standard"/>
    <w:next w:val="Standard"/>
    <w:link w:val="TitelZchn"/>
    <w:uiPriority w:val="10"/>
    <w:qFormat/>
    <w:rsid w:val="006B24D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B24D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B24D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B24D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B24D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B24D4"/>
    <w:rPr>
      <w:i/>
      <w:iCs/>
      <w:color w:val="404040" w:themeColor="text1" w:themeTint="BF"/>
    </w:rPr>
  </w:style>
  <w:style w:type="paragraph" w:styleId="Listenabsatz">
    <w:name w:val="List Paragraph"/>
    <w:basedOn w:val="Standard"/>
    <w:link w:val="ListenabsatzZchn"/>
    <w:uiPriority w:val="34"/>
    <w:qFormat/>
    <w:rsid w:val="006B24D4"/>
    <w:pPr>
      <w:ind w:left="720"/>
      <w:contextualSpacing/>
    </w:pPr>
  </w:style>
  <w:style w:type="character" w:styleId="IntensiveHervorhebung">
    <w:name w:val="Intense Emphasis"/>
    <w:basedOn w:val="Absatz-Standardschriftart"/>
    <w:uiPriority w:val="21"/>
    <w:qFormat/>
    <w:rsid w:val="006B24D4"/>
    <w:rPr>
      <w:i/>
      <w:iCs/>
      <w:color w:val="2F5496" w:themeColor="accent1" w:themeShade="BF"/>
    </w:rPr>
  </w:style>
  <w:style w:type="paragraph" w:styleId="IntensivesZitat">
    <w:name w:val="Intense Quote"/>
    <w:basedOn w:val="Standard"/>
    <w:next w:val="Standard"/>
    <w:link w:val="IntensivesZitatZchn"/>
    <w:uiPriority w:val="30"/>
    <w:qFormat/>
    <w:rsid w:val="006B24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6B24D4"/>
    <w:rPr>
      <w:i/>
      <w:iCs/>
      <w:color w:val="2F5496" w:themeColor="accent1" w:themeShade="BF"/>
    </w:rPr>
  </w:style>
  <w:style w:type="character" w:styleId="IntensiverVerweis">
    <w:name w:val="Intense Reference"/>
    <w:basedOn w:val="Absatz-Standardschriftart"/>
    <w:uiPriority w:val="32"/>
    <w:qFormat/>
    <w:rsid w:val="006B24D4"/>
    <w:rPr>
      <w:b/>
      <w:bCs/>
      <w:smallCaps/>
      <w:color w:val="2F5496" w:themeColor="accent1" w:themeShade="BF"/>
      <w:spacing w:val="5"/>
    </w:rPr>
  </w:style>
  <w:style w:type="paragraph" w:styleId="StandardWeb">
    <w:name w:val="Normal (Web)"/>
    <w:basedOn w:val="Standard"/>
    <w:uiPriority w:val="99"/>
    <w:unhideWhenUsed/>
    <w:rsid w:val="006B24D4"/>
    <w:pPr>
      <w:spacing w:beforeLines="1" w:before="100" w:beforeAutospacing="1" w:after="100" w:afterAutospacing="1"/>
    </w:pPr>
    <w:rPr>
      <w:rFonts w:ascii="Times" w:eastAsia="Cambria" w:hAnsi="Times" w:cs="Times New Roman"/>
      <w:kern w:val="0"/>
      <w:sz w:val="20"/>
      <w:szCs w:val="20"/>
      <w:lang w:eastAsia="de-DE"/>
      <w14:ligatures w14:val="none"/>
    </w:rPr>
  </w:style>
  <w:style w:type="paragraph" w:customStyle="1" w:styleId="whitespace-normal">
    <w:name w:val="whitespace-normal"/>
    <w:basedOn w:val="Standard"/>
    <w:link w:val="whitespace-normalZchn"/>
    <w:rsid w:val="006B24D4"/>
    <w:pPr>
      <w:spacing w:before="100" w:beforeAutospacing="1" w:after="100" w:afterAutospacing="1"/>
    </w:pPr>
    <w:rPr>
      <w:rFonts w:ascii="Times New Roman" w:eastAsia="Times New Roman" w:hAnsi="Times New Roman" w:cs="Times New Roman"/>
      <w:kern w:val="0"/>
      <w:lang w:val="de-CH" w:eastAsia="de-DE"/>
      <w14:ligatures w14:val="none"/>
    </w:rPr>
  </w:style>
  <w:style w:type="character" w:styleId="Fett">
    <w:name w:val="Strong"/>
    <w:basedOn w:val="Absatz-Standardschriftart"/>
    <w:uiPriority w:val="22"/>
    <w:qFormat/>
    <w:rsid w:val="006B24D4"/>
    <w:rPr>
      <w:b/>
      <w:bCs/>
    </w:rPr>
  </w:style>
  <w:style w:type="character" w:customStyle="1" w:styleId="ListenabsatzZchn">
    <w:name w:val="Listenabsatz Zchn"/>
    <w:basedOn w:val="Absatz-Standardschriftart"/>
    <w:link w:val="Listenabsatz"/>
    <w:uiPriority w:val="34"/>
    <w:locked/>
    <w:rsid w:val="006B24D4"/>
  </w:style>
  <w:style w:type="character" w:customStyle="1" w:styleId="whitespace-normalZchn">
    <w:name w:val="whitespace-normal Zchn"/>
    <w:basedOn w:val="Absatz-Standardschriftart"/>
    <w:link w:val="whitespace-normal"/>
    <w:rsid w:val="006B24D4"/>
    <w:rPr>
      <w:rFonts w:ascii="Times New Roman" w:eastAsia="Times New Roman" w:hAnsi="Times New Roman" w:cs="Times New Roman"/>
      <w:kern w:val="0"/>
      <w:lang w:val="de-CH" w:eastAsia="de-DE"/>
      <w14:ligatures w14:val="none"/>
    </w:rPr>
  </w:style>
  <w:style w:type="character" w:styleId="Kommentarzeichen">
    <w:name w:val="annotation reference"/>
    <w:basedOn w:val="Absatz-Standardschriftart"/>
    <w:uiPriority w:val="99"/>
    <w:semiHidden/>
    <w:unhideWhenUsed/>
    <w:rsid w:val="001E265E"/>
    <w:rPr>
      <w:sz w:val="16"/>
      <w:szCs w:val="16"/>
    </w:rPr>
  </w:style>
  <w:style w:type="paragraph" w:styleId="Kommentartext">
    <w:name w:val="annotation text"/>
    <w:basedOn w:val="Standard"/>
    <w:link w:val="KommentartextZchn"/>
    <w:uiPriority w:val="99"/>
    <w:unhideWhenUsed/>
    <w:rsid w:val="001E265E"/>
    <w:rPr>
      <w:sz w:val="20"/>
      <w:szCs w:val="20"/>
    </w:rPr>
  </w:style>
  <w:style w:type="character" w:customStyle="1" w:styleId="KommentartextZchn">
    <w:name w:val="Kommentartext Zchn"/>
    <w:basedOn w:val="Absatz-Standardschriftart"/>
    <w:link w:val="Kommentartext"/>
    <w:uiPriority w:val="99"/>
    <w:rsid w:val="001E265E"/>
    <w:rPr>
      <w:sz w:val="20"/>
      <w:szCs w:val="20"/>
    </w:rPr>
  </w:style>
  <w:style w:type="paragraph" w:styleId="Kommentarthema">
    <w:name w:val="annotation subject"/>
    <w:basedOn w:val="Kommentartext"/>
    <w:next w:val="Kommentartext"/>
    <w:link w:val="KommentarthemaZchn"/>
    <w:uiPriority w:val="99"/>
    <w:semiHidden/>
    <w:unhideWhenUsed/>
    <w:rsid w:val="001E265E"/>
    <w:rPr>
      <w:b/>
      <w:bCs/>
    </w:rPr>
  </w:style>
  <w:style w:type="character" w:customStyle="1" w:styleId="KommentarthemaZchn">
    <w:name w:val="Kommentarthema Zchn"/>
    <w:basedOn w:val="KommentartextZchn"/>
    <w:link w:val="Kommentarthema"/>
    <w:uiPriority w:val="99"/>
    <w:semiHidden/>
    <w:rsid w:val="001E26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3512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Sabrina Studerus</dc:creator>
  <cp:keywords/>
  <dc:description/>
  <cp:lastModifiedBy>Diana Sabrina Studerus</cp:lastModifiedBy>
  <cp:revision>2</cp:revision>
  <dcterms:created xsi:type="dcterms:W3CDTF">2026-08-19T05:03:00Z</dcterms:created>
  <dcterms:modified xsi:type="dcterms:W3CDTF">2026-08-19T05:03:00Z</dcterms:modified>
</cp:coreProperties>
</file>