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5BCF4" w14:textId="1E4992D0" w:rsidR="00B33D83" w:rsidRDefault="00B33D83" w:rsidP="00B33D83">
      <w:pPr>
        <w:spacing w:before="200" w:after="100"/>
      </w:pPr>
      <w:r>
        <w:rPr>
          <w:b/>
          <w:bCs/>
          <w:sz w:val="20"/>
          <w:szCs w:val="20"/>
        </w:rPr>
        <w:t>TABLE S</w:t>
      </w:r>
      <w:r w:rsidR="003D1F4F">
        <w:rPr>
          <w:b/>
          <w:bCs/>
          <w:sz w:val="20"/>
          <w:szCs w:val="20"/>
        </w:rPr>
        <w:t>4.</w:t>
      </w:r>
      <w:r>
        <w:rPr>
          <w:b/>
          <w:bCs/>
          <w:sz w:val="20"/>
          <w:szCs w:val="20"/>
        </w:rPr>
        <w:t xml:space="preserve"> Within-group pre- to post-intervention changes, ELDOA and lumbar mobilization groups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100"/>
        <w:gridCol w:w="2200"/>
        <w:gridCol w:w="1500"/>
        <w:gridCol w:w="1500"/>
        <w:gridCol w:w="1250"/>
        <w:gridCol w:w="800"/>
      </w:tblGrid>
      <w:tr w:rsidR="00B33D83" w14:paraId="5318ED79" w14:textId="77777777" w:rsidTr="00A43DD7">
        <w:tc>
          <w:tcPr>
            <w:tcW w:w="2100" w:type="dxa"/>
          </w:tcPr>
          <w:p w14:paraId="30BEC791" w14:textId="77777777" w:rsidR="00B33D83" w:rsidRDefault="00B33D83" w:rsidP="00A43DD7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Outcome</w:t>
            </w:r>
          </w:p>
        </w:tc>
        <w:tc>
          <w:tcPr>
            <w:tcW w:w="2200" w:type="dxa"/>
          </w:tcPr>
          <w:p w14:paraId="21FAC0DF" w14:textId="77777777" w:rsidR="00B33D83" w:rsidRDefault="00B33D83" w:rsidP="00A43DD7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Group</w:t>
            </w:r>
          </w:p>
        </w:tc>
        <w:tc>
          <w:tcPr>
            <w:tcW w:w="1500" w:type="dxa"/>
          </w:tcPr>
          <w:p w14:paraId="2BC5F185" w14:textId="77777777" w:rsidR="00B33D83" w:rsidRDefault="00B33D83" w:rsidP="00A43DD7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Pre M (SD)</w:t>
            </w:r>
          </w:p>
        </w:tc>
        <w:tc>
          <w:tcPr>
            <w:tcW w:w="1500" w:type="dxa"/>
          </w:tcPr>
          <w:p w14:paraId="63CF523B" w14:textId="77777777" w:rsidR="00B33D83" w:rsidRDefault="00B33D83" w:rsidP="00A43DD7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Post M (SD)</w:t>
            </w:r>
          </w:p>
        </w:tc>
        <w:tc>
          <w:tcPr>
            <w:tcW w:w="1250" w:type="dxa"/>
          </w:tcPr>
          <w:p w14:paraId="23929640" w14:textId="77777777" w:rsidR="00B33D83" w:rsidRDefault="00B33D83" w:rsidP="00A43DD7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Test statistic</w:t>
            </w:r>
          </w:p>
        </w:tc>
        <w:tc>
          <w:tcPr>
            <w:tcW w:w="800" w:type="dxa"/>
          </w:tcPr>
          <w:p w14:paraId="499ACF8B" w14:textId="77777777" w:rsidR="00B33D83" w:rsidRDefault="00B33D83" w:rsidP="00A43DD7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p</w:t>
            </w:r>
          </w:p>
        </w:tc>
      </w:tr>
      <w:tr w:rsidR="00B33D83" w14:paraId="5010785F" w14:textId="77777777" w:rsidTr="00A43DD7">
        <w:tc>
          <w:tcPr>
            <w:tcW w:w="2100" w:type="dxa"/>
          </w:tcPr>
          <w:p w14:paraId="7E5B1CF6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NPRS</w:t>
            </w:r>
          </w:p>
        </w:tc>
        <w:tc>
          <w:tcPr>
            <w:tcW w:w="2200" w:type="dxa"/>
          </w:tcPr>
          <w:p w14:paraId="0872F9B0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ELDOA</w:t>
            </w:r>
          </w:p>
        </w:tc>
        <w:tc>
          <w:tcPr>
            <w:tcW w:w="1500" w:type="dxa"/>
          </w:tcPr>
          <w:p w14:paraId="3DE19334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6.00 (0.79)</w:t>
            </w:r>
          </w:p>
        </w:tc>
        <w:tc>
          <w:tcPr>
            <w:tcW w:w="1500" w:type="dxa"/>
          </w:tcPr>
          <w:p w14:paraId="11D9098F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3.00 (0.79)</w:t>
            </w:r>
          </w:p>
        </w:tc>
        <w:tc>
          <w:tcPr>
            <w:tcW w:w="1250" w:type="dxa"/>
          </w:tcPr>
          <w:p w14:paraId="4E507A5B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Z = −4.382</w:t>
            </w:r>
          </w:p>
        </w:tc>
        <w:tc>
          <w:tcPr>
            <w:tcW w:w="800" w:type="dxa"/>
          </w:tcPr>
          <w:p w14:paraId="0072D2DF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&lt; .001</w:t>
            </w:r>
          </w:p>
        </w:tc>
      </w:tr>
      <w:tr w:rsidR="00B33D83" w14:paraId="2D209A0C" w14:textId="77777777" w:rsidTr="00A43DD7">
        <w:tc>
          <w:tcPr>
            <w:tcW w:w="2100" w:type="dxa"/>
          </w:tcPr>
          <w:p w14:paraId="22E6B9AB" w14:textId="77777777" w:rsidR="00B33D83" w:rsidRDefault="00B33D83" w:rsidP="00A43DD7">
            <w:pPr>
              <w:jc w:val="center"/>
            </w:pPr>
          </w:p>
        </w:tc>
        <w:tc>
          <w:tcPr>
            <w:tcW w:w="2200" w:type="dxa"/>
          </w:tcPr>
          <w:p w14:paraId="086D9C4F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Lumbar mobilization</w:t>
            </w:r>
          </w:p>
        </w:tc>
        <w:tc>
          <w:tcPr>
            <w:tcW w:w="1500" w:type="dxa"/>
          </w:tcPr>
          <w:p w14:paraId="7012253D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6.00 (0.79)</w:t>
            </w:r>
          </w:p>
        </w:tc>
        <w:tc>
          <w:tcPr>
            <w:tcW w:w="1500" w:type="dxa"/>
          </w:tcPr>
          <w:p w14:paraId="032B8B40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3.00 (0.79)</w:t>
            </w:r>
          </w:p>
        </w:tc>
        <w:tc>
          <w:tcPr>
            <w:tcW w:w="1250" w:type="dxa"/>
          </w:tcPr>
          <w:p w14:paraId="3889D3EB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Z = −4.690</w:t>
            </w:r>
          </w:p>
        </w:tc>
        <w:tc>
          <w:tcPr>
            <w:tcW w:w="800" w:type="dxa"/>
          </w:tcPr>
          <w:p w14:paraId="1A93A4A9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&lt; .001</w:t>
            </w:r>
          </w:p>
        </w:tc>
      </w:tr>
      <w:tr w:rsidR="00B33D83" w14:paraId="2973CE44" w14:textId="77777777" w:rsidTr="00A43DD7">
        <w:tc>
          <w:tcPr>
            <w:tcW w:w="2100" w:type="dxa"/>
          </w:tcPr>
          <w:p w14:paraId="56C2901B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ODI (%)</w:t>
            </w:r>
          </w:p>
        </w:tc>
        <w:tc>
          <w:tcPr>
            <w:tcW w:w="2200" w:type="dxa"/>
          </w:tcPr>
          <w:p w14:paraId="011F3C2C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ELDOA</w:t>
            </w:r>
          </w:p>
        </w:tc>
        <w:tc>
          <w:tcPr>
            <w:tcW w:w="1500" w:type="dxa"/>
          </w:tcPr>
          <w:p w14:paraId="265407BA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42.00 (5.18)</w:t>
            </w:r>
          </w:p>
        </w:tc>
        <w:tc>
          <w:tcPr>
            <w:tcW w:w="1500" w:type="dxa"/>
          </w:tcPr>
          <w:p w14:paraId="00B936B4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25.42 (4.88)</w:t>
            </w:r>
          </w:p>
        </w:tc>
        <w:tc>
          <w:tcPr>
            <w:tcW w:w="1250" w:type="dxa"/>
          </w:tcPr>
          <w:p w14:paraId="5C7444FC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t = 15.694</w:t>
            </w:r>
          </w:p>
        </w:tc>
        <w:tc>
          <w:tcPr>
            <w:tcW w:w="800" w:type="dxa"/>
          </w:tcPr>
          <w:p w14:paraId="73875279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&lt; .001</w:t>
            </w:r>
          </w:p>
        </w:tc>
      </w:tr>
      <w:tr w:rsidR="00B33D83" w14:paraId="2E64AF9A" w14:textId="77777777" w:rsidTr="00A43DD7">
        <w:tc>
          <w:tcPr>
            <w:tcW w:w="2100" w:type="dxa"/>
          </w:tcPr>
          <w:p w14:paraId="5ABCC62B" w14:textId="77777777" w:rsidR="00B33D83" w:rsidRDefault="00B33D83" w:rsidP="00A43DD7">
            <w:pPr>
              <w:jc w:val="center"/>
            </w:pPr>
          </w:p>
        </w:tc>
        <w:tc>
          <w:tcPr>
            <w:tcW w:w="2200" w:type="dxa"/>
          </w:tcPr>
          <w:p w14:paraId="170B33B2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Lumbar mobilization</w:t>
            </w:r>
          </w:p>
        </w:tc>
        <w:tc>
          <w:tcPr>
            <w:tcW w:w="1500" w:type="dxa"/>
          </w:tcPr>
          <w:p w14:paraId="23CADF80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42.91 (5.37)</w:t>
            </w:r>
          </w:p>
        </w:tc>
        <w:tc>
          <w:tcPr>
            <w:tcW w:w="1500" w:type="dxa"/>
          </w:tcPr>
          <w:p w14:paraId="38ECEEF1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25.91 (5.43)</w:t>
            </w:r>
          </w:p>
        </w:tc>
        <w:tc>
          <w:tcPr>
            <w:tcW w:w="1250" w:type="dxa"/>
          </w:tcPr>
          <w:p w14:paraId="74976B4A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t = 59.276</w:t>
            </w:r>
          </w:p>
        </w:tc>
        <w:tc>
          <w:tcPr>
            <w:tcW w:w="800" w:type="dxa"/>
          </w:tcPr>
          <w:p w14:paraId="6FFBEA9E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&lt; .001</w:t>
            </w:r>
          </w:p>
        </w:tc>
      </w:tr>
      <w:tr w:rsidR="00B33D83" w14:paraId="2C77DB32" w14:textId="77777777" w:rsidTr="00A43DD7">
        <w:tc>
          <w:tcPr>
            <w:tcW w:w="2100" w:type="dxa"/>
          </w:tcPr>
          <w:p w14:paraId="67B178B1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Modified Schober (cm)</w:t>
            </w:r>
          </w:p>
        </w:tc>
        <w:tc>
          <w:tcPr>
            <w:tcW w:w="2200" w:type="dxa"/>
          </w:tcPr>
          <w:p w14:paraId="1E6FFEA9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ELDOA</w:t>
            </w:r>
          </w:p>
        </w:tc>
        <w:tc>
          <w:tcPr>
            <w:tcW w:w="1500" w:type="dxa"/>
          </w:tcPr>
          <w:p w14:paraId="49896380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3.52 (0.41)</w:t>
            </w:r>
          </w:p>
        </w:tc>
        <w:tc>
          <w:tcPr>
            <w:tcW w:w="1500" w:type="dxa"/>
          </w:tcPr>
          <w:p w14:paraId="36BAF1A1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6.00 (0.79)</w:t>
            </w:r>
          </w:p>
        </w:tc>
        <w:tc>
          <w:tcPr>
            <w:tcW w:w="1250" w:type="dxa"/>
          </w:tcPr>
          <w:p w14:paraId="3CD475F2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Z = −4.318</w:t>
            </w:r>
          </w:p>
        </w:tc>
        <w:tc>
          <w:tcPr>
            <w:tcW w:w="800" w:type="dxa"/>
          </w:tcPr>
          <w:p w14:paraId="3DBD9131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&lt; .001</w:t>
            </w:r>
          </w:p>
        </w:tc>
      </w:tr>
      <w:tr w:rsidR="00B33D83" w14:paraId="04F24429" w14:textId="77777777" w:rsidTr="00A43DD7">
        <w:tc>
          <w:tcPr>
            <w:tcW w:w="2100" w:type="dxa"/>
          </w:tcPr>
          <w:p w14:paraId="0D20D134" w14:textId="77777777" w:rsidR="00B33D83" w:rsidRDefault="00B33D83" w:rsidP="00A43DD7">
            <w:pPr>
              <w:jc w:val="center"/>
            </w:pPr>
          </w:p>
        </w:tc>
        <w:tc>
          <w:tcPr>
            <w:tcW w:w="2200" w:type="dxa"/>
          </w:tcPr>
          <w:p w14:paraId="3F0668AB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Lumbar mobilization</w:t>
            </w:r>
          </w:p>
        </w:tc>
        <w:tc>
          <w:tcPr>
            <w:tcW w:w="1500" w:type="dxa"/>
          </w:tcPr>
          <w:p w14:paraId="73EA4B79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3.52 (0.41)</w:t>
            </w:r>
          </w:p>
        </w:tc>
        <w:tc>
          <w:tcPr>
            <w:tcW w:w="1500" w:type="dxa"/>
          </w:tcPr>
          <w:p w14:paraId="7E5E5B9C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6.00 (0.79)</w:t>
            </w:r>
          </w:p>
        </w:tc>
        <w:tc>
          <w:tcPr>
            <w:tcW w:w="1250" w:type="dxa"/>
          </w:tcPr>
          <w:p w14:paraId="04ED7D37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Z = −4.161</w:t>
            </w:r>
          </w:p>
        </w:tc>
        <w:tc>
          <w:tcPr>
            <w:tcW w:w="800" w:type="dxa"/>
          </w:tcPr>
          <w:p w14:paraId="25E95F1B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&lt; .001</w:t>
            </w:r>
          </w:p>
        </w:tc>
      </w:tr>
      <w:tr w:rsidR="00B33D83" w14:paraId="2E4C077A" w14:textId="77777777" w:rsidTr="00A43DD7">
        <w:tc>
          <w:tcPr>
            <w:tcW w:w="2100" w:type="dxa"/>
          </w:tcPr>
          <w:p w14:paraId="5D2D98F5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Sit-and-Reach (cm)</w:t>
            </w:r>
          </w:p>
        </w:tc>
        <w:tc>
          <w:tcPr>
            <w:tcW w:w="2200" w:type="dxa"/>
          </w:tcPr>
          <w:p w14:paraId="3951D475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ELDOA</w:t>
            </w:r>
          </w:p>
        </w:tc>
        <w:tc>
          <w:tcPr>
            <w:tcW w:w="1500" w:type="dxa"/>
          </w:tcPr>
          <w:p w14:paraId="13506419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8.00 (0.76)</w:t>
            </w:r>
          </w:p>
        </w:tc>
        <w:tc>
          <w:tcPr>
            <w:tcW w:w="1500" w:type="dxa"/>
          </w:tcPr>
          <w:p w14:paraId="0E1CD386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10.61 (1.41)</w:t>
            </w:r>
          </w:p>
        </w:tc>
        <w:tc>
          <w:tcPr>
            <w:tcW w:w="1250" w:type="dxa"/>
          </w:tcPr>
          <w:p w14:paraId="02EB7740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Z = −4.295</w:t>
            </w:r>
          </w:p>
        </w:tc>
        <w:tc>
          <w:tcPr>
            <w:tcW w:w="800" w:type="dxa"/>
          </w:tcPr>
          <w:p w14:paraId="1E4A953D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&lt; .001</w:t>
            </w:r>
          </w:p>
        </w:tc>
      </w:tr>
      <w:tr w:rsidR="00B33D83" w14:paraId="2C680DF9" w14:textId="77777777" w:rsidTr="00A43DD7">
        <w:tc>
          <w:tcPr>
            <w:tcW w:w="2100" w:type="dxa"/>
          </w:tcPr>
          <w:p w14:paraId="35C79449" w14:textId="77777777" w:rsidR="00B33D83" w:rsidRDefault="00B33D83" w:rsidP="00A43DD7">
            <w:pPr>
              <w:jc w:val="center"/>
            </w:pPr>
          </w:p>
        </w:tc>
        <w:tc>
          <w:tcPr>
            <w:tcW w:w="2200" w:type="dxa"/>
          </w:tcPr>
          <w:p w14:paraId="44907A81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Lumbar mobilization</w:t>
            </w:r>
          </w:p>
        </w:tc>
        <w:tc>
          <w:tcPr>
            <w:tcW w:w="1500" w:type="dxa"/>
          </w:tcPr>
          <w:p w14:paraId="75B8735D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8.00 (0.76)</w:t>
            </w:r>
          </w:p>
        </w:tc>
        <w:tc>
          <w:tcPr>
            <w:tcW w:w="1500" w:type="dxa"/>
          </w:tcPr>
          <w:p w14:paraId="402EA215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10.61 (1.41)</w:t>
            </w:r>
          </w:p>
        </w:tc>
        <w:tc>
          <w:tcPr>
            <w:tcW w:w="1250" w:type="dxa"/>
          </w:tcPr>
          <w:p w14:paraId="580CDDAA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Z = −4.204</w:t>
            </w:r>
          </w:p>
        </w:tc>
        <w:tc>
          <w:tcPr>
            <w:tcW w:w="800" w:type="dxa"/>
          </w:tcPr>
          <w:p w14:paraId="00A09B07" w14:textId="77777777" w:rsidR="00B33D83" w:rsidRDefault="00B33D83" w:rsidP="00A43DD7">
            <w:pPr>
              <w:jc w:val="center"/>
            </w:pPr>
            <w:r>
              <w:rPr>
                <w:sz w:val="19"/>
                <w:szCs w:val="19"/>
              </w:rPr>
              <w:t>&lt; .001</w:t>
            </w:r>
          </w:p>
        </w:tc>
      </w:tr>
    </w:tbl>
    <w:p w14:paraId="2EECC64D" w14:textId="77777777" w:rsidR="00B33D83" w:rsidRPr="003B754F" w:rsidRDefault="00B33D83" w:rsidP="00B33D83">
      <w:pPr>
        <w:spacing w:after="260"/>
        <w:jc w:val="both"/>
      </w:pPr>
      <w:r w:rsidRPr="003B754F">
        <w:rPr>
          <w:sz w:val="18"/>
          <w:szCs w:val="18"/>
        </w:rPr>
        <w:t>Note. NPRS, ODI, Modified Schober and Sit-and-Reach were compared within groups using the Wilcoxon signed-rank test (Z) for non-normally distributed variables and the paired-samples t-test (t) for ODI, which was normally distributed.</w:t>
      </w:r>
    </w:p>
    <w:p w14:paraId="787463C2" w14:textId="77777777" w:rsidR="0053199A" w:rsidRDefault="0053199A"/>
    <w:sectPr w:rsidR="005319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D83"/>
    <w:rsid w:val="0015427B"/>
    <w:rsid w:val="003D1F4F"/>
    <w:rsid w:val="0053199A"/>
    <w:rsid w:val="00627C42"/>
    <w:rsid w:val="00670A07"/>
    <w:rsid w:val="00B33D83"/>
    <w:rsid w:val="00C4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5E612"/>
  <w15:chartTrackingRefBased/>
  <w15:docId w15:val="{304079B7-59F9-4461-AA0C-BA5FEA60A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D83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3D8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3D8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D8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3D8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3D8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3D8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3D8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3D8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3D8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D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3D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D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3D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3D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3D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3D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3D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3D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3D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33D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3D8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33D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3D8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33D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3D8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33D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D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D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3D8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33D83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2026-08-22T08:49:00Z</dcterms:created>
  <dcterms:modified xsi:type="dcterms:W3CDTF">2026-08-31T04:30:00Z</dcterms:modified>
</cp:coreProperties>
</file>