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8A507" w14:textId="41AED858" w:rsidR="00052D65" w:rsidRDefault="00052D65" w:rsidP="00052D65">
      <w:pPr>
        <w:spacing w:before="200" w:after="100"/>
      </w:pPr>
      <w:r>
        <w:rPr>
          <w:b/>
          <w:bCs/>
          <w:sz w:val="20"/>
          <w:szCs w:val="20"/>
        </w:rPr>
        <w:t>TABLE S</w:t>
      </w:r>
      <w:r w:rsidR="001A1937">
        <w:rPr>
          <w:b/>
          <w:bCs/>
          <w:sz w:val="20"/>
          <w:szCs w:val="20"/>
        </w:rPr>
        <w:t>3</w:t>
      </w:r>
      <w:r>
        <w:rPr>
          <w:b/>
          <w:bCs/>
          <w:sz w:val="20"/>
          <w:szCs w:val="20"/>
        </w:rPr>
        <w:t>. Shapiro–Wilk test of normality for baseline outcome measures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850"/>
        <w:gridCol w:w="2350"/>
        <w:gridCol w:w="1400"/>
        <w:gridCol w:w="1200"/>
        <w:gridCol w:w="1550"/>
      </w:tblGrid>
      <w:tr w:rsidR="00052D65" w14:paraId="0B18C425" w14:textId="77777777" w:rsidTr="00A43DD7">
        <w:tc>
          <w:tcPr>
            <w:tcW w:w="2850" w:type="dxa"/>
          </w:tcPr>
          <w:p w14:paraId="158FD8A9" w14:textId="77777777" w:rsidR="00052D65" w:rsidRDefault="00052D65" w:rsidP="00A43DD7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Measure</w:t>
            </w:r>
          </w:p>
        </w:tc>
        <w:tc>
          <w:tcPr>
            <w:tcW w:w="2350" w:type="dxa"/>
          </w:tcPr>
          <w:p w14:paraId="4A777A13" w14:textId="77777777" w:rsidR="00052D65" w:rsidRDefault="00052D65" w:rsidP="00A43DD7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Group</w:t>
            </w:r>
          </w:p>
        </w:tc>
        <w:tc>
          <w:tcPr>
            <w:tcW w:w="1400" w:type="dxa"/>
          </w:tcPr>
          <w:p w14:paraId="64930AF5" w14:textId="77777777" w:rsidR="00052D65" w:rsidRDefault="00052D65" w:rsidP="00A43DD7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W</w:t>
            </w:r>
          </w:p>
        </w:tc>
        <w:tc>
          <w:tcPr>
            <w:tcW w:w="1200" w:type="dxa"/>
          </w:tcPr>
          <w:p w14:paraId="781853F5" w14:textId="77777777" w:rsidR="00052D65" w:rsidRDefault="00052D65" w:rsidP="00A43DD7">
            <w:pPr>
              <w:jc w:val="center"/>
            </w:pPr>
            <w:proofErr w:type="spellStart"/>
            <w:r>
              <w:rPr>
                <w:b/>
                <w:bCs/>
                <w:sz w:val="19"/>
                <w:szCs w:val="19"/>
              </w:rPr>
              <w:t>df</w:t>
            </w:r>
            <w:proofErr w:type="spellEnd"/>
          </w:p>
        </w:tc>
        <w:tc>
          <w:tcPr>
            <w:tcW w:w="1550" w:type="dxa"/>
          </w:tcPr>
          <w:p w14:paraId="5859E0FA" w14:textId="77777777" w:rsidR="00052D65" w:rsidRDefault="00052D65" w:rsidP="00A43DD7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p</w:t>
            </w:r>
          </w:p>
        </w:tc>
      </w:tr>
      <w:tr w:rsidR="00052D65" w14:paraId="45A5C0E9" w14:textId="77777777" w:rsidTr="00A43DD7">
        <w:tc>
          <w:tcPr>
            <w:tcW w:w="2850" w:type="dxa"/>
          </w:tcPr>
          <w:p w14:paraId="50297371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NPRS – pre</w:t>
            </w:r>
          </w:p>
        </w:tc>
        <w:tc>
          <w:tcPr>
            <w:tcW w:w="2350" w:type="dxa"/>
          </w:tcPr>
          <w:p w14:paraId="613E9223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ELDOA</w:t>
            </w:r>
          </w:p>
        </w:tc>
        <w:tc>
          <w:tcPr>
            <w:tcW w:w="1400" w:type="dxa"/>
          </w:tcPr>
          <w:p w14:paraId="38792B9F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.812</w:t>
            </w:r>
          </w:p>
        </w:tc>
        <w:tc>
          <w:tcPr>
            <w:tcW w:w="1200" w:type="dxa"/>
          </w:tcPr>
          <w:p w14:paraId="1B8B439D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24</w:t>
            </w:r>
          </w:p>
        </w:tc>
        <w:tc>
          <w:tcPr>
            <w:tcW w:w="1550" w:type="dxa"/>
          </w:tcPr>
          <w:p w14:paraId="48AD9123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&lt; .001</w:t>
            </w:r>
          </w:p>
        </w:tc>
      </w:tr>
      <w:tr w:rsidR="00052D65" w14:paraId="63B725F8" w14:textId="77777777" w:rsidTr="00A43DD7">
        <w:tc>
          <w:tcPr>
            <w:tcW w:w="2850" w:type="dxa"/>
          </w:tcPr>
          <w:p w14:paraId="02E67248" w14:textId="77777777" w:rsidR="00052D65" w:rsidRDefault="00052D65" w:rsidP="00A43DD7">
            <w:pPr>
              <w:jc w:val="center"/>
            </w:pPr>
          </w:p>
        </w:tc>
        <w:tc>
          <w:tcPr>
            <w:tcW w:w="2350" w:type="dxa"/>
          </w:tcPr>
          <w:p w14:paraId="5DBADA25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Lumbar mobilization</w:t>
            </w:r>
          </w:p>
        </w:tc>
        <w:tc>
          <w:tcPr>
            <w:tcW w:w="1400" w:type="dxa"/>
          </w:tcPr>
          <w:p w14:paraId="644F9ACD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.805</w:t>
            </w:r>
          </w:p>
        </w:tc>
        <w:tc>
          <w:tcPr>
            <w:tcW w:w="1200" w:type="dxa"/>
          </w:tcPr>
          <w:p w14:paraId="5CF2A7C0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22</w:t>
            </w:r>
          </w:p>
        </w:tc>
        <w:tc>
          <w:tcPr>
            <w:tcW w:w="1550" w:type="dxa"/>
          </w:tcPr>
          <w:p w14:paraId="641A6590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&lt; .001</w:t>
            </w:r>
          </w:p>
        </w:tc>
      </w:tr>
      <w:tr w:rsidR="00052D65" w14:paraId="35A8111C" w14:textId="77777777" w:rsidTr="00A43DD7">
        <w:tc>
          <w:tcPr>
            <w:tcW w:w="2850" w:type="dxa"/>
          </w:tcPr>
          <w:p w14:paraId="04388113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ODI (%) – pre</w:t>
            </w:r>
          </w:p>
        </w:tc>
        <w:tc>
          <w:tcPr>
            <w:tcW w:w="2350" w:type="dxa"/>
          </w:tcPr>
          <w:p w14:paraId="06BC718D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ELDOA</w:t>
            </w:r>
          </w:p>
        </w:tc>
        <w:tc>
          <w:tcPr>
            <w:tcW w:w="1400" w:type="dxa"/>
          </w:tcPr>
          <w:p w14:paraId="065CD1D1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.960</w:t>
            </w:r>
          </w:p>
        </w:tc>
        <w:tc>
          <w:tcPr>
            <w:tcW w:w="1200" w:type="dxa"/>
          </w:tcPr>
          <w:p w14:paraId="31E9FD1E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24</w:t>
            </w:r>
          </w:p>
        </w:tc>
        <w:tc>
          <w:tcPr>
            <w:tcW w:w="1550" w:type="dxa"/>
          </w:tcPr>
          <w:p w14:paraId="78A03898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.437</w:t>
            </w:r>
          </w:p>
        </w:tc>
      </w:tr>
      <w:tr w:rsidR="00052D65" w14:paraId="11667C4B" w14:textId="77777777" w:rsidTr="00A43DD7">
        <w:tc>
          <w:tcPr>
            <w:tcW w:w="2850" w:type="dxa"/>
          </w:tcPr>
          <w:p w14:paraId="0BA53C9C" w14:textId="77777777" w:rsidR="00052D65" w:rsidRDefault="00052D65" w:rsidP="00A43DD7">
            <w:pPr>
              <w:jc w:val="center"/>
            </w:pPr>
          </w:p>
        </w:tc>
        <w:tc>
          <w:tcPr>
            <w:tcW w:w="2350" w:type="dxa"/>
          </w:tcPr>
          <w:p w14:paraId="5D12F38D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Lumbar mobilization</w:t>
            </w:r>
          </w:p>
        </w:tc>
        <w:tc>
          <w:tcPr>
            <w:tcW w:w="1400" w:type="dxa"/>
          </w:tcPr>
          <w:p w14:paraId="3B1661FB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.957</w:t>
            </w:r>
          </w:p>
        </w:tc>
        <w:tc>
          <w:tcPr>
            <w:tcW w:w="1200" w:type="dxa"/>
          </w:tcPr>
          <w:p w14:paraId="64B9BA64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22</w:t>
            </w:r>
          </w:p>
        </w:tc>
        <w:tc>
          <w:tcPr>
            <w:tcW w:w="1550" w:type="dxa"/>
          </w:tcPr>
          <w:p w14:paraId="443070DC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.432</w:t>
            </w:r>
          </w:p>
        </w:tc>
      </w:tr>
      <w:tr w:rsidR="00052D65" w14:paraId="5DA85903" w14:textId="77777777" w:rsidTr="00A43DD7">
        <w:tc>
          <w:tcPr>
            <w:tcW w:w="2850" w:type="dxa"/>
          </w:tcPr>
          <w:p w14:paraId="23BB10F4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Modified Schober – pre</w:t>
            </w:r>
          </w:p>
        </w:tc>
        <w:tc>
          <w:tcPr>
            <w:tcW w:w="2350" w:type="dxa"/>
          </w:tcPr>
          <w:p w14:paraId="5A8633F6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ELDOA</w:t>
            </w:r>
          </w:p>
        </w:tc>
        <w:tc>
          <w:tcPr>
            <w:tcW w:w="1400" w:type="dxa"/>
          </w:tcPr>
          <w:p w14:paraId="69843D9B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.795</w:t>
            </w:r>
          </w:p>
        </w:tc>
        <w:tc>
          <w:tcPr>
            <w:tcW w:w="1200" w:type="dxa"/>
          </w:tcPr>
          <w:p w14:paraId="113C49F7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24</w:t>
            </w:r>
          </w:p>
        </w:tc>
        <w:tc>
          <w:tcPr>
            <w:tcW w:w="1550" w:type="dxa"/>
          </w:tcPr>
          <w:p w14:paraId="50EE365C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&lt; .001</w:t>
            </w:r>
          </w:p>
        </w:tc>
      </w:tr>
      <w:tr w:rsidR="00052D65" w14:paraId="3AC8C8C1" w14:textId="77777777" w:rsidTr="00A43DD7">
        <w:tc>
          <w:tcPr>
            <w:tcW w:w="2850" w:type="dxa"/>
          </w:tcPr>
          <w:p w14:paraId="1E6BB005" w14:textId="77777777" w:rsidR="00052D65" w:rsidRDefault="00052D65" w:rsidP="00A43DD7">
            <w:pPr>
              <w:jc w:val="center"/>
            </w:pPr>
          </w:p>
        </w:tc>
        <w:tc>
          <w:tcPr>
            <w:tcW w:w="2350" w:type="dxa"/>
          </w:tcPr>
          <w:p w14:paraId="244C60D2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Lumbar mobilization</w:t>
            </w:r>
          </w:p>
        </w:tc>
        <w:tc>
          <w:tcPr>
            <w:tcW w:w="1400" w:type="dxa"/>
          </w:tcPr>
          <w:p w14:paraId="212B2A30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.805</w:t>
            </w:r>
          </w:p>
        </w:tc>
        <w:tc>
          <w:tcPr>
            <w:tcW w:w="1200" w:type="dxa"/>
          </w:tcPr>
          <w:p w14:paraId="0FFE3B5F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22</w:t>
            </w:r>
          </w:p>
        </w:tc>
        <w:tc>
          <w:tcPr>
            <w:tcW w:w="1550" w:type="dxa"/>
          </w:tcPr>
          <w:p w14:paraId="27386D60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&lt; .001</w:t>
            </w:r>
          </w:p>
        </w:tc>
      </w:tr>
      <w:tr w:rsidR="00052D65" w14:paraId="4621BC65" w14:textId="77777777" w:rsidTr="00A43DD7">
        <w:tc>
          <w:tcPr>
            <w:tcW w:w="2850" w:type="dxa"/>
          </w:tcPr>
          <w:p w14:paraId="43CA5587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Sit-and-Reach – pre</w:t>
            </w:r>
          </w:p>
        </w:tc>
        <w:tc>
          <w:tcPr>
            <w:tcW w:w="2350" w:type="dxa"/>
          </w:tcPr>
          <w:p w14:paraId="443FE579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ELDOA</w:t>
            </w:r>
          </w:p>
        </w:tc>
        <w:tc>
          <w:tcPr>
            <w:tcW w:w="1400" w:type="dxa"/>
          </w:tcPr>
          <w:p w14:paraId="62532D18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.814</w:t>
            </w:r>
          </w:p>
        </w:tc>
        <w:tc>
          <w:tcPr>
            <w:tcW w:w="1200" w:type="dxa"/>
          </w:tcPr>
          <w:p w14:paraId="2BF5DF44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24</w:t>
            </w:r>
          </w:p>
        </w:tc>
        <w:tc>
          <w:tcPr>
            <w:tcW w:w="1550" w:type="dxa"/>
          </w:tcPr>
          <w:p w14:paraId="1282FC9D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&lt; .001</w:t>
            </w:r>
          </w:p>
        </w:tc>
      </w:tr>
      <w:tr w:rsidR="00052D65" w14:paraId="14878631" w14:textId="77777777" w:rsidTr="00A43DD7">
        <w:tc>
          <w:tcPr>
            <w:tcW w:w="2850" w:type="dxa"/>
          </w:tcPr>
          <w:p w14:paraId="174552B9" w14:textId="77777777" w:rsidR="00052D65" w:rsidRDefault="00052D65" w:rsidP="00A43DD7">
            <w:pPr>
              <w:jc w:val="center"/>
            </w:pPr>
          </w:p>
        </w:tc>
        <w:tc>
          <w:tcPr>
            <w:tcW w:w="2350" w:type="dxa"/>
          </w:tcPr>
          <w:p w14:paraId="5983497D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Lumbar mobilization</w:t>
            </w:r>
          </w:p>
        </w:tc>
        <w:tc>
          <w:tcPr>
            <w:tcW w:w="1400" w:type="dxa"/>
          </w:tcPr>
          <w:p w14:paraId="1CA728CA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.812</w:t>
            </w:r>
          </w:p>
        </w:tc>
        <w:tc>
          <w:tcPr>
            <w:tcW w:w="1200" w:type="dxa"/>
          </w:tcPr>
          <w:p w14:paraId="53D481D5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22</w:t>
            </w:r>
          </w:p>
        </w:tc>
        <w:tc>
          <w:tcPr>
            <w:tcW w:w="1550" w:type="dxa"/>
          </w:tcPr>
          <w:p w14:paraId="1A85A7EA" w14:textId="77777777" w:rsidR="00052D65" w:rsidRDefault="00052D65" w:rsidP="00A43DD7">
            <w:pPr>
              <w:jc w:val="center"/>
            </w:pPr>
            <w:r>
              <w:rPr>
                <w:sz w:val="19"/>
                <w:szCs w:val="19"/>
              </w:rPr>
              <w:t>&lt; .001</w:t>
            </w:r>
          </w:p>
        </w:tc>
      </w:tr>
    </w:tbl>
    <w:p w14:paraId="2E33B289" w14:textId="77777777" w:rsidR="00052D65" w:rsidRPr="0043387D" w:rsidRDefault="00052D65" w:rsidP="00052D65">
      <w:pPr>
        <w:spacing w:after="260"/>
        <w:jc w:val="both"/>
      </w:pPr>
      <w:r w:rsidRPr="0043387D">
        <w:rPr>
          <w:sz w:val="18"/>
          <w:szCs w:val="18"/>
        </w:rPr>
        <w:t>Note. Baseline distribution of ODI scores was normal in both groups (p &gt; .05) and was therefore analysed parametrically; NPRS, Modified Schober and Sit-and-Reach scores were non-normally distributed (p &lt; .05) and were analysed using non-parametric tests.</w:t>
      </w:r>
    </w:p>
    <w:p w14:paraId="4893CA16" w14:textId="77777777" w:rsidR="0053199A" w:rsidRDefault="0053199A"/>
    <w:sectPr w:rsidR="005319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D65"/>
    <w:rsid w:val="00052D65"/>
    <w:rsid w:val="0015427B"/>
    <w:rsid w:val="001A1937"/>
    <w:rsid w:val="0053199A"/>
    <w:rsid w:val="00627C42"/>
    <w:rsid w:val="00670A07"/>
    <w:rsid w:val="00C4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6FD0C"/>
  <w15:chartTrackingRefBased/>
  <w15:docId w15:val="{0C2BB819-D719-48DE-967C-65DF5513D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D65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2D6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2D6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2D6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2D6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2D6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2D6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2D6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2D6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2D6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2D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2D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2D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2D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2D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2D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2D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2D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2D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2D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52D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2D6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52D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2D6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52D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2D6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52D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D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D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2D6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2D65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2026-08-22T08:48:00Z</dcterms:created>
  <dcterms:modified xsi:type="dcterms:W3CDTF">2026-08-31T04:30:00Z</dcterms:modified>
</cp:coreProperties>
</file>