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lementCaption"/>
        <w:keepNext/>
        <w:keepLines/>
      </w:pPr>
      <w:r>
        <w:t>Supplementary Table S1(a). Item-level distribution of Likert responses.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1327"/>
        <w:gridCol w:w="1327"/>
        <w:gridCol w:w="1327"/>
        <w:gridCol w:w="1327"/>
        <w:gridCol w:w="1327"/>
        <w:gridCol w:w="1327"/>
        <w:gridCol w:w="1327"/>
        <w:gridCol w:w="1327"/>
      </w:tblGrid>
      <w:tr>
        <w:trPr>
          <w:cantSplit/>
          <w:tblHeader w:val="true"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Domain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Item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Strongly disagree n (%)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Disagree n (%)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Neutral n (%)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Agree n (%)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Strongly agree n (%)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Mean ± SD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Core empathy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E1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12 (2.5%)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 (0.2%)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38 (8.0%)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267 (56.0%)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159 (33.3%)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4.17 ± 0.79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Core empathy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E2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13 (2.7%)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5 (1.0%)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58 (12.2%)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279 (58.5%)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122 (25.6%)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4.03 ± 0.82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Core empathy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E3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10 (2.1%)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5 (1.0%)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41 (8.6%)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251 (52.6%)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170 (35.6%)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4.19 ± 0.80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Core empathy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E4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11 (2.3%)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 (0.6%)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33 (6.9%)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256 (53.7%)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174 (36.5%)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4.21 ± 0.79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Core empathy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E5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12 (2.5%)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6 (1.3%)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36 (7.5%)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269 (56.4%)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154 (32.3%)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4.15 ± 0.81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Core empathy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E6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11 (2.3%)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5 (1.0%)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46 (9.6%)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279 (58.5%)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136 (28.5%)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4.10 ± 0.79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Core empathy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E7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11 (2.3%)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9 (1.9%)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68 (14.3%)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278 (58.3%)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111 (23.3%)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3.98 ± 0.81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Core empathy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E8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12 (2.5%)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13 (2.7%)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77 (16.1%)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253 (53.0%)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122 (25.6%)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3.96 ± 0.87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Core empathy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E9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9 (1.9%)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 (0.6%)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29 (6.1%)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250 (52.4%)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186 (39.0%)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4.26 ± 0.76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Core empathy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E10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11 (2.3%)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 (0.6%)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29 (6.1%)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227 (47.6%)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207 (43.4%)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4.29 ± 0.80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Techno-clinical empathy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TC1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10 (2.1%)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10 (2.1%)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149 (31.2%)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222 (46.5%)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86 (18.0%)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3.76 ± 0.84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Techno-clinical empathy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TC2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12 (2.5%)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 (0.6%)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54 (11.3%)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279 (58.5%)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129 (27.0%)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4.07 ± 0.79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Techno-clinical empathy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TC3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18 (3.8%)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56 (11.7%)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154 (32.3%)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201 (42.1%)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48 (10.1%)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3.43 ± 0.95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Techno-clinical empathy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TC4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9 (1.9%)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 (0.4%)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54 (11.3%)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288 (60.4%)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124 (26.0%)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4.08 ± 0.74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Techno-clinical empathy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TC5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10 (2.1%)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5 (1.0%)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72 (15.1%)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290 (60.8%)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100 (21.0%)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3.97 ± 0.77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Techno-clinical empathy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TC6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8 (1.7%)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8 (1.7%)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54 (11.3%)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254 (53.2%)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153 (32.1%)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4.12 ± 0.80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Digital health readiness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DH1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10 (2.1%)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28 (5.9%)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172 (36.1%)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212 (44.4%)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55 (11.5%)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3.57 ± 0.85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Digital health readiness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DH2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9 (1.9%)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21 (4.4%)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105 (22.0%)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259 (54.3%)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83 (17.4%)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3.81 ± 0.84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Digital health readiness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DH3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8 (1.7%)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38 (8.0%)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168 (35.2%)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209 (43.8%)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54 (11.3%)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3.55 ± 0.86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Digital health readiness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DH4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10 (2.1%)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8 (1.7%)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80 (16.8%)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281 (58.9%)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98 (20.5%)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3.94 ± 0.79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Digital health readiness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DH5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9 (1.9%)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8 (1.7%)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63 (13.2%)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256 (53.7%)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141 (29.6%)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4.07 ± 0.81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Communication skill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CS1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10 (2.1%)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18 (3.8%)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103 (21.6%)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261 (54.7%)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85 (17.8%)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3.82 ± 0.84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Communication skill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CS2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8 (1.7%)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 (0.8%)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47 (9.9%)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272 (57.0%)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146 (30.6%)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4.14 ± 0.76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Communication skill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CS3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8 (1.7%)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 (0.4%)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70 (14.7%)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280 (58.7%)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117 (24.5%)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4.04 ± 0.75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Communication skill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CS4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10 (2.1%)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7 (1.5%)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80 (16.8%)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266 (55.8%)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114 (23.9%)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3.98 ± 0.81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Communication skill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CS5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8 (1.7%)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 (0.4%)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55 (11.5%)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276 (57.9%)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136 (28.5%)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4.11 ± 0.75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Technology-assisted care attitude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AT1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14 (2.9%)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14 (2.9%)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92 (19.3%)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239 (50.1%)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118 (24.7%)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3.91 ± 0.90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Technology-assisted care attitude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AT2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9 (1.9%)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18 (3.8%)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87 (18.2%)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271 (56.8%)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92 (19.3%)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3.88 ± 0.83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Technology-assisted care attitude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AT3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14 (2.9%)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27 (5.7%)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135 (28.3%)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238 (49.9%)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63 (13.2%)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3.65 ± 0.89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Technology-assisted care attitude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AT4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7 (1.5%)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9 (1.9%)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59 (12.4%)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295 (61.8%)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107 (22.4%)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4.02 ± 0.75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Technology-assisted care attitude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AT5</w:t>
            </w:r>
          </w:p>
        </w:tc>
        <w:tc>
          <w:tcPr>
            <w:tcW w:type="dxa" w:w="1555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8 (1.7%)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 (0.8%)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60 (12.6%)</w:t>
            </w:r>
          </w:p>
        </w:tc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267 (56.0%)</w:t>
            </w:r>
          </w:p>
        </w:tc>
        <w:tc>
          <w:tcPr>
            <w:tcW w:type="dxa" w:w="15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138 (28.9%)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4.10 ± 0.77</w:t>
            </w:r>
          </w:p>
        </w:tc>
      </w:tr>
    </w:tbl>
    <w:p>
      <w:pPr>
        <w:keepLines/>
        <w:spacing w:before="40" w:after="0" w:line="240" w:lineRule="auto"/>
      </w:pPr>
      <w:r>
        <w:rPr>
          <w:rFonts w:ascii="Times New Roman" w:hAnsi="Times New Roman"/>
          <w:i/>
          <w:sz w:val="18"/>
        </w:rPr>
        <w:t xml:space="preserve">Note. </w:t>
      </w:r>
      <w:r>
        <w:rPr>
          <w:rFonts w:ascii="Times New Roman" w:hAnsi="Times New Roman"/>
          <w:sz w:val="18"/>
        </w:rPr>
        <w:t>Responses are shown separately for strongly disagree, disagree, neutral, agree, and strongly agree. Mean ± SD is also presented for each item.</w:t>
      </w:r>
    </w:p>
    <w:p>
      <w:pPr>
        <w:spacing w:before="0" w:after="0"/>
      </w:pPr>
      <w:r>
        <w:br w:type="page"/>
      </w:r>
    </w:p>
    <w:p>
      <w:pPr>
        <w:pStyle w:val="SupplementCaption"/>
        <w:keepNext/>
        <w:keepLines/>
      </w:pPr>
      <w:r>
        <w:t>Supplementary Table S1(b). Crude logistic regression for high techno-clinical empathy.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3538"/>
        <w:gridCol w:w="3538"/>
        <w:gridCol w:w="3538"/>
      </w:tblGrid>
      <w:tr>
        <w:trPr>
          <w:cantSplit/>
          <w:tblHeader w:val="true"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Predictor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COR (95% CI)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p-value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Age group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≤24 years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Ref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25–29 years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0.83 (0.52–1.33)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0.446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30–34 years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1.09 (0.64–1.87)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0.755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≥35 years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0.92 (0.53–1.62)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0.785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Gender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Male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Ref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Female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0.69 (0.48–0.99)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0.046*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Professional status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Medical student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Ref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MBBS/BDS graduate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1.13 (0.73–1.75)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0.577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Postgraduate trainee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0.92 (0.52–1.62)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0.768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Postgraduate degree completed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0.96 (0.50–1.86)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0.908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Communication-skill training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No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Ref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0.84 (0.56–1.26)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0.397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Telemedicine experience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No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Ref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2.06 (1.39–3.06)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&lt;0.001***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Digital-health training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No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Ref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Yes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2.05 (1.21–3.46)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0.007**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Digital tool-use frequency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Never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Ref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Sometimes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1.47 (0.98–2.19)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0.061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Regularly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1.83 (1.02–3.29)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0.043*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Primary digital tool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Telemedicine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Ref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EHR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0.56 (0.23–1.34)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0.189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AI-based clinical support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0.58 (0.31–1.09)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0.091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Remote monitoring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0.48 (0.11–2.08)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0.327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None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0.52 (0.31–0.90)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0.018*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Multiple digital tools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1.87 (0.75–4.62)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0.178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Other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0.34 (0.12–0.99)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0.047*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Core empathy level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Lower/moderate core empathy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Ref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High core empathy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7.53 (4.65–12.22)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&lt;0.001***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Digital health readiness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Not digitally ready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Ref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High digital readiness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7.40 (4.89–11.19)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&lt;0.001***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Communication skill level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Lower/moderate communication skill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Ref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Strong communication skill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4.21 (2.79–6.34)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&lt;0.001***</w:t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Technology-assisted care attitude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Less positive attitude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Ref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</w:r>
          </w:p>
        </w:tc>
      </w:tr>
      <w:tr>
        <w:trPr>
          <w:cantSplit/>
        </w:trPr>
        <w:tc>
          <w:tcPr>
            <w:tcW w:type="dxa" w:w="354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Positive attitude</w:t>
            </w:r>
          </w:p>
        </w:tc>
        <w:tc>
          <w:tcPr>
            <w:tcW w:type="dxa" w:w="383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9.23 (6.03–14.15)</w:t>
            </w:r>
          </w:p>
        </w:tc>
        <w:tc>
          <w:tcPr>
            <w:tcW w:type="dxa" w:w="3211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5"/>
              </w:rPr>
              <w:t>&lt;0.001***</w:t>
            </w:r>
          </w:p>
        </w:tc>
      </w:tr>
    </w:tbl>
    <w:p>
      <w:pPr>
        <w:keepLines/>
        <w:spacing w:before="40" w:after="0" w:line="240" w:lineRule="auto"/>
      </w:pPr>
      <w:r>
        <w:rPr>
          <w:rFonts w:ascii="Times New Roman" w:hAnsi="Times New Roman"/>
          <w:i/>
          <w:sz w:val="18"/>
        </w:rPr>
        <w:t xml:space="preserve">Note. </w:t>
      </w:r>
      <w:r>
        <w:rPr>
          <w:rFonts w:ascii="Times New Roman" w:hAnsi="Times New Roman"/>
          <w:sz w:val="18"/>
        </w:rPr>
        <w:t>Values are crude odds ratios with 95% confidence intervals. Ref indicates the reference category. Significance: *p&lt;0.05; **p&lt;0.01; ***p&lt;0.001.</w:t>
      </w:r>
    </w:p>
    <w:p>
      <w:pPr>
        <w:spacing w:before="0" w:after="0"/>
      </w:pPr>
      <w:r>
        <w:br w:type="page"/>
      </w:r>
    </w:p>
    <w:p>
      <w:pPr>
        <w:pStyle w:val="SupplementCaption"/>
        <w:keepNext/>
        <w:keepLines/>
      </w:pPr>
      <w:r>
        <w:t>Supplementary Table S1(c). Preliminary keyword-assisted summary of open-ended responses.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3538"/>
        <w:gridCol w:w="3538"/>
        <w:gridCol w:w="3538"/>
      </w:tblGrid>
      <w:tr>
        <w:trPr>
          <w:cantSplit/>
          <w:tblHeader w:val="true"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Question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Theme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n (%)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challenge_digital_empathy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Non-empty responses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200 (41.9%)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challenge_digital_empathy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Communication or non-verbal cue gap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40 (20.0%)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challenge_digital_empathy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Technical/infrastructure barriers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29 (14.5%)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challenge_digital_empathy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Trust, privacy, or confidence concern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6 (3.0%)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challenge_digital_empathy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Time pressure or workload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22 (11.0%)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challenge_digital_empathy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Patient literacy/access barrier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11 (5.5%)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technology_enhance_empathy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Non-empty responses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183 (38.4%)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technology_enhance_empathy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Better communication and access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39 (21.3%)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technology_enhance_empathy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Efficiency and follow-up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16 (8.7%)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technology_enhance_empathy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AI or decision-support tools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13 (7.1%)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technology_enhance_empathy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Training or patient education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5 (2.7%)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technology_enhance_empathy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Personalized or patient-centered support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32 (17.5%)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training_needed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Non-empty responses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190 (39.8%)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training_needed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Digital communication/empathy training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35 (18.4%)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training_needed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Telemedicine platform and technical training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21 (11.1%)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training_needed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Ethics, privacy, and confidentiality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8 (4.2%)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training_needed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AI/digital health literacy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54 (28.4%)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training_needed</w:t>
            </w:r>
          </w:p>
        </w:tc>
        <w:tc>
          <w:tcPr>
            <w:tcW w:type="dxa" w:w="535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Practical simulation or role-play</w:t>
            </w:r>
          </w:p>
        </w:tc>
        <w:tc>
          <w:tcPr>
            <w:tcW w:type="dxa" w:w="184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5 (2.6%)</w:t>
            </w:r>
          </w:p>
        </w:tc>
      </w:tr>
    </w:tbl>
    <w:p>
      <w:pPr>
        <w:keepLines/>
        <w:spacing w:before="40" w:after="0" w:line="240" w:lineRule="auto"/>
      </w:pPr>
      <w:r>
        <w:rPr>
          <w:rFonts w:ascii="Times New Roman" w:hAnsi="Times New Roman"/>
          <w:i/>
          <w:sz w:val="18"/>
        </w:rPr>
        <w:t xml:space="preserve">Note. </w:t>
      </w:r>
      <w:r>
        <w:rPr>
          <w:rFonts w:ascii="Times New Roman" w:hAnsi="Times New Roman"/>
          <w:sz w:val="18"/>
        </w:rPr>
        <w:t>Percentages reflect the proportion of respondents providing each thematic response among non-empty responses to the corresponding open-ended question.</w:t>
      </w:r>
    </w:p>
    <w:p>
      <w:pPr>
        <w:spacing w:before="0" w:after="0"/>
      </w:pPr>
      <w:r>
        <w:br w:type="page"/>
      </w:r>
    </w:p>
    <w:p>
      <w:pPr>
        <w:pStyle w:val="SupplementCaption"/>
        <w:keepNext/>
        <w:keepLines/>
      </w:pPr>
      <w:r>
        <w:t>Supplementary Table S1(d). Logistic regression diagnostics and sensitivity analysis.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1327"/>
        <w:gridCol w:w="1327"/>
        <w:gridCol w:w="1327"/>
        <w:gridCol w:w="1327"/>
        <w:gridCol w:w="1327"/>
        <w:gridCol w:w="1327"/>
        <w:gridCol w:w="1327"/>
        <w:gridCol w:w="1327"/>
      </w:tblGrid>
      <w:tr>
        <w:trPr>
          <w:cantSplit/>
          <w:tblHeader w:val="true"/>
        </w:trPr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Model</w:t>
            </w:r>
          </w:p>
        </w:tc>
        <w:tc>
          <w:tcPr>
            <w:tcW w:type="dxa" w:w="187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Outcome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N</w:t>
            </w:r>
          </w:p>
        </w:tc>
        <w:tc>
          <w:tcPr>
            <w:tcW w:type="dxa" w:w="169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Hosmer–Lemeshow χ² (df)</w:t>
            </w:r>
          </w:p>
        </w:tc>
        <w:tc>
          <w:tcPr>
            <w:tcW w:type="dxa" w:w="112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HL p-value</w:t>
            </w:r>
          </w:p>
        </w:tc>
        <w:tc>
          <w:tcPr>
            <w:tcW w:type="dxa" w:w="1008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AUC</w:t>
            </w:r>
          </w:p>
        </w:tc>
        <w:tc>
          <w:tcPr>
            <w:tcW w:type="dxa" w:w="146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McFadden’s pseudo R²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Maximum VIF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Model 1</w:t>
            </w:r>
          </w:p>
        </w:tc>
        <w:tc>
          <w:tcPr>
            <w:tcW w:type="dxa" w:w="187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High techno-clinical empathy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477</w:t>
            </w:r>
          </w:p>
        </w:tc>
        <w:tc>
          <w:tcPr>
            <w:tcW w:type="dxa" w:w="169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2.65 (8)</w:t>
            </w:r>
          </w:p>
        </w:tc>
        <w:tc>
          <w:tcPr>
            <w:tcW w:type="dxa" w:w="112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0.955</w:t>
            </w:r>
          </w:p>
        </w:tc>
        <w:tc>
          <w:tcPr>
            <w:tcW w:type="dxa" w:w="1008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0.652</w:t>
            </w:r>
          </w:p>
        </w:tc>
        <w:tc>
          <w:tcPr>
            <w:tcW w:type="dxa" w:w="146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0.049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10.05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Model 2</w:t>
            </w:r>
          </w:p>
        </w:tc>
        <w:tc>
          <w:tcPr>
            <w:tcW w:type="dxa" w:w="187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High techno-clinical empathy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477</w:t>
            </w:r>
          </w:p>
        </w:tc>
        <w:tc>
          <w:tcPr>
            <w:tcW w:type="dxa" w:w="169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3.61 (8)</w:t>
            </w:r>
          </w:p>
        </w:tc>
        <w:tc>
          <w:tcPr>
            <w:tcW w:type="dxa" w:w="112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0.890</w:t>
            </w:r>
          </w:p>
        </w:tc>
        <w:tc>
          <w:tcPr>
            <w:tcW w:type="dxa" w:w="1008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0.850</w:t>
            </w:r>
          </w:p>
        </w:tc>
        <w:tc>
          <w:tcPr>
            <w:tcW w:type="dxa" w:w="146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0.305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10.10</w:t>
            </w:r>
          </w:p>
        </w:tc>
      </w:tr>
      <w:tr>
        <w:trPr>
          <w:cantSplit/>
        </w:trPr>
        <w:tc>
          <w:tcPr>
            <w:tcW w:type="dxa" w:w="1296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Sensitivity model</w:t>
            </w:r>
          </w:p>
        </w:tc>
        <w:tc>
          <w:tcPr>
            <w:tcW w:type="dxa" w:w="1872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TCE total ≥ median (24)</w:t>
            </w:r>
          </w:p>
        </w:tc>
        <w:tc>
          <w:tcPr>
            <w:tcW w:type="dxa" w:w="720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477</w:t>
            </w:r>
          </w:p>
        </w:tc>
        <w:tc>
          <w:tcPr>
            <w:tcW w:type="dxa" w:w="169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3.61 (8)</w:t>
            </w:r>
          </w:p>
        </w:tc>
        <w:tc>
          <w:tcPr>
            <w:tcW w:type="dxa" w:w="112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0.890</w:t>
            </w:r>
          </w:p>
        </w:tc>
        <w:tc>
          <w:tcPr>
            <w:tcW w:type="dxa" w:w="1008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0.850</w:t>
            </w:r>
          </w:p>
        </w:tc>
        <w:tc>
          <w:tcPr>
            <w:tcW w:type="dxa" w:w="146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0.305</w:t>
            </w:r>
          </w:p>
        </w:tc>
        <w:tc>
          <w:tcPr>
            <w:tcW w:type="dxa" w:w="1397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Same covariate set</w:t>
            </w:r>
          </w:p>
        </w:tc>
      </w:tr>
    </w:tbl>
    <w:p>
      <w:pPr>
        <w:keepLines/>
        <w:spacing w:before="40" w:after="0" w:line="240" w:lineRule="auto"/>
      </w:pPr>
      <w:r>
        <w:rPr>
          <w:rFonts w:ascii="Times New Roman" w:hAnsi="Times New Roman"/>
          <w:i/>
          <w:sz w:val="18"/>
        </w:rPr>
        <w:t xml:space="preserve">Note. </w:t>
      </w:r>
      <w:r>
        <w:rPr>
          <w:rFonts w:ascii="Times New Roman" w:hAnsi="Times New Roman"/>
          <w:sz w:val="18"/>
        </w:rPr>
        <w:t>Hosmer–Lemeshow p-values greater than 0.05 indicate no statistical evidence of poor calibration. AUC indicates model discrimination; VIF indicates multicollinearity diagnostics.</w:t>
      </w:r>
    </w:p>
    <w:p>
      <w:pPr>
        <w:spacing w:after="40" w:before="40"/>
      </w:pPr>
    </w:p>
    <w:p>
      <w:pPr>
        <w:pStyle w:val="SupplementCaption"/>
        <w:keepNext/>
        <w:keepLines/>
      </w:pPr>
      <w:r>
        <w:t>Supplementary Table S1(e). Spearman correlation among continuous construct mean scores.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</w:tblPr>
      <w:tblGrid>
        <w:gridCol w:w="2653"/>
        <w:gridCol w:w="2653"/>
        <w:gridCol w:w="2653"/>
        <w:gridCol w:w="2653"/>
      </w:tblGrid>
      <w:tr>
        <w:trPr>
          <w:cantSplit/>
          <w:tblHeader w:val="true"/>
        </w:trPr>
        <w:tc>
          <w:tcPr>
            <w:tcW w:type="dxa" w:w="2678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Variable 1</w:t>
            </w:r>
          </w:p>
        </w:tc>
        <w:tc>
          <w:tcPr>
            <w:tcW w:type="dxa" w:w="362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Variable 2</w:t>
            </w:r>
          </w:p>
        </w:tc>
        <w:tc>
          <w:tcPr>
            <w:tcW w:type="dxa" w:w="197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Spearman’s rho</w:t>
            </w:r>
          </w:p>
        </w:tc>
        <w:tc>
          <w:tcPr>
            <w:tcW w:type="dxa" w:w="230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6"/>
              </w:rPr>
              <w:t>p-value</w:t>
            </w:r>
          </w:p>
        </w:tc>
      </w:tr>
      <w:tr>
        <w:trPr>
          <w:cantSplit/>
        </w:trPr>
        <w:tc>
          <w:tcPr>
            <w:tcW w:type="dxa" w:w="2678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Core empathy</w:t>
            </w:r>
          </w:p>
        </w:tc>
        <w:tc>
          <w:tcPr>
            <w:tcW w:type="dxa" w:w="362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Techno-clinical empathy</w:t>
            </w:r>
          </w:p>
        </w:tc>
        <w:tc>
          <w:tcPr>
            <w:tcW w:type="dxa" w:w="197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0.656</w:t>
            </w:r>
          </w:p>
        </w:tc>
        <w:tc>
          <w:tcPr>
            <w:tcW w:type="dxa" w:w="230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&lt;0.001***</w:t>
            </w:r>
          </w:p>
        </w:tc>
      </w:tr>
      <w:tr>
        <w:trPr>
          <w:cantSplit/>
        </w:trPr>
        <w:tc>
          <w:tcPr>
            <w:tcW w:type="dxa" w:w="2678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Core empathy</w:t>
            </w:r>
          </w:p>
        </w:tc>
        <w:tc>
          <w:tcPr>
            <w:tcW w:type="dxa" w:w="362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Digital readiness</w:t>
            </w:r>
          </w:p>
        </w:tc>
        <w:tc>
          <w:tcPr>
            <w:tcW w:type="dxa" w:w="197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0.483</w:t>
            </w:r>
          </w:p>
        </w:tc>
        <w:tc>
          <w:tcPr>
            <w:tcW w:type="dxa" w:w="230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&lt;0.001***</w:t>
            </w:r>
          </w:p>
        </w:tc>
      </w:tr>
      <w:tr>
        <w:trPr>
          <w:cantSplit/>
        </w:trPr>
        <w:tc>
          <w:tcPr>
            <w:tcW w:type="dxa" w:w="2678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Core empathy</w:t>
            </w:r>
          </w:p>
        </w:tc>
        <w:tc>
          <w:tcPr>
            <w:tcW w:type="dxa" w:w="362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Communication skill</w:t>
            </w:r>
          </w:p>
        </w:tc>
        <w:tc>
          <w:tcPr>
            <w:tcW w:type="dxa" w:w="197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0.599</w:t>
            </w:r>
          </w:p>
        </w:tc>
        <w:tc>
          <w:tcPr>
            <w:tcW w:type="dxa" w:w="230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&lt;0.001***</w:t>
            </w:r>
          </w:p>
        </w:tc>
      </w:tr>
      <w:tr>
        <w:trPr>
          <w:cantSplit/>
        </w:trPr>
        <w:tc>
          <w:tcPr>
            <w:tcW w:type="dxa" w:w="2678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Core empathy</w:t>
            </w:r>
          </w:p>
        </w:tc>
        <w:tc>
          <w:tcPr>
            <w:tcW w:type="dxa" w:w="362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Tech-assisted attitude</w:t>
            </w:r>
          </w:p>
        </w:tc>
        <w:tc>
          <w:tcPr>
            <w:tcW w:type="dxa" w:w="197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0.590</w:t>
            </w:r>
          </w:p>
        </w:tc>
        <w:tc>
          <w:tcPr>
            <w:tcW w:type="dxa" w:w="230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&lt;0.001***</w:t>
            </w:r>
          </w:p>
        </w:tc>
      </w:tr>
      <w:tr>
        <w:trPr>
          <w:cantSplit/>
        </w:trPr>
        <w:tc>
          <w:tcPr>
            <w:tcW w:type="dxa" w:w="2678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Techno-clinical empathy</w:t>
            </w:r>
          </w:p>
        </w:tc>
        <w:tc>
          <w:tcPr>
            <w:tcW w:type="dxa" w:w="362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Digital readiness</w:t>
            </w:r>
          </w:p>
        </w:tc>
        <w:tc>
          <w:tcPr>
            <w:tcW w:type="dxa" w:w="197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0.629</w:t>
            </w:r>
          </w:p>
        </w:tc>
        <w:tc>
          <w:tcPr>
            <w:tcW w:type="dxa" w:w="230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&lt;0.001***</w:t>
            </w:r>
          </w:p>
        </w:tc>
      </w:tr>
      <w:tr>
        <w:trPr>
          <w:cantSplit/>
        </w:trPr>
        <w:tc>
          <w:tcPr>
            <w:tcW w:type="dxa" w:w="2678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Techno-clinical empathy</w:t>
            </w:r>
          </w:p>
        </w:tc>
        <w:tc>
          <w:tcPr>
            <w:tcW w:type="dxa" w:w="362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Communication skill</w:t>
            </w:r>
          </w:p>
        </w:tc>
        <w:tc>
          <w:tcPr>
            <w:tcW w:type="dxa" w:w="197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0.568</w:t>
            </w:r>
          </w:p>
        </w:tc>
        <w:tc>
          <w:tcPr>
            <w:tcW w:type="dxa" w:w="230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&lt;0.001***</w:t>
            </w:r>
          </w:p>
        </w:tc>
      </w:tr>
      <w:tr>
        <w:trPr>
          <w:cantSplit/>
        </w:trPr>
        <w:tc>
          <w:tcPr>
            <w:tcW w:type="dxa" w:w="2678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Techno-clinical empathy</w:t>
            </w:r>
          </w:p>
        </w:tc>
        <w:tc>
          <w:tcPr>
            <w:tcW w:type="dxa" w:w="362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Tech-assisted attitude</w:t>
            </w:r>
          </w:p>
        </w:tc>
        <w:tc>
          <w:tcPr>
            <w:tcW w:type="dxa" w:w="197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0.680</w:t>
            </w:r>
          </w:p>
        </w:tc>
        <w:tc>
          <w:tcPr>
            <w:tcW w:type="dxa" w:w="230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&lt;0.001***</w:t>
            </w:r>
          </w:p>
        </w:tc>
      </w:tr>
      <w:tr>
        <w:trPr>
          <w:cantSplit/>
        </w:trPr>
        <w:tc>
          <w:tcPr>
            <w:tcW w:type="dxa" w:w="2678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Digital readiness</w:t>
            </w:r>
          </w:p>
        </w:tc>
        <w:tc>
          <w:tcPr>
            <w:tcW w:type="dxa" w:w="362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Communication skill</w:t>
            </w:r>
          </w:p>
        </w:tc>
        <w:tc>
          <w:tcPr>
            <w:tcW w:type="dxa" w:w="197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0.509</w:t>
            </w:r>
          </w:p>
        </w:tc>
        <w:tc>
          <w:tcPr>
            <w:tcW w:type="dxa" w:w="230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&lt;0.001***</w:t>
            </w:r>
          </w:p>
        </w:tc>
      </w:tr>
      <w:tr>
        <w:trPr>
          <w:cantSplit/>
        </w:trPr>
        <w:tc>
          <w:tcPr>
            <w:tcW w:type="dxa" w:w="2678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Digital readiness</w:t>
            </w:r>
          </w:p>
        </w:tc>
        <w:tc>
          <w:tcPr>
            <w:tcW w:type="dxa" w:w="362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Tech-assisted attitude</w:t>
            </w:r>
          </w:p>
        </w:tc>
        <w:tc>
          <w:tcPr>
            <w:tcW w:type="dxa" w:w="197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0.629</w:t>
            </w:r>
          </w:p>
        </w:tc>
        <w:tc>
          <w:tcPr>
            <w:tcW w:type="dxa" w:w="230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&lt;0.001***</w:t>
            </w:r>
          </w:p>
        </w:tc>
      </w:tr>
      <w:tr>
        <w:trPr>
          <w:cantSplit/>
        </w:trPr>
        <w:tc>
          <w:tcPr>
            <w:tcW w:type="dxa" w:w="2678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Communication skill</w:t>
            </w:r>
          </w:p>
        </w:tc>
        <w:tc>
          <w:tcPr>
            <w:tcW w:type="dxa" w:w="3629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Tech-assisted attitude</w:t>
            </w:r>
          </w:p>
        </w:tc>
        <w:tc>
          <w:tcPr>
            <w:tcW w:type="dxa" w:w="1973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0.557</w:t>
            </w:r>
          </w:p>
        </w:tc>
        <w:tc>
          <w:tcPr>
            <w:tcW w:type="dxa" w:w="2304"/>
            <w:vAlign w:val="center"/>
            <w:tcMar>
              <w:top w:w="12" w:type="dxa"/>
              <w:start w:w="25" w:type="dxa"/>
              <w:bottom w:w="12" w:type="dxa"/>
              <w:end w:w="25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6"/>
              </w:rPr>
              <w:t>&lt;0.001***</w:t>
            </w:r>
          </w:p>
        </w:tc>
      </w:tr>
    </w:tbl>
    <w:p>
      <w:pPr>
        <w:keepLines/>
        <w:spacing w:before="40" w:after="0" w:line="240" w:lineRule="auto"/>
      </w:pPr>
      <w:r>
        <w:rPr>
          <w:rFonts w:ascii="Times New Roman" w:hAnsi="Times New Roman"/>
          <w:i/>
          <w:sz w:val="18"/>
        </w:rPr>
        <w:t xml:space="preserve">Note. </w:t>
      </w:r>
      <w:r>
        <w:rPr>
          <w:rFonts w:ascii="Times New Roman" w:hAnsi="Times New Roman"/>
          <w:sz w:val="18"/>
        </w:rPr>
        <w:t>Spearman’s rank correlation was used to assess monotonic association among continuous domain mean scores.</w:t>
      </w:r>
    </w:p>
    <w:p>
      <w:pPr>
        <w:spacing w:before="0" w:after="0"/>
      </w:pPr>
      <w:r>
        <w:br w:type="page"/>
      </w:r>
    </w:p>
    <w:p>
      <w:pPr>
        <w:pStyle w:val="SupplementCaption"/>
        <w:keepNext/>
        <w:keepLines/>
        <w:spacing w:after="120"/>
      </w:pPr>
      <w:r>
        <w:t>Supplementary Figure S1. Spearman correlation matrix of construct mean scores.</w:t>
      </w:r>
    </w:p>
    <w:p>
      <w:pPr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6172200" cy="51229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_S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5122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before="40" w:after="0" w:line="240" w:lineRule="auto"/>
      </w:pPr>
      <w:r>
        <w:rPr>
          <w:rFonts w:ascii="Times New Roman" w:hAnsi="Times New Roman"/>
          <w:i/>
          <w:sz w:val="18"/>
        </w:rPr>
        <w:t xml:space="preserve">Note. </w:t>
      </w:r>
      <w:r>
        <w:rPr>
          <w:rFonts w:ascii="Times New Roman" w:hAnsi="Times New Roman"/>
          <w:sz w:val="18"/>
        </w:rPr>
        <w:t>Color intensity and cell values indicate the direction and magnitude of Spearman’s rho between domain mean scores.</w:t>
      </w:r>
    </w:p>
    <w:sectPr w:rsidR="00FC693F" w:rsidRPr="0006063C" w:rsidSect="00034616">
      <w:pgSz w:w="11909" w:h="16834"/>
      <w:pgMar w:top="648" w:right="648" w:bottom="648" w:left="64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lementCaption">
    <w:name w:val="Supplement Caption"/>
    <w:pPr>
      <w:keepNext/>
      <w:keepLines/>
      <w:spacing w:before="0" w:after="100"/>
    </w:pPr>
    <w:rPr>
      <w:rFonts w:ascii="Times New Roman" w:hAnsi="Times New Roman" w:eastAsia="Times New Roman"/>
      <w:b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File S1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