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EC05" w14:textId="77777777" w:rsidR="00C76173" w:rsidRPr="00C76173" w:rsidRDefault="00C76173" w:rsidP="00C76173">
      <w:pPr>
        <w:jc w:val="center"/>
        <w:rPr>
          <w:rFonts w:ascii="Times New Roman" w:hAnsi="Times New Roman" w:cs="Times New Roman"/>
          <w:color w:val="0070C0"/>
        </w:rPr>
      </w:pPr>
      <w:r w:rsidRPr="00C76173">
        <w:rPr>
          <w:rFonts w:ascii="Times New Roman" w:hAnsi="Times New Roman" w:cs="Times New Roman"/>
          <w:color w:val="0070C0"/>
        </w:rPr>
        <w:t>Supplementary Documentation: Data Provenance and Methodological Materials</w:t>
      </w:r>
    </w:p>
    <w:p w14:paraId="02EB2FD2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</w:p>
    <w:p w14:paraId="13964104" w14:textId="77777777" w:rsidR="00C76173" w:rsidRPr="00C76173" w:rsidRDefault="00C76173" w:rsidP="00C76173">
      <w:pPr>
        <w:ind w:left="480" w:hangingChars="200" w:hanging="480"/>
        <w:jc w:val="both"/>
        <w:rPr>
          <w:rFonts w:ascii="Times New Roman" w:hAnsi="Times New Roman" w:cs="Times New Roman"/>
          <w:b/>
          <w:bCs/>
          <w:i/>
          <w:iCs/>
        </w:rPr>
      </w:pPr>
      <w:r w:rsidRPr="00C76173">
        <w:rPr>
          <w:rFonts w:ascii="Times New Roman" w:hAnsi="Times New Roman" w:cs="Times New Roman"/>
          <w:b/>
          <w:bCs/>
          <w:i/>
          <w:iCs/>
        </w:rPr>
        <w:t>Title: The Geoeconomics of Chips: Policy, Retaliation, and the AI-Driven Reshoring Phenomenon</w:t>
      </w:r>
    </w:p>
    <w:p w14:paraId="0648F300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C76173">
        <w:rPr>
          <w:rFonts w:ascii="Times New Roman" w:hAnsi="Times New Roman" w:cs="Times New Roman"/>
          <w:b/>
          <w:bCs/>
          <w:i/>
          <w:iCs/>
        </w:rPr>
        <w:t>Journal: Humanities and Social Sciences Communications</w:t>
      </w:r>
    </w:p>
    <w:p w14:paraId="379F087D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</w:p>
    <w:p w14:paraId="6B1573CE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</w:rPr>
      </w:pPr>
      <w:r w:rsidRPr="00C76173">
        <w:rPr>
          <w:rFonts w:ascii="Times New Roman" w:hAnsi="Times New Roman" w:cs="Times New Roman"/>
          <w:b/>
          <w:bCs/>
        </w:rPr>
        <w:t>1. Nature of the Data Analyzed</w:t>
      </w:r>
    </w:p>
    <w:p w14:paraId="3108A238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  <w:r w:rsidRPr="00C76173">
        <w:rPr>
          <w:rFonts w:ascii="Times New Roman" w:hAnsi="Times New Roman" w:cs="Times New Roman"/>
        </w:rPr>
        <w:t>This manuscript presents a conceptual and qualitative policy analysis examining the restructuring of global semiconductor value chains. The study does not collect raw human-subject data, proprietary firm microdata, or original survey datasets. All quantitative figures and historical/projected capacity shares referenced in the text and figures are derived from published, publicly accessible industry benchmark reports.</w:t>
      </w:r>
    </w:p>
    <w:p w14:paraId="334405E7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</w:p>
    <w:p w14:paraId="53A3344D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</w:rPr>
      </w:pPr>
      <w:r w:rsidRPr="00C76173">
        <w:rPr>
          <w:rFonts w:ascii="Times New Roman" w:hAnsi="Times New Roman" w:cs="Times New Roman"/>
          <w:b/>
          <w:bCs/>
        </w:rPr>
        <w:t>2. Raw Sources and Stable Repository / Access Links</w:t>
      </w:r>
    </w:p>
    <w:p w14:paraId="371A4F75" w14:textId="77777777" w:rsidR="00C76173" w:rsidRDefault="00C76173" w:rsidP="00C76173">
      <w:pPr>
        <w:jc w:val="both"/>
        <w:rPr>
          <w:rFonts w:ascii="Times New Roman" w:hAnsi="Times New Roman" w:cs="Times New Roman"/>
        </w:rPr>
      </w:pPr>
      <w:r w:rsidRPr="00C76173">
        <w:rPr>
          <w:rFonts w:ascii="Times New Roman" w:hAnsi="Times New Roman" w:cs="Times New Roman"/>
        </w:rPr>
        <w:t>The quantitative figures used in this paper (specifically in Figures 1 and 2) originate from the following primary industry publications:</w:t>
      </w:r>
    </w:p>
    <w:p w14:paraId="653D9330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BCG &amp; SIA (2020), </w:t>
      </w:r>
      <w:r w:rsidRPr="00C76173">
        <w:rPr>
          <w:rFonts w:ascii="Times New Roman" w:eastAsia="新細明體" w:hAnsi="Times New Roman" w:cs="Times New Roman"/>
          <w:i/>
          <w:iCs/>
          <w:kern w:val="0"/>
          <w14:ligatures w14:val="none"/>
        </w:rPr>
        <w:t>Government Incentives and U.S. Competitiveness in Semiconductor Manufacturing</w:t>
      </w:r>
      <w:r w:rsidRPr="00C76173">
        <w:rPr>
          <w:rFonts w:ascii="Times New Roman" w:eastAsia="新細明體" w:hAnsi="Times New Roman" w:cs="Times New Roman"/>
          <w:kern w:val="0"/>
          <w14:ligatures w14:val="none"/>
        </w:rPr>
        <w:t>;</w:t>
      </w:r>
    </w:p>
    <w:p w14:paraId="064483AA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BCG &amp; SIA (2021), </w:t>
      </w:r>
      <w:r w:rsidRPr="00C76173">
        <w:rPr>
          <w:rFonts w:ascii="Times New Roman" w:eastAsia="新細明體" w:hAnsi="Times New Roman" w:cs="Times New Roman"/>
          <w:i/>
          <w:iCs/>
          <w:kern w:val="0"/>
          <w14:ligatures w14:val="none"/>
        </w:rPr>
        <w:t>Strengthening the Global Semiconductor Supply Chain in an Uncertain Era</w:t>
      </w:r>
      <w:r w:rsidRPr="00C76173">
        <w:rPr>
          <w:rFonts w:ascii="Times New Roman" w:eastAsia="新細明體" w:hAnsi="Times New Roman" w:cs="Times New Roman"/>
          <w:kern w:val="0"/>
          <w14:ligatures w14:val="none"/>
        </w:rPr>
        <w:t>;</w:t>
      </w:r>
    </w:p>
    <w:p w14:paraId="0D7BC177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BCG &amp; SIA (2024), </w:t>
      </w:r>
      <w:r w:rsidRPr="00C76173">
        <w:rPr>
          <w:rFonts w:ascii="Times New Roman" w:eastAsia="新細明體" w:hAnsi="Times New Roman" w:cs="Times New Roman"/>
          <w:i/>
          <w:iCs/>
          <w:kern w:val="0"/>
          <w14:ligatures w14:val="none"/>
        </w:rPr>
        <w:t>Emerging Resilience in the Semiconductor Supply Chain: Assessing the Impact of the U.S. CHIPS Act and Global Semiconductor Incentives</w:t>
      </w:r>
      <w:r w:rsidRPr="00C76173">
        <w:rPr>
          <w:rFonts w:ascii="Times New Roman" w:eastAsia="新細明體" w:hAnsi="Times New Roman" w:cs="Times New Roman"/>
          <w:kern w:val="0"/>
          <w14:ligatures w14:val="none"/>
        </w:rPr>
        <w:t>;</w:t>
      </w:r>
    </w:p>
    <w:p w14:paraId="5FB9A841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SEMI (2024). World fab forecast. Semiconductor Equipment and Materials International. </w:t>
      </w:r>
      <w:hyperlink r:id="rId7" w:history="1">
        <w:r w:rsidRPr="00C76173">
          <w:rPr>
            <w:rFonts w:ascii="Times New Roman" w:eastAsia="新細明體" w:hAnsi="Times New Roman" w:cs="Times New Roman"/>
            <w:color w:val="467886" w:themeColor="hyperlink"/>
            <w:kern w:val="0"/>
            <w:u w:val="single"/>
            <w14:ligatures w14:val="none"/>
          </w:rPr>
          <w:t>https://www.semi.org/en/products-services/market-data/world-fab-forecast</w:t>
        </w:r>
      </w:hyperlink>
    </w:p>
    <w:p w14:paraId="70789E07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proofErr w:type="spellStart"/>
      <w:r w:rsidRPr="00C76173">
        <w:rPr>
          <w:rFonts w:ascii="Times New Roman" w:eastAsia="新細明體" w:hAnsi="Times New Roman" w:cs="Times New Roman"/>
          <w:kern w:val="0"/>
          <w14:ligatures w14:val="none"/>
        </w:rPr>
        <w:t>TechInsights</w:t>
      </w:r>
      <w:proofErr w:type="spellEnd"/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 (2024). Global wafer capacity report. </w:t>
      </w:r>
      <w:proofErr w:type="spellStart"/>
      <w:r w:rsidRPr="00C76173">
        <w:rPr>
          <w:rFonts w:ascii="Times New Roman" w:eastAsia="新細明體" w:hAnsi="Times New Roman" w:cs="Times New Roman"/>
          <w:kern w:val="0"/>
          <w14:ligatures w14:val="none"/>
        </w:rPr>
        <w:t>TechInsights</w:t>
      </w:r>
      <w:proofErr w:type="spellEnd"/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 Inc. </w:t>
      </w:r>
      <w:hyperlink r:id="rId8" w:history="1">
        <w:r w:rsidRPr="00C76173">
          <w:rPr>
            <w:rFonts w:ascii="Times New Roman" w:eastAsia="新細明體" w:hAnsi="Times New Roman" w:cs="Times New Roman"/>
            <w:color w:val="467886" w:themeColor="hyperlink"/>
            <w:kern w:val="0"/>
            <w:u w:val="single"/>
            <w14:ligatures w14:val="none"/>
          </w:rPr>
          <w:t>https://www.techinsights.com</w:t>
        </w:r>
      </w:hyperlink>
    </w:p>
    <w:p w14:paraId="5E535945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>SIA (2021, 2024, 2025) annual reports and press releases; and</w:t>
      </w:r>
    </w:p>
    <w:p w14:paraId="3E94871B" w14:textId="77777777" w:rsidR="00C76173" w:rsidRPr="00C76173" w:rsidRDefault="00C76173" w:rsidP="00C76173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PwC (2026), </w:t>
      </w:r>
      <w:r w:rsidRPr="00C76173">
        <w:rPr>
          <w:rFonts w:ascii="Times New Roman" w:eastAsia="新細明體" w:hAnsi="Times New Roman" w:cs="Times New Roman"/>
          <w:i/>
          <w:iCs/>
          <w:kern w:val="0"/>
          <w14:ligatures w14:val="none"/>
        </w:rPr>
        <w:t>Semiconductor and Beyond: Global Semiconductor Industry Outlook 2026</w:t>
      </w:r>
      <w:r w:rsidRPr="00C76173">
        <w:rPr>
          <w:rFonts w:ascii="Times New Roman" w:eastAsia="新細明體" w:hAnsi="Times New Roman" w:cs="Times New Roman"/>
          <w:kern w:val="0"/>
          <w14:ligatures w14:val="none"/>
        </w:rPr>
        <w:t>.</w:t>
      </w:r>
    </w:p>
    <w:p w14:paraId="630FE4E2" w14:textId="77777777" w:rsidR="00C76173" w:rsidRPr="00C76173" w:rsidRDefault="00C76173" w:rsidP="00C76173">
      <w:pPr>
        <w:widowControl/>
        <w:spacing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lastRenderedPageBreak/>
        <w:t>All underlying secondary data points are fully cited and accessible through the links provided in the References list. No proprietary or confidential raw microdata were collected.</w:t>
      </w:r>
    </w:p>
    <w:p w14:paraId="73CC9647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Boston Consulting Group &amp; Semiconductor Industry Association. (2020).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Government incentives and U.S. competitiveness in semiconductor manufacturing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Semiconductor Industry Association. </w:t>
      </w:r>
      <w:hyperlink r:id="rId9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https://www.semiconductors.org/wp-content/uploads/2020/09/Government-Incentives-and-US-Competitiveness-in-Semiconductor-Manufacturing-Sep-2020.pdf</w:t>
        </w:r>
      </w:hyperlink>
    </w:p>
    <w:p w14:paraId="0AAE1C61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Boston Consulting Group &amp; Semiconductor Industry Association. (2021).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Strengthening the global semiconductor supply chain in an uncertain era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Boston Consulting Group. </w:t>
      </w:r>
      <w:hyperlink r:id="rId10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https://www.bcg.com/publications/2021/strengthening-the-global-semiconductor-supply-chain</w:t>
        </w:r>
      </w:hyperlink>
    </w:p>
    <w:p w14:paraId="54836F02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Boston Consulting Group &amp; Semiconductor Industry Association. (2024).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Emerging resilience in the semiconductor supply chain: Assessing the impact of the U.S. CHIPS Act and global semiconductor incentives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Boston Consulting Group. </w:t>
      </w:r>
      <w:hyperlink r:id="rId11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https://www.bcg.com/publications/2024/emerging-resilience-in-semiconductor-supply-chain</w:t>
        </w:r>
      </w:hyperlink>
    </w:p>
    <w:p w14:paraId="51467B4A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PwC (2026).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Semiconductor and beyond: Global semiconductor industry outlook 2026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PricewaterhouseCoopers. </w:t>
      </w:r>
      <w:hyperlink r:id="rId12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https://www.pwc.com/gx/en/industries/technology/pwc-semiconductor-and-beyond-2026-full-report.pdf</w:t>
        </w:r>
      </w:hyperlink>
    </w:p>
    <w:p w14:paraId="17F49E60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Semiconductor Industry Association (2021).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2021 state of the U.S. semiconductor industry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</w:t>
      </w:r>
      <w:hyperlink r:id="rId13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https://www.semiconductors.org/resources/2021-state-of-the-u-s-semiconductor-industry/</w:t>
        </w:r>
      </w:hyperlink>
    </w:p>
    <w:p w14:paraId="1E6C9036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Semiconductor Industry Association (2024, May 8).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America projected to triple semiconductor manufacturing capacity by 2032, the largest rate of growth in the world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</w:t>
      </w:r>
      <w:hyperlink r:id="rId14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https://www.semiconductors.org/america-projected-to-triple-semiconductor-manufacturing-capacity-by-2032-the-largest-rate-of-growth-in-the-world/</w:t>
        </w:r>
      </w:hyperlink>
    </w:p>
    <w:p w14:paraId="45E51819" w14:textId="77777777" w:rsidR="00C76173" w:rsidRPr="00C76173" w:rsidRDefault="00C76173" w:rsidP="00C76173">
      <w:pPr>
        <w:widowControl/>
        <w:spacing w:after="0" w:line="240" w:lineRule="auto"/>
        <w:ind w:left="480" w:hangingChars="200" w:hanging="480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b/>
          <w:bCs/>
          <w:color w:val="1F1F1F"/>
          <w:kern w:val="0"/>
          <w:bdr w:val="none" w:sz="0" w:space="0" w:color="auto" w:frame="1"/>
          <w14:ligatures w14:val="none"/>
        </w:rPr>
        <w:t>Semiconductor Industry Association. (2025, February 7).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 xml:space="preserve">Global semiconductor sales </w:t>
      </w:r>
      <w:proofErr w:type="gramStart"/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>increase</w:t>
      </w:r>
      <w:proofErr w:type="gramEnd"/>
      <w:r w:rsidRPr="00C76173">
        <w:rPr>
          <w:rFonts w:ascii="Times New Roman" w:eastAsia="新細明體" w:hAnsi="Times New Roman" w:cs="Times New Roman"/>
          <w:i/>
          <w:iCs/>
          <w:color w:val="1F1F1F"/>
          <w:kern w:val="0"/>
          <w:bdr w:val="none" w:sz="0" w:space="0" w:color="auto" w:frame="1"/>
          <w14:ligatures w14:val="none"/>
        </w:rPr>
        <w:t xml:space="preserve"> 19.1% in 2024; double-digit growth projected in 2025</w:t>
      </w:r>
      <w:r w:rsidRPr="00C76173">
        <w:rPr>
          <w:rFonts w:ascii="Times New Roman" w:eastAsia="新細明體" w:hAnsi="Times New Roman" w:cs="Times New Roman"/>
          <w:color w:val="1F1F1F"/>
          <w:kern w:val="0"/>
          <w14:ligatures w14:val="none"/>
        </w:rPr>
        <w:t xml:space="preserve">. </w:t>
      </w:r>
      <w:hyperlink r:id="rId15" w:tgtFrame="_blank" w:history="1">
        <w:r w:rsidRPr="00C76173">
          <w:rPr>
            <w:rFonts w:ascii="Times New Roman" w:eastAsia="新細明體" w:hAnsi="Times New Roman" w:cs="Times New Roman"/>
            <w:color w:val="0000EE"/>
            <w:kern w:val="0"/>
            <w:u w:val="single"/>
            <w:bdr w:val="none" w:sz="0" w:space="0" w:color="auto" w:frame="1"/>
            <w14:ligatures w14:val="none"/>
          </w:rPr>
          <w:t>https://www.semiconductors.org/global-semiconductor-sales-increase-19-1-in-2024-double-digit-growth-projected-in-2025/</w:t>
        </w:r>
      </w:hyperlink>
    </w:p>
    <w:p w14:paraId="00DA3E91" w14:textId="77777777" w:rsidR="00C76173" w:rsidRDefault="00C76173" w:rsidP="00C76173">
      <w:pPr>
        <w:widowControl/>
        <w:spacing w:after="0" w:line="240" w:lineRule="auto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</w:p>
    <w:p w14:paraId="6B998B19" w14:textId="77777777" w:rsidR="00C76173" w:rsidRDefault="00C76173" w:rsidP="00C76173">
      <w:pPr>
        <w:widowControl/>
        <w:spacing w:after="0" w:line="240" w:lineRule="auto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</w:p>
    <w:p w14:paraId="74111DC0" w14:textId="77777777" w:rsidR="00C76173" w:rsidRDefault="00C76173" w:rsidP="00C76173">
      <w:pPr>
        <w:widowControl/>
        <w:spacing w:after="0" w:line="240" w:lineRule="auto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</w:p>
    <w:p w14:paraId="11D6CB03" w14:textId="77777777" w:rsidR="00C76173" w:rsidRDefault="00C76173" w:rsidP="00C76173">
      <w:pPr>
        <w:widowControl/>
        <w:spacing w:after="0" w:line="240" w:lineRule="auto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</w:p>
    <w:p w14:paraId="70BDB30E" w14:textId="77777777" w:rsidR="00C76173" w:rsidRPr="00C76173" w:rsidRDefault="00C76173" w:rsidP="00C76173">
      <w:pPr>
        <w:widowControl/>
        <w:spacing w:after="0" w:line="240" w:lineRule="auto"/>
        <w:jc w:val="both"/>
        <w:rPr>
          <w:rFonts w:ascii="Times New Roman" w:eastAsia="新細明體" w:hAnsi="Times New Roman" w:cs="Times New Roman"/>
          <w:color w:val="1F1F1F"/>
          <w:kern w:val="0"/>
          <w14:ligatures w14:val="none"/>
        </w:rPr>
      </w:pPr>
    </w:p>
    <w:p w14:paraId="5C43E1EC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</w:rPr>
      </w:pPr>
      <w:r w:rsidRPr="00C76173">
        <w:rPr>
          <w:rFonts w:ascii="Times New Roman" w:hAnsi="Times New Roman" w:cs="Times New Roman"/>
          <w:b/>
          <w:bCs/>
        </w:rPr>
        <w:lastRenderedPageBreak/>
        <w:t>3. Underlying Fab Databases</w:t>
      </w:r>
    </w:p>
    <w:p w14:paraId="333F0908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  <w:r w:rsidRPr="00C76173">
        <w:rPr>
          <w:rFonts w:ascii="Times New Roman" w:hAnsi="Times New Roman" w:cs="Times New Roman"/>
        </w:rPr>
        <w:t>The quantitative capacity tracking synthesized across the BCG/SIA reports is aggregated from commercial tracking databases:</w:t>
      </w:r>
    </w:p>
    <w:p w14:paraId="3A67A5DA" w14:textId="77777777" w:rsidR="00C76173" w:rsidRPr="00C76173" w:rsidRDefault="00C76173" w:rsidP="00C76173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SEMI (2024). World fab forecast. Semiconductor Equipment and Materials International. </w:t>
      </w:r>
      <w:hyperlink r:id="rId16" w:history="1">
        <w:r w:rsidRPr="00C76173">
          <w:rPr>
            <w:rFonts w:ascii="Times New Roman" w:eastAsia="新細明體" w:hAnsi="Times New Roman" w:cs="Times New Roman"/>
            <w:color w:val="467886" w:themeColor="hyperlink"/>
            <w:kern w:val="0"/>
            <w:u w:val="single"/>
            <w14:ligatures w14:val="none"/>
          </w:rPr>
          <w:t>https://www.semi.org/en/products-services/market-data/world-fab-forecast</w:t>
        </w:r>
      </w:hyperlink>
    </w:p>
    <w:p w14:paraId="35525C69" w14:textId="71B52E62" w:rsidR="00C76173" w:rsidRPr="00C76173" w:rsidRDefault="00C76173" w:rsidP="00C76173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新細明體" w:hAnsi="Times New Roman" w:cs="Times New Roman"/>
          <w:kern w:val="0"/>
          <w14:ligatures w14:val="none"/>
        </w:rPr>
      </w:pPr>
      <w:proofErr w:type="spellStart"/>
      <w:r w:rsidRPr="00C76173">
        <w:rPr>
          <w:rFonts w:ascii="Times New Roman" w:eastAsia="新細明體" w:hAnsi="Times New Roman" w:cs="Times New Roman"/>
          <w:kern w:val="0"/>
          <w14:ligatures w14:val="none"/>
        </w:rPr>
        <w:t>TechInsights</w:t>
      </w:r>
      <w:proofErr w:type="spellEnd"/>
      <w:r>
        <w:rPr>
          <w:rFonts w:ascii="Times New Roman" w:eastAsia="新細明體" w:hAnsi="Times New Roman" w:cs="Times New Roman"/>
          <w:kern w:val="0"/>
          <w14:ligatures w14:val="none"/>
        </w:rPr>
        <w:t xml:space="preserve"> </w:t>
      </w:r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(formerly IC Insights) (2024). Global wafer capacity report. </w:t>
      </w:r>
      <w:proofErr w:type="spellStart"/>
      <w:r w:rsidRPr="00C76173">
        <w:rPr>
          <w:rFonts w:ascii="Times New Roman" w:eastAsia="新細明體" w:hAnsi="Times New Roman" w:cs="Times New Roman"/>
          <w:kern w:val="0"/>
          <w14:ligatures w14:val="none"/>
        </w:rPr>
        <w:t>TechInsights</w:t>
      </w:r>
      <w:proofErr w:type="spellEnd"/>
      <w:r w:rsidRPr="00C76173">
        <w:rPr>
          <w:rFonts w:ascii="Times New Roman" w:eastAsia="新細明體" w:hAnsi="Times New Roman" w:cs="Times New Roman"/>
          <w:kern w:val="0"/>
          <w14:ligatures w14:val="none"/>
        </w:rPr>
        <w:t xml:space="preserve"> Inc. </w:t>
      </w:r>
      <w:hyperlink r:id="rId17" w:history="1">
        <w:r w:rsidRPr="00C76173">
          <w:rPr>
            <w:rFonts w:ascii="Times New Roman" w:eastAsia="新細明體" w:hAnsi="Times New Roman" w:cs="Times New Roman"/>
            <w:color w:val="467886" w:themeColor="hyperlink"/>
            <w:kern w:val="0"/>
            <w:u w:val="single"/>
            <w14:ligatures w14:val="none"/>
          </w:rPr>
          <w:t>https://www.techinsights.com</w:t>
        </w:r>
      </w:hyperlink>
    </w:p>
    <w:p w14:paraId="030561D5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</w:p>
    <w:p w14:paraId="0086CB86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</w:rPr>
      </w:pPr>
      <w:r w:rsidRPr="00C76173">
        <w:rPr>
          <w:rFonts w:ascii="Times New Roman" w:hAnsi="Times New Roman" w:cs="Times New Roman"/>
          <w:b/>
          <w:bCs/>
        </w:rPr>
        <w:t>4. Variables, Transformations, and Calculations</w:t>
      </w:r>
    </w:p>
    <w:p w14:paraId="4E3A8E6D" w14:textId="7AF452CE" w:rsidR="00C76173" w:rsidRPr="005E05F7" w:rsidRDefault="00C76173" w:rsidP="005E05F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E05F7">
        <w:rPr>
          <w:rFonts w:ascii="Times New Roman" w:hAnsi="Times New Roman" w:cs="Times New Roman"/>
        </w:rPr>
        <w:t>Capacity Metrics: Measured as percentage shares of worldwide semiconductor manufacturing capacity (</w:t>
      </w:r>
      <w:proofErr w:type="gramStart"/>
      <w:r w:rsidRPr="005E05F7">
        <w:rPr>
          <w:rFonts w:ascii="Times New Roman" w:hAnsi="Times New Roman" w:cs="Times New Roman"/>
        </w:rPr>
        <w:t>wafer</w:t>
      </w:r>
      <w:proofErr w:type="gramEnd"/>
      <w:r w:rsidRPr="005E05F7">
        <w:rPr>
          <w:rFonts w:ascii="Times New Roman" w:hAnsi="Times New Roman" w:cs="Times New Roman"/>
        </w:rPr>
        <w:t xml:space="preserve"> start capacity normalized to 200mm/300mm wafer equivalents).</w:t>
      </w:r>
    </w:p>
    <w:p w14:paraId="3776C5A8" w14:textId="54D3A9C9" w:rsidR="00C76173" w:rsidRPr="005E05F7" w:rsidRDefault="00C76173" w:rsidP="005E05F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E05F7">
        <w:rPr>
          <w:rFonts w:ascii="Times New Roman" w:hAnsi="Times New Roman" w:cs="Times New Roman"/>
        </w:rPr>
        <w:t>Regional Classifications: Figures track capacity located geographically in the United States, Taiwan, South Korea, China, Japan, and Europe.</w:t>
      </w:r>
    </w:p>
    <w:p w14:paraId="62899180" w14:textId="60441CB3" w:rsidR="00C76173" w:rsidRPr="005E05F7" w:rsidRDefault="00C76173" w:rsidP="005E05F7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E05F7">
        <w:rPr>
          <w:rFonts w:ascii="Times New Roman" w:hAnsi="Times New Roman" w:cs="Times New Roman"/>
        </w:rPr>
        <w:t>Growth Projections: Compounded growth rates and capacity percentage changes (2012–2022 vs. 2022–2032) were directly extracted from the BCG/SIA (2024) models. No independent econometric transformations or imputation methods were applied.</w:t>
      </w:r>
    </w:p>
    <w:p w14:paraId="529FC2AD" w14:textId="77777777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</w:p>
    <w:p w14:paraId="55FC4542" w14:textId="77777777" w:rsidR="00C76173" w:rsidRPr="00C76173" w:rsidRDefault="00C76173" w:rsidP="00C76173">
      <w:pPr>
        <w:jc w:val="both"/>
        <w:rPr>
          <w:rFonts w:ascii="Times New Roman" w:hAnsi="Times New Roman" w:cs="Times New Roman"/>
          <w:b/>
          <w:bCs/>
        </w:rPr>
      </w:pPr>
      <w:r w:rsidRPr="00C76173">
        <w:rPr>
          <w:rFonts w:ascii="Times New Roman" w:hAnsi="Times New Roman" w:cs="Times New Roman"/>
          <w:b/>
          <w:bCs/>
        </w:rPr>
        <w:t>5. Code and Script Availability</w:t>
      </w:r>
    </w:p>
    <w:p w14:paraId="4E63C906" w14:textId="49F9C9B8" w:rsidR="00C76173" w:rsidRPr="00C76173" w:rsidRDefault="00C76173" w:rsidP="00C76173">
      <w:pPr>
        <w:jc w:val="both"/>
        <w:rPr>
          <w:rFonts w:ascii="Times New Roman" w:hAnsi="Times New Roman" w:cs="Times New Roman"/>
        </w:rPr>
      </w:pPr>
      <w:r w:rsidRPr="00C76173">
        <w:rPr>
          <w:rFonts w:ascii="Times New Roman" w:hAnsi="Times New Roman" w:cs="Times New Roman"/>
        </w:rPr>
        <w:t>Because this study synthesizes published secondary macroeconomic indicators and conceptual frameworks rather than conducting statistical econometric regressions or algorithmic models, no custom statistical code, scripts (R/Python/Stata), or raw proprietary spreadsheets were generated.</w:t>
      </w:r>
    </w:p>
    <w:sectPr w:rsidR="00C76173" w:rsidRPr="00C761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426F0" w14:textId="77777777" w:rsidR="001B65FA" w:rsidRDefault="001B65FA" w:rsidP="006F0D5A">
      <w:pPr>
        <w:spacing w:after="0" w:line="240" w:lineRule="auto"/>
      </w:pPr>
      <w:r>
        <w:separator/>
      </w:r>
    </w:p>
  </w:endnote>
  <w:endnote w:type="continuationSeparator" w:id="0">
    <w:p w14:paraId="4A1B0BE4" w14:textId="77777777" w:rsidR="001B65FA" w:rsidRDefault="001B65FA" w:rsidP="006F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6CD96" w14:textId="77777777" w:rsidR="001B65FA" w:rsidRDefault="001B65FA" w:rsidP="006F0D5A">
      <w:pPr>
        <w:spacing w:after="0" w:line="240" w:lineRule="auto"/>
      </w:pPr>
      <w:r>
        <w:separator/>
      </w:r>
    </w:p>
  </w:footnote>
  <w:footnote w:type="continuationSeparator" w:id="0">
    <w:p w14:paraId="0A655047" w14:textId="77777777" w:rsidR="001B65FA" w:rsidRDefault="001B65FA" w:rsidP="006F0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214F"/>
    <w:multiLevelType w:val="hybridMultilevel"/>
    <w:tmpl w:val="1E54CF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FB0D5B"/>
    <w:multiLevelType w:val="hybridMultilevel"/>
    <w:tmpl w:val="09487C3A"/>
    <w:lvl w:ilvl="0" w:tplc="819CD93A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F96688D"/>
    <w:multiLevelType w:val="multilevel"/>
    <w:tmpl w:val="4CF4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45042"/>
    <w:multiLevelType w:val="hybridMultilevel"/>
    <w:tmpl w:val="47920E64"/>
    <w:lvl w:ilvl="0" w:tplc="819CD93A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6C13D08"/>
    <w:multiLevelType w:val="hybridMultilevel"/>
    <w:tmpl w:val="2B40A3F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B6A027E"/>
    <w:multiLevelType w:val="hybridMultilevel"/>
    <w:tmpl w:val="E9BC8D1C"/>
    <w:lvl w:ilvl="0" w:tplc="819CD93A">
      <w:numFmt w:val="bullet"/>
      <w:lvlText w:val="•"/>
      <w:lvlJc w:val="left"/>
      <w:pPr>
        <w:ind w:left="480" w:hanging="48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C554C85"/>
    <w:multiLevelType w:val="hybridMultilevel"/>
    <w:tmpl w:val="7A429F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63187049">
    <w:abstractNumId w:val="0"/>
  </w:num>
  <w:num w:numId="2" w16cid:durableId="1748383108">
    <w:abstractNumId w:val="3"/>
  </w:num>
  <w:num w:numId="3" w16cid:durableId="1562671304">
    <w:abstractNumId w:val="4"/>
  </w:num>
  <w:num w:numId="4" w16cid:durableId="690839358">
    <w:abstractNumId w:val="1"/>
  </w:num>
  <w:num w:numId="5" w16cid:durableId="344677173">
    <w:abstractNumId w:val="2"/>
  </w:num>
  <w:num w:numId="6" w16cid:durableId="1928727041">
    <w:abstractNumId w:val="6"/>
  </w:num>
  <w:num w:numId="7" w16cid:durableId="1051732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73"/>
    <w:rsid w:val="001B65FA"/>
    <w:rsid w:val="004D2857"/>
    <w:rsid w:val="005E05F7"/>
    <w:rsid w:val="006F0D5A"/>
    <w:rsid w:val="00BB3468"/>
    <w:rsid w:val="00C7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63A1D"/>
  <w15:chartTrackingRefBased/>
  <w15:docId w15:val="{356F8511-C0AD-479F-BCE1-CA872DBB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61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17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17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1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1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1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1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61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6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61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6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61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61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61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61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6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61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6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61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61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6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61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61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61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6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61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617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7617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76173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6F0D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F0D5A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6F0D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6F0D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insights.com" TargetMode="External"/><Relationship Id="rId13" Type="http://schemas.openxmlformats.org/officeDocument/2006/relationships/hyperlink" Target="https://www.semiconductors.org/resources/2021-state-of-the-u-s-semiconductor-industry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mi.org/en/products-services/market-data/world-fab-forecast" TargetMode="External"/><Relationship Id="rId12" Type="http://schemas.openxmlformats.org/officeDocument/2006/relationships/hyperlink" Target="https://www.pwc.com/gx/en/industries/technology/pwc-semiconductor-and-beyond-2026-full-report.pdf" TargetMode="External"/><Relationship Id="rId17" Type="http://schemas.openxmlformats.org/officeDocument/2006/relationships/hyperlink" Target="https://www.techinsights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mi.org/en/products-services/market-data/world-fab-forecas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cg.com/publications/2024/emerging-resilience-in-semiconductor-supply-cha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emiconductors.org/global-semiconductor-sales-increase-19-1-in-2024-double-digit-growth-projected-in-2025/" TargetMode="External"/><Relationship Id="rId10" Type="http://schemas.openxmlformats.org/officeDocument/2006/relationships/hyperlink" Target="https://www.bcg.com/publications/2021/strengthening-the-global-semiconductor-supply-cha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https://www.semiconductors.org/wp-content/uploads/2020/09/Government-Incentives-and-US-Competitiveness-in-Semiconductor-Manufacturing-Sep-2020.pdf" TargetMode="External"/><Relationship Id="rId14" Type="http://schemas.openxmlformats.org/officeDocument/2006/relationships/hyperlink" Target="https://www.semiconductors.org/america-projected-to-triple-semiconductor-manufacturing-capacity-by-2032-the-largest-rate-of-growth-in-the-world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934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鄭寶菁</dc:creator>
  <cp:keywords/>
  <dc:description/>
  <cp:lastModifiedBy>鄭寶菁</cp:lastModifiedBy>
  <cp:revision>3</cp:revision>
  <dcterms:created xsi:type="dcterms:W3CDTF">2026-09-03T11:34:00Z</dcterms:created>
  <dcterms:modified xsi:type="dcterms:W3CDTF">2026-09-03T12:29:00Z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2026-09-03T11:40:48Z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ca864079-bb54-4fd9-98af-99c2de560e65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