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506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The VAS scores of patients at different time points after surgery and non-inferiority test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8"/>
        <w:gridCol w:w="2312"/>
        <w:gridCol w:w="2215"/>
        <w:gridCol w:w="3458"/>
        <w:gridCol w:w="3251"/>
      </w:tblGrid>
      <w:tr w14:paraId="7C0B75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598" w:type="dxa"/>
            <w:tcBorders>
              <w:bottom w:val="single" w:color="auto" w:sz="4" w:space="0"/>
            </w:tcBorders>
          </w:tcPr>
          <w:p w14:paraId="653CEEF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2" w:type="dxa"/>
            <w:tcBorders>
              <w:bottom w:val="single" w:color="auto" w:sz="4" w:space="0"/>
            </w:tcBorders>
          </w:tcPr>
          <w:p w14:paraId="4F6FF0B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USG-TPVB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group (n = 40)</w:t>
            </w:r>
          </w:p>
        </w:tc>
        <w:tc>
          <w:tcPr>
            <w:tcW w:w="2215" w:type="dxa"/>
            <w:tcBorders>
              <w:bottom w:val="single" w:color="auto" w:sz="4" w:space="0"/>
            </w:tcBorders>
          </w:tcPr>
          <w:p w14:paraId="2A6702E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TSG-TPVB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group (n = 41)</w:t>
            </w:r>
          </w:p>
        </w:tc>
        <w:tc>
          <w:tcPr>
            <w:tcW w:w="3458" w:type="dxa"/>
            <w:tcBorders>
              <w:bottom w:val="single" w:color="auto" w:sz="4" w:space="0"/>
            </w:tcBorders>
          </w:tcPr>
          <w:p w14:paraId="22CF8B1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Estimates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of non-inferiority test (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95% C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I )</w:t>
            </w:r>
          </w:p>
        </w:tc>
        <w:tc>
          <w:tcPr>
            <w:tcW w:w="3251" w:type="dxa"/>
            <w:tcBorders>
              <w:bottom w:val="single" w:color="auto" w:sz="4" w:space="0"/>
            </w:tcBorders>
          </w:tcPr>
          <w:p w14:paraId="7F8C8AA4"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Results</w:t>
            </w:r>
          </w:p>
        </w:tc>
      </w:tr>
      <w:tr w14:paraId="3E3E7B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5BC0740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12h after the operation</w:t>
            </w:r>
          </w:p>
        </w:tc>
        <w:tc>
          <w:tcPr>
            <w:tcW w:w="231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E02B60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1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9CD79E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5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70F928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51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40895A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A00FC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C3ADD8C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kern w:val="2"/>
                <w:sz w:val="24"/>
                <w:szCs w:val="24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At rest</w:t>
            </w:r>
          </w:p>
        </w:tc>
        <w:tc>
          <w:tcPr>
            <w:tcW w:w="231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79979E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34.75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12.40</w:t>
            </w:r>
          </w:p>
        </w:tc>
        <w:tc>
          <w:tcPr>
            <w:tcW w:w="221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0712426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31.36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12.67</w:t>
            </w:r>
          </w:p>
        </w:tc>
        <w:tc>
          <w:tcPr>
            <w:tcW w:w="345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F3B503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-4.48 (-10.15, 1.18)</w:t>
            </w:r>
          </w:p>
        </w:tc>
        <w:tc>
          <w:tcPr>
            <w:tcW w:w="3251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594EE9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non-inferiority</w:t>
            </w:r>
          </w:p>
        </w:tc>
      </w:tr>
      <w:tr w14:paraId="7E9678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dxa"/>
            <w:tcBorders>
              <w:top w:val="nil"/>
            </w:tcBorders>
            <w:shd w:val="clear" w:color="auto" w:fill="auto"/>
            <w:vAlign w:val="top"/>
          </w:tcPr>
          <w:p w14:paraId="7ADF0DA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While coughing</w:t>
            </w:r>
          </w:p>
        </w:tc>
        <w:tc>
          <w:tcPr>
            <w:tcW w:w="2312" w:type="dxa"/>
            <w:tcBorders>
              <w:top w:val="nil"/>
            </w:tcBorders>
            <w:shd w:val="clear" w:color="auto" w:fill="auto"/>
            <w:vAlign w:val="top"/>
          </w:tcPr>
          <w:p w14:paraId="24F5845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53.75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11.92</w:t>
            </w:r>
          </w:p>
        </w:tc>
        <w:tc>
          <w:tcPr>
            <w:tcW w:w="2215" w:type="dxa"/>
            <w:tcBorders>
              <w:top w:val="nil"/>
            </w:tcBorders>
            <w:shd w:val="clear" w:color="auto" w:fill="auto"/>
            <w:vAlign w:val="top"/>
          </w:tcPr>
          <w:p w14:paraId="6DB9A01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49.27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14.03</w:t>
            </w:r>
          </w:p>
        </w:tc>
        <w:tc>
          <w:tcPr>
            <w:tcW w:w="3458" w:type="dxa"/>
            <w:tcBorders>
              <w:top w:val="nil"/>
            </w:tcBorders>
          </w:tcPr>
          <w:p w14:paraId="717827E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-3.29 (-8.77, 2.19)</w:t>
            </w:r>
          </w:p>
        </w:tc>
        <w:tc>
          <w:tcPr>
            <w:tcW w:w="3251" w:type="dxa"/>
            <w:tcBorders>
              <w:top w:val="nil"/>
            </w:tcBorders>
            <w:shd w:val="clear" w:color="auto" w:fill="auto"/>
            <w:vAlign w:val="top"/>
          </w:tcPr>
          <w:p w14:paraId="3F74996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non-inferiority</w:t>
            </w:r>
          </w:p>
        </w:tc>
      </w:tr>
      <w:tr w14:paraId="00042C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dxa"/>
          </w:tcPr>
          <w:p w14:paraId="690C890C">
            <w:pPr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24h after the operation</w:t>
            </w:r>
          </w:p>
        </w:tc>
        <w:tc>
          <w:tcPr>
            <w:tcW w:w="2312" w:type="dxa"/>
            <w:shd w:val="clear" w:color="auto" w:fill="auto"/>
            <w:vAlign w:val="top"/>
          </w:tcPr>
          <w:p w14:paraId="3CBAFEB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15" w:type="dxa"/>
            <w:shd w:val="clear" w:color="auto" w:fill="auto"/>
            <w:vAlign w:val="top"/>
          </w:tcPr>
          <w:p w14:paraId="318D6BF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58" w:type="dxa"/>
            <w:shd w:val="clear" w:color="auto" w:fill="auto"/>
            <w:vAlign w:val="top"/>
          </w:tcPr>
          <w:p w14:paraId="5BBDDFB8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51" w:type="dxa"/>
            <w:shd w:val="clear" w:color="auto" w:fill="auto"/>
            <w:vAlign w:val="top"/>
          </w:tcPr>
          <w:p w14:paraId="51F4062C"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0B8B35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dxa"/>
            <w:shd w:val="clear" w:color="auto" w:fill="auto"/>
            <w:vAlign w:val="top"/>
          </w:tcPr>
          <w:p w14:paraId="07A0DB3C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At rest</w:t>
            </w:r>
          </w:p>
        </w:tc>
        <w:tc>
          <w:tcPr>
            <w:tcW w:w="2312" w:type="dxa"/>
            <w:shd w:val="clear" w:color="auto" w:fill="auto"/>
            <w:vAlign w:val="top"/>
          </w:tcPr>
          <w:p w14:paraId="005393D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34.75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12.40</w:t>
            </w:r>
          </w:p>
        </w:tc>
        <w:tc>
          <w:tcPr>
            <w:tcW w:w="2215" w:type="dxa"/>
            <w:shd w:val="clear" w:color="auto" w:fill="auto"/>
            <w:vAlign w:val="top"/>
          </w:tcPr>
          <w:p w14:paraId="79EE314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29.27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9.32</w:t>
            </w:r>
          </w:p>
        </w:tc>
        <w:tc>
          <w:tcPr>
            <w:tcW w:w="3458" w:type="dxa"/>
            <w:shd w:val="clear" w:color="auto" w:fill="auto"/>
            <w:vAlign w:val="top"/>
          </w:tcPr>
          <w:p w14:paraId="529C9C1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-4.18 (-9.35, 0.98)</w:t>
            </w:r>
          </w:p>
        </w:tc>
        <w:tc>
          <w:tcPr>
            <w:tcW w:w="3251" w:type="dxa"/>
            <w:shd w:val="clear" w:color="auto" w:fill="auto"/>
            <w:vAlign w:val="top"/>
          </w:tcPr>
          <w:p w14:paraId="123E08FB"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non-inferiority</w:t>
            </w:r>
          </w:p>
        </w:tc>
      </w:tr>
      <w:tr w14:paraId="0CA557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98" w:type="dxa"/>
            <w:shd w:val="clear" w:color="auto" w:fill="auto"/>
            <w:vAlign w:val="top"/>
          </w:tcPr>
          <w:p w14:paraId="3714FDF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While coughing</w:t>
            </w:r>
          </w:p>
        </w:tc>
        <w:tc>
          <w:tcPr>
            <w:tcW w:w="2312" w:type="dxa"/>
            <w:shd w:val="clear" w:color="auto" w:fill="auto"/>
            <w:vAlign w:val="top"/>
          </w:tcPr>
          <w:p w14:paraId="221E4D8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51.50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11.67</w:t>
            </w:r>
          </w:p>
        </w:tc>
        <w:tc>
          <w:tcPr>
            <w:tcW w:w="2215" w:type="dxa"/>
            <w:shd w:val="clear" w:color="auto" w:fill="auto"/>
            <w:vAlign w:val="top"/>
          </w:tcPr>
          <w:p w14:paraId="7D4955D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47.32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12.05</w:t>
            </w:r>
          </w:p>
        </w:tc>
        <w:tc>
          <w:tcPr>
            <w:tcW w:w="3458" w:type="dxa"/>
            <w:shd w:val="clear" w:color="auto" w:fill="auto"/>
            <w:vAlign w:val="top"/>
          </w:tcPr>
          <w:p w14:paraId="15DB235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-5.48 (-10.27, -0.69)</w:t>
            </w:r>
          </w:p>
        </w:tc>
        <w:tc>
          <w:tcPr>
            <w:tcW w:w="3251" w:type="dxa"/>
            <w:shd w:val="clear" w:color="auto" w:fill="auto"/>
            <w:vAlign w:val="top"/>
          </w:tcPr>
          <w:p w14:paraId="500F6FA0"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non-inferiority and superior</w:t>
            </w:r>
          </w:p>
        </w:tc>
      </w:tr>
      <w:tr w14:paraId="520C32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dxa"/>
          </w:tcPr>
          <w:p w14:paraId="54343612">
            <w:p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48h after the operation</w:t>
            </w:r>
          </w:p>
        </w:tc>
        <w:tc>
          <w:tcPr>
            <w:tcW w:w="2312" w:type="dxa"/>
            <w:shd w:val="clear" w:color="auto" w:fill="auto"/>
            <w:vAlign w:val="top"/>
          </w:tcPr>
          <w:p w14:paraId="7130CF9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15" w:type="dxa"/>
            <w:shd w:val="clear" w:color="auto" w:fill="auto"/>
            <w:vAlign w:val="top"/>
          </w:tcPr>
          <w:p w14:paraId="2718884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58" w:type="dxa"/>
            <w:shd w:val="clear" w:color="auto" w:fill="auto"/>
            <w:vAlign w:val="top"/>
          </w:tcPr>
          <w:p w14:paraId="1063C33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51" w:type="dxa"/>
            <w:shd w:val="clear" w:color="auto" w:fill="auto"/>
            <w:vAlign w:val="top"/>
          </w:tcPr>
          <w:p w14:paraId="75680776"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771641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dxa"/>
            <w:shd w:val="clear" w:color="auto" w:fill="auto"/>
            <w:vAlign w:val="top"/>
          </w:tcPr>
          <w:p w14:paraId="0366F1F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At rest</w:t>
            </w:r>
          </w:p>
        </w:tc>
        <w:tc>
          <w:tcPr>
            <w:tcW w:w="2312" w:type="dxa"/>
            <w:shd w:val="clear" w:color="auto" w:fill="auto"/>
            <w:vAlign w:val="top"/>
          </w:tcPr>
          <w:p w14:paraId="5A9E127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28.25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8.13</w:t>
            </w:r>
          </w:p>
        </w:tc>
        <w:tc>
          <w:tcPr>
            <w:tcW w:w="2215" w:type="dxa"/>
            <w:shd w:val="clear" w:color="auto" w:fill="auto"/>
            <w:vAlign w:val="top"/>
          </w:tcPr>
          <w:p w14:paraId="4C517E9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24.88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6.75</w:t>
            </w:r>
          </w:p>
        </w:tc>
        <w:tc>
          <w:tcPr>
            <w:tcW w:w="3458" w:type="dxa"/>
            <w:shd w:val="clear" w:color="auto" w:fill="auto"/>
            <w:vAlign w:val="top"/>
          </w:tcPr>
          <w:p w14:paraId="5FCAEA6D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-7.13 (-11.82, -2.43)</w:t>
            </w:r>
          </w:p>
        </w:tc>
        <w:tc>
          <w:tcPr>
            <w:tcW w:w="3251" w:type="dxa"/>
            <w:shd w:val="clear" w:color="auto" w:fill="auto"/>
            <w:vAlign w:val="top"/>
          </w:tcPr>
          <w:p w14:paraId="28861D45"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non-inferiority and superior</w:t>
            </w:r>
          </w:p>
        </w:tc>
      </w:tr>
      <w:tr w14:paraId="3F80CD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dxa"/>
            <w:shd w:val="clear" w:color="auto" w:fill="auto"/>
            <w:vAlign w:val="top"/>
          </w:tcPr>
          <w:p w14:paraId="3463D815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While coughing</w:t>
            </w:r>
          </w:p>
        </w:tc>
        <w:tc>
          <w:tcPr>
            <w:tcW w:w="2312" w:type="dxa"/>
            <w:shd w:val="clear" w:color="auto" w:fill="auto"/>
            <w:vAlign w:val="top"/>
          </w:tcPr>
          <w:p w14:paraId="23EBDCF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42.25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11.87</w:t>
            </w:r>
          </w:p>
        </w:tc>
        <w:tc>
          <w:tcPr>
            <w:tcW w:w="2215" w:type="dxa"/>
            <w:shd w:val="clear" w:color="auto" w:fill="auto"/>
            <w:vAlign w:val="top"/>
          </w:tcPr>
          <w:p w14:paraId="6B8D8EE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35.12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9.52</w:t>
            </w:r>
          </w:p>
        </w:tc>
        <w:tc>
          <w:tcPr>
            <w:tcW w:w="3458" w:type="dxa"/>
            <w:shd w:val="clear" w:color="auto" w:fill="auto"/>
            <w:vAlign w:val="top"/>
          </w:tcPr>
          <w:p w14:paraId="0F420A7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-3.37 (-6.63, -0.11)</w:t>
            </w:r>
          </w:p>
        </w:tc>
        <w:tc>
          <w:tcPr>
            <w:tcW w:w="3251" w:type="dxa"/>
            <w:shd w:val="clear" w:color="auto" w:fill="auto"/>
            <w:vAlign w:val="top"/>
          </w:tcPr>
          <w:p w14:paraId="5EA3CFDC"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non-inferiority and superior</w:t>
            </w:r>
          </w:p>
        </w:tc>
      </w:tr>
      <w:tr w14:paraId="2C112E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dxa"/>
            <w:shd w:val="clear" w:color="auto" w:fill="auto"/>
            <w:vAlign w:val="top"/>
          </w:tcPr>
          <w:p w14:paraId="633A2AAC">
            <w:pPr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72h after the operation</w:t>
            </w:r>
          </w:p>
        </w:tc>
        <w:tc>
          <w:tcPr>
            <w:tcW w:w="2312" w:type="dxa"/>
            <w:shd w:val="clear" w:color="auto" w:fill="auto"/>
            <w:vAlign w:val="top"/>
          </w:tcPr>
          <w:p w14:paraId="469478D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15" w:type="dxa"/>
            <w:shd w:val="clear" w:color="auto" w:fill="auto"/>
            <w:vAlign w:val="top"/>
          </w:tcPr>
          <w:p w14:paraId="0F3A67C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58" w:type="dxa"/>
            <w:shd w:val="clear" w:color="auto" w:fill="auto"/>
            <w:vAlign w:val="top"/>
          </w:tcPr>
          <w:p w14:paraId="61B8EF0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51" w:type="dxa"/>
            <w:shd w:val="clear" w:color="auto" w:fill="auto"/>
            <w:vAlign w:val="top"/>
          </w:tcPr>
          <w:p w14:paraId="06DBEC42"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19B109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dxa"/>
            <w:shd w:val="clear" w:color="auto" w:fill="auto"/>
            <w:vAlign w:val="top"/>
          </w:tcPr>
          <w:p w14:paraId="0933899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At rest</w:t>
            </w:r>
          </w:p>
        </w:tc>
        <w:tc>
          <w:tcPr>
            <w:tcW w:w="2312" w:type="dxa"/>
            <w:shd w:val="clear" w:color="auto" w:fill="auto"/>
            <w:vAlign w:val="top"/>
          </w:tcPr>
          <w:p w14:paraId="2064DC6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26.25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8.07</w:t>
            </w:r>
          </w:p>
        </w:tc>
        <w:tc>
          <w:tcPr>
            <w:tcW w:w="2215" w:type="dxa"/>
            <w:shd w:val="clear" w:color="auto" w:fill="auto"/>
            <w:vAlign w:val="top"/>
          </w:tcPr>
          <w:p w14:paraId="2DC50F3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23.66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6.23</w:t>
            </w:r>
          </w:p>
        </w:tc>
        <w:tc>
          <w:tcPr>
            <w:tcW w:w="3458" w:type="dxa"/>
            <w:shd w:val="clear" w:color="auto" w:fill="auto"/>
            <w:vAlign w:val="top"/>
          </w:tcPr>
          <w:p w14:paraId="34BFEC6D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-3.19 (-7.06, 0.68)</w:t>
            </w:r>
          </w:p>
        </w:tc>
        <w:tc>
          <w:tcPr>
            <w:tcW w:w="3251" w:type="dxa"/>
            <w:shd w:val="clear" w:color="auto" w:fill="auto"/>
            <w:vAlign w:val="top"/>
          </w:tcPr>
          <w:p w14:paraId="5C93821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non-inferiority</w:t>
            </w:r>
          </w:p>
        </w:tc>
      </w:tr>
      <w:tr w14:paraId="0D9917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dxa"/>
            <w:shd w:val="clear" w:color="auto" w:fill="auto"/>
            <w:vAlign w:val="top"/>
          </w:tcPr>
          <w:p w14:paraId="6E3A38B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While coughing</w:t>
            </w:r>
          </w:p>
        </w:tc>
        <w:tc>
          <w:tcPr>
            <w:tcW w:w="2312" w:type="dxa"/>
            <w:shd w:val="clear" w:color="auto" w:fill="auto"/>
            <w:vAlign w:val="top"/>
          </w:tcPr>
          <w:p w14:paraId="66DE271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30.75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8.59</w:t>
            </w:r>
          </w:p>
        </w:tc>
        <w:tc>
          <w:tcPr>
            <w:tcW w:w="2215" w:type="dxa"/>
            <w:shd w:val="clear" w:color="auto" w:fill="auto"/>
            <w:vAlign w:val="top"/>
          </w:tcPr>
          <w:p w14:paraId="713B65F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27.56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9.16</w:t>
            </w:r>
          </w:p>
        </w:tc>
        <w:tc>
          <w:tcPr>
            <w:tcW w:w="3458" w:type="dxa"/>
            <w:shd w:val="clear" w:color="auto" w:fill="auto"/>
            <w:vAlign w:val="top"/>
          </w:tcPr>
          <w:p w14:paraId="46B4E9B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-2.84 (-5.97, 0.30)</w:t>
            </w:r>
          </w:p>
        </w:tc>
        <w:tc>
          <w:tcPr>
            <w:tcW w:w="3251" w:type="dxa"/>
            <w:shd w:val="clear" w:color="auto" w:fill="auto"/>
            <w:vAlign w:val="top"/>
          </w:tcPr>
          <w:p w14:paraId="35D4E54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non-inferiority</w:t>
            </w:r>
          </w:p>
        </w:tc>
      </w:tr>
    </w:tbl>
    <w:p w14:paraId="4F9C91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GB" w:eastAsia="zh-CN"/>
        </w:rPr>
        <w:t xml:space="preserve">USG-TPVB,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GB" w:eastAsia="zh-CN"/>
        </w:rPr>
        <w:t>ultrasound-guided thoracic paravertebral nerve block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GB" w:eastAsia="zh-CN"/>
        </w:rPr>
        <w:t xml:space="preserve">; TSG-TPVB,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GB" w:eastAsia="zh-CN"/>
        </w:rPr>
        <w:t>horacoscopic-guided thoracic paravertebral nerve block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GB" w:eastAsia="zh-CN"/>
        </w:rPr>
        <w:t xml:space="preserve">;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CI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GB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c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GB" w:eastAsia="zh-CN"/>
        </w:rPr>
        <w:t>onfidence Interval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; VAS,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GB" w:eastAsia="zh-CN"/>
        </w:rPr>
        <w:t>visual analog sc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GB" w:eastAsia="zh-CN"/>
        </w:rPr>
        <w:t>ale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TIX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lmNTI2MjQyZTJlZGMwMzdhYmRjMjViZmZhYTIyODcifQ=="/>
  </w:docVars>
  <w:rsids>
    <w:rsidRoot w:val="006A57A6"/>
    <w:rsid w:val="00000EA2"/>
    <w:rsid w:val="000534EF"/>
    <w:rsid w:val="000619CB"/>
    <w:rsid w:val="00070007"/>
    <w:rsid w:val="00080F6D"/>
    <w:rsid w:val="000A0BA5"/>
    <w:rsid w:val="000C593D"/>
    <w:rsid w:val="000D200D"/>
    <w:rsid w:val="000D460D"/>
    <w:rsid w:val="000E334A"/>
    <w:rsid w:val="0011748C"/>
    <w:rsid w:val="00117EE7"/>
    <w:rsid w:val="00131C5D"/>
    <w:rsid w:val="00151554"/>
    <w:rsid w:val="00155AC5"/>
    <w:rsid w:val="00155CA3"/>
    <w:rsid w:val="00156D82"/>
    <w:rsid w:val="00164972"/>
    <w:rsid w:val="00177A2A"/>
    <w:rsid w:val="00190EA8"/>
    <w:rsid w:val="001B0239"/>
    <w:rsid w:val="001C1D6E"/>
    <w:rsid w:val="001D037D"/>
    <w:rsid w:val="001D1E33"/>
    <w:rsid w:val="001E073E"/>
    <w:rsid w:val="001E4313"/>
    <w:rsid w:val="002019BB"/>
    <w:rsid w:val="00206278"/>
    <w:rsid w:val="00235C62"/>
    <w:rsid w:val="002437F8"/>
    <w:rsid w:val="00254B57"/>
    <w:rsid w:val="002A3565"/>
    <w:rsid w:val="002D0812"/>
    <w:rsid w:val="002D26A4"/>
    <w:rsid w:val="002D2F79"/>
    <w:rsid w:val="0030246C"/>
    <w:rsid w:val="0031670D"/>
    <w:rsid w:val="00316E83"/>
    <w:rsid w:val="00334159"/>
    <w:rsid w:val="00336193"/>
    <w:rsid w:val="0036554D"/>
    <w:rsid w:val="00387CAC"/>
    <w:rsid w:val="003B1DEF"/>
    <w:rsid w:val="003C4FCB"/>
    <w:rsid w:val="003D3697"/>
    <w:rsid w:val="003D3F97"/>
    <w:rsid w:val="003D68E0"/>
    <w:rsid w:val="003D6978"/>
    <w:rsid w:val="003D748F"/>
    <w:rsid w:val="003E1CEB"/>
    <w:rsid w:val="003F093A"/>
    <w:rsid w:val="003F4001"/>
    <w:rsid w:val="00407135"/>
    <w:rsid w:val="004372A7"/>
    <w:rsid w:val="00441462"/>
    <w:rsid w:val="00451D83"/>
    <w:rsid w:val="0045385D"/>
    <w:rsid w:val="00453F6E"/>
    <w:rsid w:val="00462DE6"/>
    <w:rsid w:val="00474ABB"/>
    <w:rsid w:val="00485C22"/>
    <w:rsid w:val="004864D1"/>
    <w:rsid w:val="00490633"/>
    <w:rsid w:val="004911EC"/>
    <w:rsid w:val="004A3AAF"/>
    <w:rsid w:val="004B669F"/>
    <w:rsid w:val="004D4983"/>
    <w:rsid w:val="00501D79"/>
    <w:rsid w:val="00504553"/>
    <w:rsid w:val="005305A9"/>
    <w:rsid w:val="0054065E"/>
    <w:rsid w:val="005819E0"/>
    <w:rsid w:val="00592EFA"/>
    <w:rsid w:val="005C51A1"/>
    <w:rsid w:val="005D746C"/>
    <w:rsid w:val="005E74D8"/>
    <w:rsid w:val="00612CAE"/>
    <w:rsid w:val="00621CC9"/>
    <w:rsid w:val="006234F3"/>
    <w:rsid w:val="00635E52"/>
    <w:rsid w:val="00642DC1"/>
    <w:rsid w:val="00656D39"/>
    <w:rsid w:val="006729D0"/>
    <w:rsid w:val="00681417"/>
    <w:rsid w:val="00683F8E"/>
    <w:rsid w:val="00691F13"/>
    <w:rsid w:val="00691F5F"/>
    <w:rsid w:val="00692EB5"/>
    <w:rsid w:val="006A0380"/>
    <w:rsid w:val="006A57A6"/>
    <w:rsid w:val="006B37ED"/>
    <w:rsid w:val="006B43F5"/>
    <w:rsid w:val="006C2FC4"/>
    <w:rsid w:val="006E4CFD"/>
    <w:rsid w:val="006E5689"/>
    <w:rsid w:val="006E79B8"/>
    <w:rsid w:val="006E7A33"/>
    <w:rsid w:val="006F4D2E"/>
    <w:rsid w:val="007071DD"/>
    <w:rsid w:val="00734B3F"/>
    <w:rsid w:val="00745798"/>
    <w:rsid w:val="00747ACB"/>
    <w:rsid w:val="00762446"/>
    <w:rsid w:val="007B15F0"/>
    <w:rsid w:val="007F28E9"/>
    <w:rsid w:val="00803E76"/>
    <w:rsid w:val="008146D3"/>
    <w:rsid w:val="00855C94"/>
    <w:rsid w:val="008658C5"/>
    <w:rsid w:val="00885CDE"/>
    <w:rsid w:val="00890FAE"/>
    <w:rsid w:val="008D3946"/>
    <w:rsid w:val="00912114"/>
    <w:rsid w:val="00920CBD"/>
    <w:rsid w:val="00940F8A"/>
    <w:rsid w:val="00941DF8"/>
    <w:rsid w:val="009622E5"/>
    <w:rsid w:val="00963439"/>
    <w:rsid w:val="009C55F2"/>
    <w:rsid w:val="009F476E"/>
    <w:rsid w:val="00A80C13"/>
    <w:rsid w:val="00AA3A11"/>
    <w:rsid w:val="00AB3E0A"/>
    <w:rsid w:val="00AB5D8B"/>
    <w:rsid w:val="00AC6299"/>
    <w:rsid w:val="00AD10EA"/>
    <w:rsid w:val="00AE7EAA"/>
    <w:rsid w:val="00AF5771"/>
    <w:rsid w:val="00B1487C"/>
    <w:rsid w:val="00B164F7"/>
    <w:rsid w:val="00B256AA"/>
    <w:rsid w:val="00B54E87"/>
    <w:rsid w:val="00B706FF"/>
    <w:rsid w:val="00B90F31"/>
    <w:rsid w:val="00BA5EE3"/>
    <w:rsid w:val="00BB02F2"/>
    <w:rsid w:val="00BC58FB"/>
    <w:rsid w:val="00BD5188"/>
    <w:rsid w:val="00BD7441"/>
    <w:rsid w:val="00BD7985"/>
    <w:rsid w:val="00BE5766"/>
    <w:rsid w:val="00C2078F"/>
    <w:rsid w:val="00C27D91"/>
    <w:rsid w:val="00C53B23"/>
    <w:rsid w:val="00C77BFA"/>
    <w:rsid w:val="00C80164"/>
    <w:rsid w:val="00C815E5"/>
    <w:rsid w:val="00C9728B"/>
    <w:rsid w:val="00C973CF"/>
    <w:rsid w:val="00CA376F"/>
    <w:rsid w:val="00CB3F77"/>
    <w:rsid w:val="00CC2A0F"/>
    <w:rsid w:val="00CC2A85"/>
    <w:rsid w:val="00CC6676"/>
    <w:rsid w:val="00CC6762"/>
    <w:rsid w:val="00CF0BAE"/>
    <w:rsid w:val="00D0099E"/>
    <w:rsid w:val="00D02E9B"/>
    <w:rsid w:val="00D10D78"/>
    <w:rsid w:val="00D1388B"/>
    <w:rsid w:val="00D34D74"/>
    <w:rsid w:val="00D74983"/>
    <w:rsid w:val="00D75690"/>
    <w:rsid w:val="00DD09BC"/>
    <w:rsid w:val="00DD6C30"/>
    <w:rsid w:val="00DF258E"/>
    <w:rsid w:val="00E01CDA"/>
    <w:rsid w:val="00E02E0F"/>
    <w:rsid w:val="00E1382B"/>
    <w:rsid w:val="00E44CE3"/>
    <w:rsid w:val="00E650C0"/>
    <w:rsid w:val="00E65BC0"/>
    <w:rsid w:val="00E73C15"/>
    <w:rsid w:val="00E73E6B"/>
    <w:rsid w:val="00E73EC0"/>
    <w:rsid w:val="00E83065"/>
    <w:rsid w:val="00E953B2"/>
    <w:rsid w:val="00EB61C2"/>
    <w:rsid w:val="00EF6200"/>
    <w:rsid w:val="00F07021"/>
    <w:rsid w:val="00F552A6"/>
    <w:rsid w:val="00F809C5"/>
    <w:rsid w:val="00F8578F"/>
    <w:rsid w:val="00F8752F"/>
    <w:rsid w:val="00FD714A"/>
    <w:rsid w:val="00FE2C7E"/>
    <w:rsid w:val="00FE3274"/>
    <w:rsid w:val="01163D76"/>
    <w:rsid w:val="04D72E3F"/>
    <w:rsid w:val="05F9793C"/>
    <w:rsid w:val="06613A15"/>
    <w:rsid w:val="07DA39EA"/>
    <w:rsid w:val="09FC0229"/>
    <w:rsid w:val="0B8A5FFB"/>
    <w:rsid w:val="0D520F56"/>
    <w:rsid w:val="0FFC71B4"/>
    <w:rsid w:val="14304CCC"/>
    <w:rsid w:val="147B3986"/>
    <w:rsid w:val="184705D1"/>
    <w:rsid w:val="186E6566"/>
    <w:rsid w:val="19061474"/>
    <w:rsid w:val="1A3E0B22"/>
    <w:rsid w:val="1BBA6660"/>
    <w:rsid w:val="1BFD616E"/>
    <w:rsid w:val="1C583DD1"/>
    <w:rsid w:val="1CD66224"/>
    <w:rsid w:val="1ECA040A"/>
    <w:rsid w:val="1F877331"/>
    <w:rsid w:val="20290002"/>
    <w:rsid w:val="20C97BB7"/>
    <w:rsid w:val="21FC36DB"/>
    <w:rsid w:val="24561DB4"/>
    <w:rsid w:val="24AE20BD"/>
    <w:rsid w:val="250F124A"/>
    <w:rsid w:val="26AC207F"/>
    <w:rsid w:val="30514255"/>
    <w:rsid w:val="380F2C89"/>
    <w:rsid w:val="38141E8D"/>
    <w:rsid w:val="3C3F463A"/>
    <w:rsid w:val="3D0221DE"/>
    <w:rsid w:val="3E157D47"/>
    <w:rsid w:val="3EE7388F"/>
    <w:rsid w:val="3F501C39"/>
    <w:rsid w:val="423B5CA2"/>
    <w:rsid w:val="42870765"/>
    <w:rsid w:val="4302517F"/>
    <w:rsid w:val="44C16841"/>
    <w:rsid w:val="47404FD7"/>
    <w:rsid w:val="47483757"/>
    <w:rsid w:val="4827576D"/>
    <w:rsid w:val="4A786082"/>
    <w:rsid w:val="4ADC5A35"/>
    <w:rsid w:val="4BF61E51"/>
    <w:rsid w:val="4C520007"/>
    <w:rsid w:val="4D1A0E7E"/>
    <w:rsid w:val="4F0635B2"/>
    <w:rsid w:val="54D84931"/>
    <w:rsid w:val="55AD2140"/>
    <w:rsid w:val="56E03980"/>
    <w:rsid w:val="5890288B"/>
    <w:rsid w:val="5B2F0C26"/>
    <w:rsid w:val="5D996E0C"/>
    <w:rsid w:val="61EA3B0A"/>
    <w:rsid w:val="64383B06"/>
    <w:rsid w:val="699351BA"/>
    <w:rsid w:val="6C6D0A5E"/>
    <w:rsid w:val="6E2F2524"/>
    <w:rsid w:val="72C250FD"/>
    <w:rsid w:val="73ED4EB2"/>
    <w:rsid w:val="742F1F5A"/>
    <w:rsid w:val="77C200BE"/>
    <w:rsid w:val="77E119A1"/>
    <w:rsid w:val="78823001"/>
    <w:rsid w:val="7A9D07A4"/>
    <w:rsid w:val="7C1F06AE"/>
    <w:rsid w:val="7D0B089C"/>
    <w:rsid w:val="7D720436"/>
    <w:rsid w:val="7D8A4FFC"/>
    <w:rsid w:val="7FED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autoRedefine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sz w:val="18"/>
      <w:szCs w:val="18"/>
    </w:rPr>
  </w:style>
  <w:style w:type="character" w:customStyle="1" w:styleId="11">
    <w:name w:val="fontstyle01"/>
    <w:basedOn w:val="6"/>
    <w:autoRedefine/>
    <w:qFormat/>
    <w:uiPriority w:val="0"/>
    <w:rPr>
      <w:rFonts w:hint="default" w:ascii="STIX-Regular" w:hAnsi="STIX-Regular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CB51D-C3BB-48A0-A610-6B9857CF44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961</Characters>
  <Lines>20</Lines>
  <Paragraphs>5</Paragraphs>
  <TotalTime>295</TotalTime>
  <ScaleCrop>false</ScaleCrop>
  <LinksUpToDate>false</LinksUpToDate>
  <CharactersWithSpaces>1052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2021-08-15T13:54:00Z</dcterms:created>
  <dc:creator>zhulongfei</dc:creator>
  <cp:lastModifiedBy>Mr. Zhu</cp:lastModifiedBy>
  <dcterms:modified xsi:type="dcterms:W3CDTF">2026-07-29T08:21:12Z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AAD336AEE83149679C670E56EA44CB22</vt:lpwstr>
  </property>
  <property fmtid="{D5CDD505-2E9C-101B-9397-08002B2CF9AE}" pid="4" name="KSOTemplateDocerSaveRecord">
    <vt:lpwstr>eyJoZGlkIjoiODlmNTI2MjQyZTJlZGMwMzdhYmRjMjViZmZhYTIyODciLCJ1c2VySWQiOiI5ODUyMTUyMzgifQ==</vt:lpwstr>
  </property>
</Properties>
</file>