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D830DE" w14:textId="77777777" w:rsidR="008077E5" w:rsidRPr="00655D34" w:rsidRDefault="008077E5" w:rsidP="008077E5">
      <w:pPr>
        <w:tabs>
          <w:tab w:val="left" w:pos="2723"/>
        </w:tabs>
        <w:spacing w:line="360" w:lineRule="auto"/>
        <w:jc w:val="both"/>
        <w:rPr>
          <w:rFonts w:ascii="Arial" w:eastAsia="Arial" w:hAnsi="Arial" w:cs="Arial"/>
          <w:b/>
          <w:bCs/>
          <w:sz w:val="24"/>
          <w:szCs w:val="24"/>
          <w:lang w:val="en-GB"/>
        </w:rPr>
      </w:pPr>
      <w:r w:rsidRPr="00655D34">
        <w:rPr>
          <w:rFonts w:ascii="Arial" w:eastAsia="Arial" w:hAnsi="Arial" w:cs="Arial"/>
          <w:b/>
          <w:bCs/>
          <w:sz w:val="24"/>
          <w:szCs w:val="24"/>
          <w:lang w:val="en-GB"/>
        </w:rPr>
        <w:t xml:space="preserve">Supplementary </w:t>
      </w:r>
      <w:r>
        <w:rPr>
          <w:rFonts w:ascii="Arial" w:eastAsia="Arial" w:hAnsi="Arial" w:cs="Arial"/>
          <w:b/>
          <w:bCs/>
          <w:sz w:val="24"/>
          <w:szCs w:val="24"/>
          <w:lang w:val="en-GB"/>
        </w:rPr>
        <w:t>Figures</w:t>
      </w:r>
    </w:p>
    <w:p w14:paraId="3AD76D38" w14:textId="77777777" w:rsidR="008077E5" w:rsidRPr="00655D34" w:rsidRDefault="008077E5" w:rsidP="008077E5">
      <w:pPr>
        <w:tabs>
          <w:tab w:val="left" w:pos="2723"/>
        </w:tabs>
        <w:spacing w:after="0" w:line="240" w:lineRule="auto"/>
        <w:jc w:val="center"/>
        <w:rPr>
          <w:rFonts w:ascii="Arial" w:eastAsia="Arial" w:hAnsi="Arial" w:cs="Arial"/>
          <w:sz w:val="24"/>
          <w:szCs w:val="24"/>
          <w:lang w:val="en-GB"/>
        </w:rPr>
      </w:pPr>
      <w:r w:rsidRPr="00655D34">
        <w:rPr>
          <w:rFonts w:ascii="Arial" w:eastAsia="Arial" w:hAnsi="Arial" w:cs="Arial"/>
          <w:noProof/>
          <w:sz w:val="24"/>
          <w:szCs w:val="24"/>
          <w:lang w:val="en-GB"/>
        </w:rPr>
        <w:drawing>
          <wp:inline distT="0" distB="0" distL="0" distR="0" wp14:anchorId="643E2A99" wp14:editId="3FF52405">
            <wp:extent cx="4591138" cy="1800000"/>
            <wp:effectExtent l="0" t="0" r="0" b="3810"/>
            <wp:docPr id="1846979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979200" name="Picture 1846979200"/>
                    <pic:cNvPicPr/>
                  </pic:nvPicPr>
                  <pic:blipFill>
                    <a:blip r:embed="rId4" cstate="print">
                      <a:extLst>
                        <a:ext uri="{28A0092B-C50C-407E-A947-70E740481C1C}">
                          <a14:useLocalDpi xmlns:a14="http://schemas.microsoft.com/office/drawing/2010/main" val="0"/>
                        </a:ext>
                      </a:extLst>
                    </a:blip>
                    <a:stretch>
                      <a:fillRect/>
                    </a:stretch>
                  </pic:blipFill>
                  <pic:spPr>
                    <a:xfrm>
                      <a:off x="0" y="0"/>
                      <a:ext cx="4591138" cy="1800000"/>
                    </a:xfrm>
                    <a:prstGeom prst="rect">
                      <a:avLst/>
                    </a:prstGeom>
                  </pic:spPr>
                </pic:pic>
              </a:graphicData>
            </a:graphic>
          </wp:inline>
        </w:drawing>
      </w:r>
    </w:p>
    <w:p w14:paraId="7585DC81" w14:textId="77777777" w:rsidR="008077E5" w:rsidRPr="00655D34" w:rsidRDefault="008077E5" w:rsidP="008077E5">
      <w:pPr>
        <w:tabs>
          <w:tab w:val="left" w:pos="2723"/>
        </w:tabs>
        <w:spacing w:after="0" w:line="240" w:lineRule="auto"/>
        <w:jc w:val="both"/>
        <w:rPr>
          <w:rFonts w:ascii="Arial" w:eastAsia="Arial" w:hAnsi="Arial" w:cs="Arial"/>
          <w:b/>
          <w:bCs/>
          <w:sz w:val="20"/>
          <w:szCs w:val="20"/>
          <w:lang w:val="en-GB"/>
        </w:rPr>
      </w:pPr>
    </w:p>
    <w:p w14:paraId="2B692592"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r w:rsidRPr="00655D34">
        <w:rPr>
          <w:rFonts w:ascii="Arial" w:eastAsia="Arial" w:hAnsi="Arial" w:cs="Arial"/>
          <w:b/>
          <w:bCs/>
          <w:sz w:val="20"/>
          <w:szCs w:val="20"/>
          <w:lang w:val="en-GB"/>
        </w:rPr>
        <w:t xml:space="preserve">Figure S1. SbIII pressure reduces m6A levels in </w:t>
      </w:r>
      <w:r w:rsidRPr="00655D34">
        <w:rPr>
          <w:rFonts w:ascii="Arial" w:eastAsia="Arial" w:hAnsi="Arial" w:cs="Arial"/>
          <w:b/>
          <w:bCs/>
          <w:i/>
          <w:iCs/>
          <w:sz w:val="20"/>
          <w:szCs w:val="20"/>
          <w:lang w:val="en-GB"/>
        </w:rPr>
        <w:t>L. infantum</w:t>
      </w:r>
      <w:r w:rsidRPr="00655D34">
        <w:rPr>
          <w:rFonts w:ascii="Arial" w:eastAsia="Arial" w:hAnsi="Arial" w:cs="Arial"/>
          <w:b/>
          <w:bCs/>
          <w:sz w:val="20"/>
          <w:szCs w:val="20"/>
          <w:lang w:val="en-GB"/>
        </w:rPr>
        <w:t xml:space="preserve">. A. </w:t>
      </w:r>
      <w:r w:rsidRPr="00655D34">
        <w:rPr>
          <w:rFonts w:ascii="Arial" w:eastAsia="Arial" w:hAnsi="Arial" w:cs="Arial"/>
          <w:sz w:val="20"/>
          <w:szCs w:val="20"/>
          <w:lang w:val="en-GB"/>
        </w:rPr>
        <w:t xml:space="preserve">Total RNA from </w:t>
      </w:r>
      <w:r w:rsidRPr="00655D34">
        <w:rPr>
          <w:rFonts w:ascii="Arial" w:eastAsia="Arial" w:hAnsi="Arial" w:cs="Arial"/>
          <w:i/>
          <w:iCs/>
          <w:sz w:val="20"/>
          <w:szCs w:val="20"/>
          <w:lang w:val="en-GB"/>
        </w:rPr>
        <w:t>L. infantum</w:t>
      </w:r>
      <w:r w:rsidRPr="00655D34">
        <w:rPr>
          <w:rFonts w:ascii="Arial" w:eastAsia="Arial" w:hAnsi="Arial" w:cs="Arial"/>
          <w:sz w:val="20"/>
          <w:szCs w:val="20"/>
          <w:lang w:val="en-GB"/>
        </w:rPr>
        <w:t xml:space="preserve"> promastigotes exposed or not to increasing concentrations of SbIII was analysed by immuno-northern blot (INB) using an anti-m6A antibody to assess changes in m6A levels. Higher SbIII concentrations were associated with a progressive decrease in m6A levels. Experiments were performed in triplicate, and the image shown is representative of all replicates. MB: methylene blue staining indicating RNA integrity and equal loading. </w:t>
      </w:r>
      <w:r w:rsidRPr="00655D34">
        <w:rPr>
          <w:rFonts w:ascii="Arial" w:eastAsia="Arial" w:hAnsi="Arial" w:cs="Arial"/>
          <w:b/>
          <w:bCs/>
          <w:sz w:val="20"/>
          <w:szCs w:val="20"/>
          <w:lang w:val="en-GB"/>
        </w:rPr>
        <w:t>B.</w:t>
      </w:r>
      <w:r w:rsidRPr="00655D34">
        <w:rPr>
          <w:rFonts w:ascii="Arial" w:eastAsia="Arial" w:hAnsi="Arial" w:cs="Arial"/>
          <w:sz w:val="20"/>
          <w:szCs w:val="20"/>
          <w:lang w:val="en-GB"/>
        </w:rPr>
        <w:t xml:space="preserve"> Quantification of m6A levels from the three independent experiments shown in panel A. </w:t>
      </w:r>
    </w:p>
    <w:p w14:paraId="7BD30A4F"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p>
    <w:p w14:paraId="6A3F6259"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p>
    <w:p w14:paraId="1CACCE85" w14:textId="77777777" w:rsidR="008077E5" w:rsidRPr="00655D34" w:rsidRDefault="008077E5" w:rsidP="008077E5">
      <w:pPr>
        <w:tabs>
          <w:tab w:val="left" w:pos="2723"/>
        </w:tabs>
        <w:spacing w:after="0" w:line="240" w:lineRule="auto"/>
        <w:jc w:val="center"/>
        <w:rPr>
          <w:rFonts w:ascii="Arial" w:eastAsia="Arial" w:hAnsi="Arial" w:cs="Arial"/>
          <w:sz w:val="20"/>
          <w:szCs w:val="20"/>
          <w:lang w:val="en-GB"/>
        </w:rPr>
      </w:pPr>
      <w:r w:rsidRPr="00655D34">
        <w:rPr>
          <w:rFonts w:ascii="Arial" w:eastAsia="Arial" w:hAnsi="Arial" w:cs="Arial"/>
          <w:noProof/>
          <w:sz w:val="20"/>
          <w:szCs w:val="20"/>
          <w:lang w:val="en-GB"/>
        </w:rPr>
        <w:drawing>
          <wp:inline distT="0" distB="0" distL="0" distR="0" wp14:anchorId="3A73B7FF" wp14:editId="046685DC">
            <wp:extent cx="4693564" cy="1620000"/>
            <wp:effectExtent l="0" t="0" r="5715" b="5715"/>
            <wp:docPr id="21086667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66715" name="Picture 2108666715"/>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93564" cy="1620000"/>
                    </a:xfrm>
                    <a:prstGeom prst="rect">
                      <a:avLst/>
                    </a:prstGeom>
                  </pic:spPr>
                </pic:pic>
              </a:graphicData>
            </a:graphic>
          </wp:inline>
        </w:drawing>
      </w:r>
    </w:p>
    <w:p w14:paraId="2C7B8428" w14:textId="77777777" w:rsidR="008077E5" w:rsidRPr="00655D34" w:rsidRDefault="008077E5" w:rsidP="008077E5">
      <w:pPr>
        <w:tabs>
          <w:tab w:val="left" w:pos="2723"/>
        </w:tabs>
        <w:spacing w:after="0" w:line="240" w:lineRule="auto"/>
        <w:jc w:val="center"/>
        <w:rPr>
          <w:rFonts w:ascii="Arial" w:eastAsia="Arial" w:hAnsi="Arial" w:cs="Arial"/>
          <w:sz w:val="20"/>
          <w:szCs w:val="20"/>
          <w:lang w:val="en-GB"/>
        </w:rPr>
      </w:pPr>
    </w:p>
    <w:p w14:paraId="1989C315"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r w:rsidRPr="00655D34">
        <w:rPr>
          <w:rFonts w:ascii="Arial" w:eastAsia="Arial" w:hAnsi="Arial" w:cs="Arial"/>
          <w:b/>
          <w:bCs/>
          <w:sz w:val="20"/>
          <w:szCs w:val="20"/>
          <w:lang w:val="en-GB"/>
        </w:rPr>
        <w:t xml:space="preserve">Figure S2. Re-exposure to SbIII pressure reduces m6A levels in previously drug-free cultured </w:t>
      </w:r>
      <w:r w:rsidRPr="00655D34">
        <w:rPr>
          <w:rFonts w:ascii="Arial" w:eastAsia="Arial" w:hAnsi="Arial" w:cs="Arial"/>
          <w:b/>
          <w:bCs/>
          <w:i/>
          <w:iCs/>
          <w:sz w:val="20"/>
          <w:szCs w:val="20"/>
          <w:lang w:val="en-GB"/>
        </w:rPr>
        <w:t>L. infantum</w:t>
      </w:r>
      <w:r w:rsidRPr="00655D34">
        <w:rPr>
          <w:rFonts w:ascii="Arial" w:eastAsia="Arial" w:hAnsi="Arial" w:cs="Arial"/>
          <w:b/>
          <w:bCs/>
          <w:sz w:val="20"/>
          <w:szCs w:val="20"/>
          <w:lang w:val="en-GB"/>
        </w:rPr>
        <w:t xml:space="preserve">. A. </w:t>
      </w:r>
      <w:r w:rsidRPr="00655D34">
        <w:rPr>
          <w:rFonts w:ascii="Arial" w:eastAsia="Arial" w:hAnsi="Arial" w:cs="Arial"/>
          <w:sz w:val="20"/>
          <w:szCs w:val="20"/>
          <w:lang w:val="en-GB"/>
        </w:rPr>
        <w:t xml:space="preserve">Total RNA samples were collected from </w:t>
      </w:r>
      <w:r w:rsidRPr="00655D34">
        <w:rPr>
          <w:rFonts w:ascii="Arial" w:eastAsia="Arial" w:hAnsi="Arial" w:cs="Arial"/>
          <w:i/>
          <w:iCs/>
          <w:sz w:val="20"/>
          <w:szCs w:val="20"/>
          <w:lang w:val="en-GB"/>
        </w:rPr>
        <w:t>L. infantum</w:t>
      </w:r>
      <w:r w:rsidRPr="00655D34">
        <w:rPr>
          <w:rFonts w:ascii="Arial" w:eastAsia="Arial" w:hAnsi="Arial" w:cs="Arial"/>
          <w:sz w:val="20"/>
          <w:szCs w:val="20"/>
          <w:lang w:val="en-GB"/>
        </w:rPr>
        <w:t xml:space="preserve"> SbIII-resistant parasites (SbR) clone LinF R1, and from parasites cultured for 9 (P9) and 18 (P18) passages in drug-free medium, subsequently re-exposed (+) or not re-exposed (−) to SbIII pressure. m6A methylation levels were assessed by INB using an anti-m6A antibody.</w:t>
      </w:r>
      <w:r w:rsidRPr="00655D34">
        <w:rPr>
          <w:rFonts w:ascii="Arial" w:eastAsia="Arial" w:hAnsi="Arial" w:cs="Arial"/>
          <w:b/>
          <w:bCs/>
          <w:sz w:val="20"/>
          <w:szCs w:val="20"/>
          <w:lang w:val="en-GB"/>
        </w:rPr>
        <w:t xml:space="preserve"> B. </w:t>
      </w:r>
      <w:r w:rsidRPr="00655D34">
        <w:rPr>
          <w:rFonts w:ascii="Arial" w:eastAsia="Arial" w:hAnsi="Arial" w:cs="Arial"/>
          <w:sz w:val="20"/>
          <w:szCs w:val="20"/>
          <w:lang w:val="en-GB"/>
        </w:rPr>
        <w:t>Quantification of m6A signal intensity in arbitrary units (AU). Experiments were performed in three independent experiments (mean ± SD); differences between (−) and (+) conditions were not statistically significant. MB: methylene blue.</w:t>
      </w:r>
    </w:p>
    <w:p w14:paraId="550DBA38"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p>
    <w:p w14:paraId="0AADDC06" w14:textId="77777777" w:rsidR="008077E5" w:rsidRPr="00655D34" w:rsidRDefault="008077E5" w:rsidP="008077E5">
      <w:pPr>
        <w:tabs>
          <w:tab w:val="left" w:pos="2723"/>
        </w:tabs>
        <w:spacing w:after="0" w:line="240" w:lineRule="auto"/>
        <w:jc w:val="center"/>
        <w:rPr>
          <w:rFonts w:ascii="Arial" w:eastAsia="Arial" w:hAnsi="Arial" w:cs="Arial"/>
          <w:sz w:val="20"/>
          <w:szCs w:val="20"/>
          <w:lang w:val="en-GB"/>
        </w:rPr>
      </w:pPr>
      <w:r w:rsidRPr="00655D34">
        <w:rPr>
          <w:rFonts w:ascii="Arial" w:eastAsia="Arial" w:hAnsi="Arial" w:cs="Arial"/>
          <w:noProof/>
          <w:sz w:val="20"/>
          <w:szCs w:val="20"/>
          <w:lang w:val="en-GB"/>
        </w:rPr>
        <w:lastRenderedPageBreak/>
        <w:drawing>
          <wp:inline distT="0" distB="0" distL="0" distR="0" wp14:anchorId="6C2A02B0" wp14:editId="22B61BDE">
            <wp:extent cx="2527150" cy="3600000"/>
            <wp:effectExtent l="0" t="0" r="635" b="0"/>
            <wp:docPr id="599474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74250" name="Picture 599474250"/>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27150" cy="3600000"/>
                    </a:xfrm>
                    <a:prstGeom prst="rect">
                      <a:avLst/>
                    </a:prstGeom>
                  </pic:spPr>
                </pic:pic>
              </a:graphicData>
            </a:graphic>
          </wp:inline>
        </w:drawing>
      </w:r>
    </w:p>
    <w:p w14:paraId="4ADE9850"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p>
    <w:p w14:paraId="58860F80"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r w:rsidRPr="00655D34">
        <w:rPr>
          <w:rFonts w:ascii="Arial" w:eastAsia="Arial" w:hAnsi="Arial" w:cs="Arial"/>
          <w:b/>
          <w:bCs/>
          <w:sz w:val="20"/>
          <w:szCs w:val="20"/>
          <w:lang w:val="en-GB"/>
        </w:rPr>
        <w:t>Figure S3. Positional distribution and sequence context of m6A sites are invariant across strains. A.</w:t>
      </w:r>
      <w:r w:rsidRPr="00655D34">
        <w:rPr>
          <w:rFonts w:ascii="Arial" w:eastAsia="Arial" w:hAnsi="Arial" w:cs="Arial"/>
          <w:sz w:val="20"/>
          <w:szCs w:val="20"/>
          <w:lang w:val="en-GB"/>
        </w:rPr>
        <w:t xml:space="preserve"> Metagene density profiles of m6A-site positions relative to the coding-sequence boundaries, plotted as the distance (kb) of each site to the transcription/translation START (top) and to the STOP (bottom), for SbS (blue), SbR (green) and P18 (orange/red). m6A sites are concentrated immediately downstream of the START and upstream of the STOP, and the three strains show essentially superimposable distributions, except an increase deposition close to STOP codon for SbR. </w:t>
      </w:r>
      <w:r w:rsidRPr="00655D34">
        <w:rPr>
          <w:rFonts w:ascii="Arial" w:eastAsia="Arial" w:hAnsi="Arial" w:cs="Arial"/>
          <w:b/>
          <w:bCs/>
          <w:sz w:val="20"/>
          <w:szCs w:val="20"/>
          <w:lang w:val="en-GB"/>
        </w:rPr>
        <w:t>B.</w:t>
      </w:r>
      <w:r w:rsidRPr="00655D34">
        <w:rPr>
          <w:rFonts w:ascii="Arial" w:eastAsia="Arial" w:hAnsi="Arial" w:cs="Arial"/>
          <w:sz w:val="20"/>
          <w:szCs w:val="20"/>
          <w:lang w:val="en-GB"/>
        </w:rPr>
        <w:t xml:space="preserve"> Sequence context of all high confidence m6A sites (n = 12,530 unique sites, pooled across strains). Left: information-content sequence logo of the five nucleotides spanning positions −2 to +2 around the modified adenosine (m6A), showing a strong G-G-A-C-U consensus (the modified A is flanked by two 5′ guanines and a 3′ C; T shown in DNA notation corresponds to U in RNA). Right: frequency of the six most common 5-mer contexts among all sites; the canonical GGAC(U) motif accounts for 82.7% of sites, with all sites conforming to the DRACH consensus. The near-invariant, strongly constrained motif indicates that antimony resistance alters the amount and location of methylation rather than its sequence specificity.</w:t>
      </w:r>
    </w:p>
    <w:p w14:paraId="2A0D848F" w14:textId="77777777" w:rsidR="008077E5" w:rsidRPr="00655D34" w:rsidRDefault="008077E5" w:rsidP="008077E5">
      <w:pPr>
        <w:tabs>
          <w:tab w:val="left" w:pos="2723"/>
        </w:tabs>
        <w:spacing w:after="0" w:line="240" w:lineRule="auto"/>
        <w:jc w:val="center"/>
        <w:rPr>
          <w:rFonts w:ascii="Arial" w:eastAsia="Arial" w:hAnsi="Arial" w:cs="Arial"/>
          <w:sz w:val="20"/>
          <w:szCs w:val="20"/>
          <w:lang w:val="en-GB"/>
        </w:rPr>
      </w:pPr>
      <w:r w:rsidRPr="00655D34">
        <w:rPr>
          <w:rFonts w:ascii="Arial" w:eastAsia="Arial" w:hAnsi="Arial" w:cs="Arial"/>
          <w:noProof/>
          <w:sz w:val="20"/>
          <w:szCs w:val="20"/>
          <w:lang w:val="en-GB"/>
        </w:rPr>
        <w:lastRenderedPageBreak/>
        <w:drawing>
          <wp:inline distT="0" distB="0" distL="0" distR="0" wp14:anchorId="3F57C5C7" wp14:editId="254B2AA0">
            <wp:extent cx="3996053" cy="6120000"/>
            <wp:effectExtent l="0" t="0" r="5080" b="1905"/>
            <wp:docPr id="20215499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49965" name="Picture 20215499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96053" cy="6120000"/>
                    </a:xfrm>
                    <a:prstGeom prst="rect">
                      <a:avLst/>
                    </a:prstGeom>
                  </pic:spPr>
                </pic:pic>
              </a:graphicData>
            </a:graphic>
          </wp:inline>
        </w:drawing>
      </w:r>
    </w:p>
    <w:p w14:paraId="63A31A5E" w14:textId="77777777" w:rsidR="008077E5" w:rsidRPr="00655D34" w:rsidRDefault="008077E5" w:rsidP="008077E5">
      <w:pPr>
        <w:tabs>
          <w:tab w:val="left" w:pos="2723"/>
        </w:tabs>
        <w:spacing w:after="0" w:line="240" w:lineRule="auto"/>
        <w:jc w:val="both"/>
        <w:rPr>
          <w:rFonts w:ascii="Arial" w:eastAsia="Arial" w:hAnsi="Arial" w:cs="Arial"/>
          <w:b/>
          <w:bCs/>
          <w:sz w:val="20"/>
          <w:szCs w:val="20"/>
          <w:lang w:val="en-GB"/>
        </w:rPr>
      </w:pPr>
    </w:p>
    <w:p w14:paraId="03377FBD"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r w:rsidRPr="00655D34">
        <w:rPr>
          <w:rFonts w:ascii="Arial" w:eastAsia="Arial" w:hAnsi="Arial" w:cs="Arial"/>
          <w:b/>
          <w:bCs/>
          <w:sz w:val="20"/>
          <w:szCs w:val="20"/>
          <w:lang w:val="en-GB"/>
        </w:rPr>
        <w:t>Supplementary Figure S4. Differential gene expression and m6A methylation among the SbS, SbR, and P18 cell lines. A.</w:t>
      </w:r>
      <w:r w:rsidRPr="00655D34">
        <w:rPr>
          <w:rFonts w:ascii="Arial" w:eastAsia="Arial" w:hAnsi="Arial" w:cs="Arial"/>
          <w:sz w:val="20"/>
          <w:szCs w:val="20"/>
          <w:lang w:val="en-GB"/>
        </w:rPr>
        <w:t xml:space="preserve"> Volcano plots of differential expression (DE; DESeq2) for the three pairwise comparisons (SbS vs SbR, P18 vs SbR, SbS vs P18). Genes passing both thresholds (padj &lt; 0.05 and log</w:t>
      </w:r>
      <w:r w:rsidRPr="00655D34">
        <w:rPr>
          <w:rFonts w:ascii="Cambria Math" w:eastAsia="Arial" w:hAnsi="Cambria Math" w:cs="Cambria Math"/>
          <w:sz w:val="20"/>
          <w:szCs w:val="20"/>
          <w:lang w:val="en-GB"/>
        </w:rPr>
        <w:t>₂</w:t>
      </w:r>
      <w:r w:rsidRPr="00655D34">
        <w:rPr>
          <w:rFonts w:ascii="Arial" w:eastAsia="Arial" w:hAnsi="Arial" w:cs="Arial"/>
          <w:sz w:val="20"/>
          <w:szCs w:val="20"/>
          <w:lang w:val="en-GB"/>
        </w:rPr>
        <w:t xml:space="preserve">FC &gt; 1) are shown in red; dashed lines mark the fold-change and significance cut-offs. </w:t>
      </w:r>
      <w:r w:rsidRPr="00655D34">
        <w:rPr>
          <w:rFonts w:ascii="Arial" w:eastAsia="Arial" w:hAnsi="Arial" w:cs="Arial"/>
          <w:b/>
          <w:bCs/>
          <w:sz w:val="20"/>
          <w:szCs w:val="20"/>
          <w:lang w:val="en-GB"/>
        </w:rPr>
        <w:t>B.</w:t>
      </w:r>
      <w:r w:rsidRPr="00655D34">
        <w:rPr>
          <w:rFonts w:ascii="Arial" w:eastAsia="Arial" w:hAnsi="Arial" w:cs="Arial"/>
          <w:sz w:val="20"/>
          <w:szCs w:val="20"/>
          <w:lang w:val="en-GB"/>
        </w:rPr>
        <w:t xml:space="preserve"> Three-way Venn diagrams of DE genes, split by direction (downregulated, left; upregulated, right). A total of 831, 695, and 1,317 genes were differentially expressed in SbS-vs-SbR, SbS-vs-P18, and P18-vs-SbR, respectively, with downregulation predominating (~2:1) in every comparison. Thirty genes were downregulated across all three comparisons, whereas no gene was upregulated in common. </w:t>
      </w:r>
      <w:r w:rsidRPr="00655D34">
        <w:rPr>
          <w:rFonts w:ascii="Arial" w:eastAsia="Arial" w:hAnsi="Arial" w:cs="Arial"/>
          <w:b/>
          <w:bCs/>
          <w:sz w:val="20"/>
          <w:szCs w:val="20"/>
          <w:lang w:val="en-GB"/>
        </w:rPr>
        <w:t>C.</w:t>
      </w:r>
      <w:r w:rsidRPr="00655D34">
        <w:rPr>
          <w:rFonts w:ascii="Arial" w:eastAsia="Arial" w:hAnsi="Arial" w:cs="Arial"/>
          <w:sz w:val="20"/>
          <w:szCs w:val="20"/>
          <w:lang w:val="en-GB"/>
        </w:rPr>
        <w:t xml:space="preserve"> Volcano plots of differential m6A methylation (DM), plotted and thresholded as in (A) but applied to per-gene m6A read counts. </w:t>
      </w:r>
      <w:r w:rsidRPr="00655D34">
        <w:rPr>
          <w:rFonts w:ascii="Arial" w:eastAsia="Arial" w:hAnsi="Arial" w:cs="Arial"/>
          <w:b/>
          <w:bCs/>
          <w:sz w:val="20"/>
          <w:szCs w:val="20"/>
          <w:lang w:val="en-GB"/>
        </w:rPr>
        <w:t>D.</w:t>
      </w:r>
      <w:r w:rsidRPr="00655D34">
        <w:rPr>
          <w:rFonts w:ascii="Arial" w:eastAsia="Arial" w:hAnsi="Arial" w:cs="Arial"/>
          <w:sz w:val="20"/>
          <w:szCs w:val="20"/>
          <w:lang w:val="en-GB"/>
        </w:rPr>
        <w:t xml:space="preserve"> Three-way Venn diagrams of DM genes, split by direction (down-methylated, left; up-methylated, right). A total of 74, 36, and 126 genes were differentially methylated in SbS-vs-SbR, SbS-vs-P18, and P18-vs-SbR, respectively. The two comparisons sharing SbR (SbS-vs-SbR and P18-vs-SbR) shared 50 DM genes, all changing in the same direction (45 co-down-methylated, 5 co-up-methylated), whereas the SbS-vs-P18 and P18-vs-SbR sets overlapped in only 19 genes, all in opposite directions. In all panels, comparisons are labelled with the reference cell line first (e.g., "SbS vs SbR" denotes changes in SbR relative to SbS).</w:t>
      </w:r>
    </w:p>
    <w:p w14:paraId="032C253E" w14:textId="77777777" w:rsidR="008077E5" w:rsidRPr="00655D34" w:rsidRDefault="008077E5" w:rsidP="008077E5">
      <w:pPr>
        <w:tabs>
          <w:tab w:val="left" w:pos="2723"/>
        </w:tabs>
        <w:spacing w:after="0" w:line="240" w:lineRule="auto"/>
        <w:jc w:val="both"/>
        <w:rPr>
          <w:rFonts w:ascii="Arial" w:eastAsia="Arial" w:hAnsi="Arial" w:cs="Arial"/>
          <w:b/>
          <w:bCs/>
          <w:sz w:val="20"/>
          <w:szCs w:val="20"/>
          <w:lang w:val="en-GB"/>
        </w:rPr>
      </w:pPr>
      <w:r w:rsidRPr="00655D34">
        <w:rPr>
          <w:rFonts w:ascii="Arial" w:eastAsia="Arial" w:hAnsi="Arial" w:cs="Arial"/>
          <w:b/>
          <w:bCs/>
          <w:noProof/>
          <w:sz w:val="20"/>
          <w:szCs w:val="20"/>
          <w:lang w:val="en-GB"/>
        </w:rPr>
        <w:lastRenderedPageBreak/>
        <w:drawing>
          <wp:inline distT="0" distB="0" distL="0" distR="0" wp14:anchorId="4FAF12F7" wp14:editId="0A777B94">
            <wp:extent cx="5107063" cy="2628000"/>
            <wp:effectExtent l="0" t="0" r="0" b="1270"/>
            <wp:docPr id="311731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31259" name="Picture 31173125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07063" cy="2628000"/>
                    </a:xfrm>
                    <a:prstGeom prst="rect">
                      <a:avLst/>
                    </a:prstGeom>
                  </pic:spPr>
                </pic:pic>
              </a:graphicData>
            </a:graphic>
          </wp:inline>
        </w:drawing>
      </w:r>
    </w:p>
    <w:p w14:paraId="4F9D7C1D" w14:textId="77777777" w:rsidR="008077E5" w:rsidRPr="00655D34" w:rsidRDefault="008077E5" w:rsidP="008077E5">
      <w:pPr>
        <w:tabs>
          <w:tab w:val="left" w:pos="2723"/>
        </w:tabs>
        <w:spacing w:after="0" w:line="240" w:lineRule="auto"/>
        <w:jc w:val="both"/>
        <w:rPr>
          <w:rFonts w:ascii="Arial" w:eastAsia="Arial" w:hAnsi="Arial" w:cs="Arial"/>
          <w:b/>
          <w:bCs/>
          <w:sz w:val="20"/>
          <w:szCs w:val="20"/>
          <w:lang w:val="en-GB"/>
        </w:rPr>
      </w:pPr>
    </w:p>
    <w:p w14:paraId="67AF4509"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bookmarkStart w:id="0" w:name="OLE_LINK23"/>
      <w:r w:rsidRPr="00655D34">
        <w:rPr>
          <w:rFonts w:ascii="Arial" w:eastAsia="Arial" w:hAnsi="Arial" w:cs="Arial"/>
          <w:b/>
          <w:bCs/>
          <w:sz w:val="20"/>
          <w:szCs w:val="20"/>
          <w:lang w:val="en-GB"/>
        </w:rPr>
        <w:t>Supplementary Figure S5.</w:t>
      </w:r>
      <w:bookmarkEnd w:id="0"/>
      <w:r w:rsidRPr="00655D34">
        <w:rPr>
          <w:rFonts w:ascii="Arial" w:eastAsia="Arial" w:hAnsi="Arial" w:cs="Arial"/>
          <w:b/>
          <w:bCs/>
          <w:sz w:val="20"/>
          <w:szCs w:val="20"/>
          <w:lang w:val="en-GB"/>
        </w:rPr>
        <w:t xml:space="preserve"> Differential m6A methylation and expression of curated antimony-resistance genes across the three lines.</w:t>
      </w:r>
      <w:r w:rsidRPr="00655D34">
        <w:rPr>
          <w:rFonts w:ascii="Arial" w:eastAsia="Arial" w:hAnsi="Arial" w:cs="Arial"/>
          <w:sz w:val="20"/>
          <w:szCs w:val="20"/>
          <w:lang w:val="en-GB"/>
        </w:rPr>
        <w:t xml:space="preserve"> Heatmap of the 26 curated drug-resistance genes for which m6A modification was detected, showing, for each of the three pairwise comparisons (SbS vs SbR, SbS vs P18, P18 vs SbR), the differential m6A methylation (DM) and differential gene expression (DE) as DESeq2 log</w:t>
      </w:r>
      <w:r w:rsidRPr="00655D34">
        <w:rPr>
          <w:rFonts w:ascii="Cambria Math" w:eastAsia="Arial" w:hAnsi="Cambria Math" w:cs="Cambria Math"/>
          <w:sz w:val="20"/>
          <w:szCs w:val="20"/>
          <w:lang w:val="en-GB"/>
        </w:rPr>
        <w:t>₂</w:t>
      </w:r>
      <w:r w:rsidRPr="00655D34">
        <w:rPr>
          <w:rFonts w:ascii="Arial" w:eastAsia="Arial" w:hAnsi="Arial" w:cs="Arial"/>
          <w:sz w:val="20"/>
          <w:szCs w:val="20"/>
          <w:lang w:val="en-GB"/>
        </w:rPr>
        <w:t xml:space="preserve"> fold-changes. Each gene occupies one row, labeled with its protein name, symbol, and gene identifier; the two columns per comparison give the DM (left) and DE (right) log</w:t>
      </w:r>
      <w:r w:rsidRPr="00655D34">
        <w:rPr>
          <w:rFonts w:ascii="Cambria Math" w:eastAsia="Arial" w:hAnsi="Cambria Math" w:cs="Cambria Math"/>
          <w:sz w:val="20"/>
          <w:szCs w:val="20"/>
          <w:lang w:val="en-GB"/>
        </w:rPr>
        <w:t>₂</w:t>
      </w:r>
      <w:r w:rsidRPr="00655D34">
        <w:rPr>
          <w:rFonts w:ascii="Arial" w:eastAsia="Arial" w:hAnsi="Arial" w:cs="Arial"/>
          <w:sz w:val="20"/>
          <w:szCs w:val="20"/>
          <w:lang w:val="en-GB"/>
        </w:rPr>
        <w:t>FC, with the reference line listed first. Positive DM indicates a gain and negative DM a loss of m6A methylation; positive and negative DE indicate up- and downregulation, respectively. The DE cell for PRP1 (LINF_310021100) is blank because no expression estimate passed filtering for that gene, so it was excluded from the DM–DE correlation in Figure 8B (n = 25 of 26 genes).</w:t>
      </w:r>
    </w:p>
    <w:p w14:paraId="49F86108"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p>
    <w:p w14:paraId="58AF45EC"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p>
    <w:p w14:paraId="571A5CA7"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p>
    <w:p w14:paraId="29615E6B" w14:textId="77777777" w:rsidR="008077E5" w:rsidRPr="00655D34" w:rsidRDefault="008077E5" w:rsidP="008077E5">
      <w:pPr>
        <w:tabs>
          <w:tab w:val="left" w:pos="2723"/>
        </w:tabs>
        <w:spacing w:after="0" w:line="240" w:lineRule="auto"/>
        <w:jc w:val="center"/>
        <w:rPr>
          <w:rFonts w:ascii="Arial" w:eastAsia="Arial" w:hAnsi="Arial" w:cs="Arial"/>
          <w:sz w:val="20"/>
          <w:szCs w:val="20"/>
          <w:lang w:val="en-GB"/>
        </w:rPr>
      </w:pPr>
      <w:r w:rsidRPr="00655D34">
        <w:rPr>
          <w:rFonts w:ascii="Arial" w:eastAsia="Arial" w:hAnsi="Arial" w:cs="Arial"/>
          <w:noProof/>
          <w:sz w:val="20"/>
          <w:szCs w:val="20"/>
          <w:lang w:val="en-GB"/>
        </w:rPr>
        <w:drawing>
          <wp:inline distT="0" distB="0" distL="0" distR="0" wp14:anchorId="24CC9B2F" wp14:editId="586A1950">
            <wp:extent cx="2527300" cy="2743200"/>
            <wp:effectExtent l="0" t="0" r="0" b="0"/>
            <wp:docPr id="190955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5961" name="Picture 1909559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27300" cy="2743200"/>
                    </a:xfrm>
                    <a:prstGeom prst="rect">
                      <a:avLst/>
                    </a:prstGeom>
                  </pic:spPr>
                </pic:pic>
              </a:graphicData>
            </a:graphic>
          </wp:inline>
        </w:drawing>
      </w:r>
    </w:p>
    <w:p w14:paraId="176FE9FE" w14:textId="77777777" w:rsidR="008077E5" w:rsidRPr="00655D34" w:rsidRDefault="008077E5" w:rsidP="008077E5">
      <w:pPr>
        <w:tabs>
          <w:tab w:val="left" w:pos="2723"/>
        </w:tabs>
        <w:spacing w:after="0" w:line="240" w:lineRule="auto"/>
        <w:jc w:val="both"/>
        <w:rPr>
          <w:rFonts w:ascii="Arial" w:eastAsia="Arial" w:hAnsi="Arial" w:cs="Arial"/>
          <w:sz w:val="20"/>
          <w:szCs w:val="20"/>
          <w:lang w:val="en-GB"/>
        </w:rPr>
      </w:pPr>
    </w:p>
    <w:p w14:paraId="3B7074D0" w14:textId="77777777" w:rsidR="008077E5" w:rsidRPr="007E1D1A" w:rsidRDefault="008077E5" w:rsidP="008077E5">
      <w:pPr>
        <w:tabs>
          <w:tab w:val="left" w:pos="2723"/>
        </w:tabs>
        <w:spacing w:after="0" w:line="240" w:lineRule="auto"/>
        <w:jc w:val="both"/>
        <w:rPr>
          <w:rFonts w:ascii="Arial" w:eastAsia="Arial" w:hAnsi="Arial" w:cs="Arial"/>
          <w:sz w:val="20"/>
          <w:szCs w:val="20"/>
          <w:lang w:val="en-GB"/>
        </w:rPr>
      </w:pPr>
      <w:r w:rsidRPr="00655D34">
        <w:rPr>
          <w:rFonts w:ascii="Arial" w:eastAsia="Arial" w:hAnsi="Arial" w:cs="Arial"/>
          <w:b/>
          <w:bCs/>
          <w:sz w:val="20"/>
          <w:szCs w:val="20"/>
          <w:lang w:val="en-GB"/>
        </w:rPr>
        <w:t xml:space="preserve">Supplementary Figure S6. Enrichment of </w:t>
      </w:r>
      <w:r w:rsidRPr="00655D34">
        <w:rPr>
          <w:rFonts w:ascii="Arial" w:eastAsia="Arial" w:hAnsi="Arial" w:cs="Arial"/>
          <w:b/>
          <w:bCs/>
          <w:i/>
          <w:iCs/>
          <w:sz w:val="20"/>
          <w:szCs w:val="20"/>
          <w:lang w:val="en-GB"/>
        </w:rPr>
        <w:t>L. infantum</w:t>
      </w:r>
      <w:r w:rsidRPr="00655D34">
        <w:rPr>
          <w:rFonts w:ascii="Arial" w:eastAsia="Arial" w:hAnsi="Arial" w:cs="Arial"/>
          <w:b/>
          <w:bCs/>
          <w:sz w:val="20"/>
          <w:szCs w:val="20"/>
          <w:lang w:val="en-GB"/>
        </w:rPr>
        <w:t xml:space="preserve"> m6A gene sets among transcripts selectively translated under antimonial pressure.</w:t>
      </w:r>
      <w:r w:rsidRPr="00655D34">
        <w:rPr>
          <w:rFonts w:ascii="Arial" w:eastAsia="Arial" w:hAnsi="Arial" w:cs="Arial"/>
          <w:sz w:val="20"/>
          <w:szCs w:val="20"/>
          <w:lang w:val="en-GB"/>
        </w:rPr>
        <w:t xml:space="preserve"> Bar chart showing the fold enrichment of three progressively specific </w:t>
      </w:r>
      <w:r w:rsidRPr="00655D34">
        <w:rPr>
          <w:rFonts w:ascii="Arial" w:eastAsia="Arial" w:hAnsi="Arial" w:cs="Arial"/>
          <w:i/>
          <w:iCs/>
          <w:sz w:val="20"/>
          <w:szCs w:val="20"/>
          <w:lang w:val="en-GB"/>
        </w:rPr>
        <w:t>L. infantum</w:t>
      </w:r>
      <w:r w:rsidRPr="00655D34">
        <w:rPr>
          <w:rFonts w:ascii="Arial" w:eastAsia="Arial" w:hAnsi="Arial" w:cs="Arial"/>
          <w:sz w:val="20"/>
          <w:szCs w:val="20"/>
          <w:lang w:val="en-GB"/>
        </w:rPr>
        <w:t xml:space="preserve"> m6A gene sets among transcripts identified by Gutierrez Guarnizo et al. (2023) as selectively recruited to heavy polysomes in antimonial-resistant </w:t>
      </w:r>
      <w:r w:rsidRPr="00655D34">
        <w:rPr>
          <w:rFonts w:ascii="Arial" w:eastAsia="Arial" w:hAnsi="Arial" w:cs="Arial"/>
          <w:i/>
          <w:iCs/>
          <w:sz w:val="20"/>
          <w:szCs w:val="20"/>
          <w:lang w:val="en-GB"/>
        </w:rPr>
        <w:t>L. tropica</w:t>
      </w:r>
      <w:r w:rsidRPr="00655D34">
        <w:rPr>
          <w:rFonts w:ascii="Arial" w:eastAsia="Arial" w:hAnsi="Arial" w:cs="Arial"/>
          <w:sz w:val="20"/>
          <w:szCs w:val="20"/>
          <w:lang w:val="en-GB"/>
        </w:rPr>
        <w:t xml:space="preserve"> under drug challenge. For each gene set, </w:t>
      </w:r>
      <w:r w:rsidRPr="00655D34">
        <w:rPr>
          <w:rFonts w:ascii="Arial" w:eastAsia="Arial" w:hAnsi="Arial" w:cs="Arial"/>
          <w:i/>
          <w:iCs/>
          <w:sz w:val="20"/>
          <w:szCs w:val="20"/>
          <w:lang w:val="en-GB"/>
        </w:rPr>
        <w:t>L. infantum</w:t>
      </w:r>
      <w:r w:rsidRPr="00655D34">
        <w:rPr>
          <w:rFonts w:ascii="Arial" w:eastAsia="Arial" w:hAnsi="Arial" w:cs="Arial"/>
          <w:sz w:val="20"/>
          <w:szCs w:val="20"/>
          <w:lang w:val="en-GB"/>
        </w:rPr>
        <w:t xml:space="preserve"> genes were mapped to </w:t>
      </w:r>
      <w:r w:rsidRPr="00655D34">
        <w:rPr>
          <w:rFonts w:ascii="Arial" w:eastAsia="Arial" w:hAnsi="Arial" w:cs="Arial"/>
          <w:i/>
          <w:iCs/>
          <w:sz w:val="20"/>
          <w:szCs w:val="20"/>
          <w:lang w:val="en-GB"/>
        </w:rPr>
        <w:t>L. major</w:t>
      </w:r>
      <w:r w:rsidRPr="00655D34">
        <w:rPr>
          <w:rFonts w:ascii="Arial" w:eastAsia="Arial" w:hAnsi="Arial" w:cs="Arial"/>
          <w:sz w:val="20"/>
          <w:szCs w:val="20"/>
          <w:lang w:val="en-GB"/>
        </w:rPr>
        <w:t xml:space="preserve"> orthologues and the overlap with the Gutierrez Guarnizo translationally selected list was assessed by hypergeometric test, using all </w:t>
      </w:r>
      <w:r w:rsidRPr="00655D34">
        <w:rPr>
          <w:rFonts w:ascii="Arial" w:eastAsia="Arial" w:hAnsi="Arial" w:cs="Arial"/>
          <w:i/>
          <w:iCs/>
          <w:sz w:val="20"/>
          <w:szCs w:val="20"/>
          <w:lang w:val="en-GB"/>
        </w:rPr>
        <w:t>L. infantum</w:t>
      </w:r>
      <w:r w:rsidRPr="00655D34">
        <w:rPr>
          <w:rFonts w:ascii="Arial" w:eastAsia="Arial" w:hAnsi="Arial" w:cs="Arial"/>
          <w:sz w:val="20"/>
          <w:szCs w:val="20"/>
          <w:lang w:val="en-GB"/>
        </w:rPr>
        <w:t xml:space="preserve">-expressed genes with a recoverable </w:t>
      </w:r>
      <w:r w:rsidRPr="00655D34">
        <w:rPr>
          <w:rFonts w:ascii="Arial" w:eastAsia="Arial" w:hAnsi="Arial" w:cs="Arial"/>
          <w:i/>
          <w:iCs/>
          <w:sz w:val="20"/>
          <w:szCs w:val="20"/>
          <w:lang w:val="en-GB"/>
        </w:rPr>
        <w:t>L. major</w:t>
      </w:r>
      <w:r w:rsidRPr="00655D34">
        <w:rPr>
          <w:rFonts w:ascii="Arial" w:eastAsia="Arial" w:hAnsi="Arial" w:cs="Arial"/>
          <w:sz w:val="20"/>
          <w:szCs w:val="20"/>
          <w:lang w:val="en-GB"/>
        </w:rPr>
        <w:t xml:space="preserve"> orthologue as the background universe. Fold enrichment is defined as the ratio of observed to </w:t>
      </w:r>
      <w:r w:rsidRPr="00655D34">
        <w:rPr>
          <w:rFonts w:ascii="Arial" w:eastAsia="Arial" w:hAnsi="Arial" w:cs="Arial"/>
          <w:sz w:val="20"/>
          <w:szCs w:val="20"/>
          <w:lang w:val="en-GB"/>
        </w:rPr>
        <w:lastRenderedPageBreak/>
        <w:t xml:space="preserve">expected overlap under the hypergeometric null. The dashed line at 1 indicates no enrichment relative to chance. The three gene sets tested are: all m6A-modified genes detected across the three </w:t>
      </w:r>
      <w:r w:rsidRPr="00655D34">
        <w:rPr>
          <w:rFonts w:ascii="Arial" w:eastAsia="Arial" w:hAnsi="Arial" w:cs="Arial"/>
          <w:i/>
          <w:iCs/>
          <w:sz w:val="20"/>
          <w:szCs w:val="20"/>
          <w:lang w:val="en-GB"/>
        </w:rPr>
        <w:t>L. infantum</w:t>
      </w:r>
      <w:r w:rsidRPr="00655D34">
        <w:rPr>
          <w:rFonts w:ascii="Arial" w:eastAsia="Arial" w:hAnsi="Arial" w:cs="Arial"/>
          <w:sz w:val="20"/>
          <w:szCs w:val="20"/>
          <w:lang w:val="en-GB"/>
        </w:rPr>
        <w:t xml:space="preserve"> strains (genome-wide; n = 5,408); genes differentially methylated (DM) in at least one pairwise comparison (padj &lt; 0.05; n = 155); and the curated panel of antimonial-resistance genes carrying m6A modifications, mapped to their </w:t>
      </w:r>
      <w:r w:rsidRPr="00655D34">
        <w:rPr>
          <w:rFonts w:ascii="Arial" w:eastAsia="Arial" w:hAnsi="Arial" w:cs="Arial"/>
          <w:i/>
          <w:iCs/>
          <w:sz w:val="20"/>
          <w:szCs w:val="20"/>
          <w:lang w:val="en-GB"/>
        </w:rPr>
        <w:t>L. major</w:t>
      </w:r>
      <w:r w:rsidRPr="00655D34">
        <w:rPr>
          <w:rFonts w:ascii="Arial" w:eastAsia="Arial" w:hAnsi="Arial" w:cs="Arial"/>
          <w:sz w:val="20"/>
          <w:szCs w:val="20"/>
          <w:lang w:val="en-GB"/>
        </w:rPr>
        <w:t xml:space="preserve"> orthologues (n = 38; corresponding to 25 </w:t>
      </w:r>
      <w:r w:rsidRPr="00655D34">
        <w:rPr>
          <w:rFonts w:ascii="Arial" w:eastAsia="Arial" w:hAnsi="Arial" w:cs="Arial"/>
          <w:i/>
          <w:iCs/>
          <w:sz w:val="20"/>
          <w:szCs w:val="20"/>
          <w:lang w:val="en-GB"/>
        </w:rPr>
        <w:t>L. infantum</w:t>
      </w:r>
      <w:r w:rsidRPr="00655D34">
        <w:rPr>
          <w:rFonts w:ascii="Arial" w:eastAsia="Arial" w:hAnsi="Arial" w:cs="Arial"/>
          <w:sz w:val="20"/>
          <w:szCs w:val="20"/>
          <w:lang w:val="en-GB"/>
        </w:rPr>
        <w:t xml:space="preserve"> resistance genes). Enrichment values and significance are shown above each bar. *** hypergeometric </w:t>
      </w:r>
      <w:r w:rsidRPr="00655D34">
        <w:rPr>
          <w:rFonts w:ascii="Arial" w:eastAsia="Arial" w:hAnsi="Arial" w:cs="Arial"/>
          <w:i/>
          <w:iCs/>
          <w:sz w:val="20"/>
          <w:szCs w:val="20"/>
          <w:lang w:val="en-GB"/>
        </w:rPr>
        <w:t>p</w:t>
      </w:r>
      <w:r w:rsidRPr="00655D34">
        <w:rPr>
          <w:rFonts w:ascii="Arial" w:eastAsia="Arial" w:hAnsi="Arial" w:cs="Arial"/>
          <w:sz w:val="20"/>
          <w:szCs w:val="20"/>
          <w:lang w:val="en-GB"/>
        </w:rPr>
        <w:t xml:space="preserve"> &lt; 0.001; n.s., not significant.</w:t>
      </w:r>
    </w:p>
    <w:p w14:paraId="5482D109" w14:textId="77777777" w:rsidR="008077E5" w:rsidRDefault="008077E5"/>
    <w:sectPr w:rsidR="008077E5" w:rsidSect="008077E5">
      <w:footerReference w:type="default" r:id="rId10"/>
      <w:pgSz w:w="11906" w:h="16838"/>
      <w:pgMar w:top="1417" w:right="1701" w:bottom="1417" w:left="1701" w:header="708" w:footer="708" w:gutter="0"/>
      <w:lnNumType w:countBy="1" w:restart="continuous"/>
      <w:pgNumType w:start="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59F796" w14:textId="77777777" w:rsidR="008077E5" w:rsidRDefault="008077E5">
    <w:pPr>
      <w:pBdr>
        <w:top w:val="nil"/>
        <w:left w:val="nil"/>
        <w:bottom w:val="nil"/>
        <w:right w:val="nil"/>
        <w:between w:val="nil"/>
      </w:pBdr>
      <w:tabs>
        <w:tab w:val="center" w:pos="4252"/>
        <w:tab w:val="right" w:pos="8504"/>
      </w:tabs>
      <w:spacing w:after="0" w:line="240" w:lineRule="auto"/>
      <w:jc w:val="right"/>
      <w:rPr>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0B7C3A6B" w14:textId="77777777" w:rsidR="008077E5" w:rsidRDefault="008077E5">
    <w:pPr>
      <w:pBdr>
        <w:top w:val="nil"/>
        <w:left w:val="nil"/>
        <w:bottom w:val="nil"/>
        <w:right w:val="nil"/>
        <w:between w:val="nil"/>
      </w:pBdr>
      <w:tabs>
        <w:tab w:val="center" w:pos="4252"/>
        <w:tab w:val="right" w:pos="8504"/>
      </w:tabs>
      <w:spacing w:after="0" w:line="240" w:lineRule="auto"/>
      <w:rPr>
        <w:color w:val="000000"/>
      </w:rPr>
    </w:pPr>
  </w:p>
</w:ft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7E5"/>
    <w:rsid w:val="008077E5"/>
    <w:rsid w:val="00DB1B57"/>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4:docId w14:val="241AFC42"/>
  <w15:chartTrackingRefBased/>
  <w15:docId w15:val="{DE161AB0-93D8-7A4D-897E-62A4C1F96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E5"/>
    <w:pPr>
      <w:spacing w:line="259" w:lineRule="auto"/>
    </w:pPr>
    <w:rPr>
      <w:rFonts w:ascii="Calibri" w:eastAsia="Calibri" w:hAnsi="Calibri" w:cs="Calibri"/>
      <w:kern w:val="0"/>
      <w:sz w:val="22"/>
      <w:szCs w:val="22"/>
      <w:lang w:val="en-US" w:eastAsia="pt-BR"/>
      <w14:ligatures w14:val="none"/>
    </w:rPr>
  </w:style>
  <w:style w:type="paragraph" w:styleId="Heading1">
    <w:name w:val="heading 1"/>
    <w:basedOn w:val="Normal"/>
    <w:next w:val="Normal"/>
    <w:link w:val="Heading1Char"/>
    <w:uiPriority w:val="9"/>
    <w:qFormat/>
    <w:rsid w:val="008077E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BR" w:eastAsia="en-US"/>
      <w14:ligatures w14:val="standardContextual"/>
    </w:rPr>
  </w:style>
  <w:style w:type="paragraph" w:styleId="Heading2">
    <w:name w:val="heading 2"/>
    <w:basedOn w:val="Normal"/>
    <w:next w:val="Normal"/>
    <w:link w:val="Heading2Char"/>
    <w:uiPriority w:val="9"/>
    <w:semiHidden/>
    <w:unhideWhenUsed/>
    <w:qFormat/>
    <w:rsid w:val="008077E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BR" w:eastAsia="en-US"/>
      <w14:ligatures w14:val="standardContextual"/>
    </w:rPr>
  </w:style>
  <w:style w:type="paragraph" w:styleId="Heading3">
    <w:name w:val="heading 3"/>
    <w:basedOn w:val="Normal"/>
    <w:next w:val="Normal"/>
    <w:link w:val="Heading3Char"/>
    <w:uiPriority w:val="9"/>
    <w:semiHidden/>
    <w:unhideWhenUsed/>
    <w:qFormat/>
    <w:rsid w:val="008077E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BR" w:eastAsia="en-US"/>
      <w14:ligatures w14:val="standardContextual"/>
    </w:rPr>
  </w:style>
  <w:style w:type="paragraph" w:styleId="Heading4">
    <w:name w:val="heading 4"/>
    <w:basedOn w:val="Normal"/>
    <w:next w:val="Normal"/>
    <w:link w:val="Heading4Char"/>
    <w:uiPriority w:val="9"/>
    <w:semiHidden/>
    <w:unhideWhenUsed/>
    <w:qFormat/>
    <w:rsid w:val="008077E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BR" w:eastAsia="en-US"/>
      <w14:ligatures w14:val="standardContextual"/>
    </w:rPr>
  </w:style>
  <w:style w:type="paragraph" w:styleId="Heading5">
    <w:name w:val="heading 5"/>
    <w:basedOn w:val="Normal"/>
    <w:next w:val="Normal"/>
    <w:link w:val="Heading5Char"/>
    <w:uiPriority w:val="9"/>
    <w:semiHidden/>
    <w:unhideWhenUsed/>
    <w:qFormat/>
    <w:rsid w:val="008077E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BR" w:eastAsia="en-US"/>
      <w14:ligatures w14:val="standardContextual"/>
    </w:rPr>
  </w:style>
  <w:style w:type="paragraph" w:styleId="Heading6">
    <w:name w:val="heading 6"/>
    <w:basedOn w:val="Normal"/>
    <w:next w:val="Normal"/>
    <w:link w:val="Heading6Char"/>
    <w:uiPriority w:val="9"/>
    <w:semiHidden/>
    <w:unhideWhenUsed/>
    <w:qFormat/>
    <w:rsid w:val="008077E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BR" w:eastAsia="en-US"/>
      <w14:ligatures w14:val="standardContextual"/>
    </w:rPr>
  </w:style>
  <w:style w:type="paragraph" w:styleId="Heading7">
    <w:name w:val="heading 7"/>
    <w:basedOn w:val="Normal"/>
    <w:next w:val="Normal"/>
    <w:link w:val="Heading7Char"/>
    <w:uiPriority w:val="9"/>
    <w:semiHidden/>
    <w:unhideWhenUsed/>
    <w:qFormat/>
    <w:rsid w:val="008077E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BR" w:eastAsia="en-US"/>
      <w14:ligatures w14:val="standardContextual"/>
    </w:rPr>
  </w:style>
  <w:style w:type="paragraph" w:styleId="Heading8">
    <w:name w:val="heading 8"/>
    <w:basedOn w:val="Normal"/>
    <w:next w:val="Normal"/>
    <w:link w:val="Heading8Char"/>
    <w:uiPriority w:val="9"/>
    <w:semiHidden/>
    <w:unhideWhenUsed/>
    <w:qFormat/>
    <w:rsid w:val="008077E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BR" w:eastAsia="en-US"/>
      <w14:ligatures w14:val="standardContextual"/>
    </w:rPr>
  </w:style>
  <w:style w:type="paragraph" w:styleId="Heading9">
    <w:name w:val="heading 9"/>
    <w:basedOn w:val="Normal"/>
    <w:next w:val="Normal"/>
    <w:link w:val="Heading9Char"/>
    <w:uiPriority w:val="9"/>
    <w:semiHidden/>
    <w:unhideWhenUsed/>
    <w:qFormat/>
    <w:rsid w:val="008077E5"/>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BR"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7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77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7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7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7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7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7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7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7E5"/>
    <w:rPr>
      <w:rFonts w:eastAsiaTheme="majorEastAsia" w:cstheme="majorBidi"/>
      <w:color w:val="272727" w:themeColor="text1" w:themeTint="D8"/>
    </w:rPr>
  </w:style>
  <w:style w:type="paragraph" w:styleId="Title">
    <w:name w:val="Title"/>
    <w:basedOn w:val="Normal"/>
    <w:next w:val="Normal"/>
    <w:link w:val="TitleChar"/>
    <w:uiPriority w:val="10"/>
    <w:qFormat/>
    <w:rsid w:val="008077E5"/>
    <w:pPr>
      <w:spacing w:after="80" w:line="240" w:lineRule="auto"/>
      <w:contextualSpacing/>
    </w:pPr>
    <w:rPr>
      <w:rFonts w:asciiTheme="majorHAnsi" w:eastAsiaTheme="majorEastAsia" w:hAnsiTheme="majorHAnsi" w:cstheme="majorBidi"/>
      <w:spacing w:val="-10"/>
      <w:kern w:val="28"/>
      <w:sz w:val="56"/>
      <w:szCs w:val="56"/>
      <w:lang w:val="en-BR" w:eastAsia="en-US"/>
      <w14:ligatures w14:val="standardContextual"/>
    </w:rPr>
  </w:style>
  <w:style w:type="character" w:customStyle="1" w:styleId="TitleChar">
    <w:name w:val="Title Char"/>
    <w:basedOn w:val="DefaultParagraphFont"/>
    <w:link w:val="Title"/>
    <w:uiPriority w:val="10"/>
    <w:rsid w:val="008077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7E5"/>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BR" w:eastAsia="en-US"/>
      <w14:ligatures w14:val="standardContextual"/>
    </w:rPr>
  </w:style>
  <w:style w:type="character" w:customStyle="1" w:styleId="SubtitleChar">
    <w:name w:val="Subtitle Char"/>
    <w:basedOn w:val="DefaultParagraphFont"/>
    <w:link w:val="Subtitle"/>
    <w:uiPriority w:val="11"/>
    <w:rsid w:val="008077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7E5"/>
    <w:pPr>
      <w:spacing w:before="160" w:line="278" w:lineRule="auto"/>
      <w:jc w:val="center"/>
    </w:pPr>
    <w:rPr>
      <w:rFonts w:asciiTheme="minorHAnsi" w:eastAsiaTheme="minorHAnsi" w:hAnsiTheme="minorHAnsi" w:cstheme="minorBidi"/>
      <w:i/>
      <w:iCs/>
      <w:color w:val="404040" w:themeColor="text1" w:themeTint="BF"/>
      <w:kern w:val="2"/>
      <w:sz w:val="24"/>
      <w:szCs w:val="24"/>
      <w:lang w:val="en-BR" w:eastAsia="en-US"/>
      <w14:ligatures w14:val="standardContextual"/>
    </w:rPr>
  </w:style>
  <w:style w:type="character" w:customStyle="1" w:styleId="QuoteChar">
    <w:name w:val="Quote Char"/>
    <w:basedOn w:val="DefaultParagraphFont"/>
    <w:link w:val="Quote"/>
    <w:uiPriority w:val="29"/>
    <w:rsid w:val="008077E5"/>
    <w:rPr>
      <w:i/>
      <w:iCs/>
      <w:color w:val="404040" w:themeColor="text1" w:themeTint="BF"/>
    </w:rPr>
  </w:style>
  <w:style w:type="paragraph" w:styleId="ListParagraph">
    <w:name w:val="List Paragraph"/>
    <w:basedOn w:val="Normal"/>
    <w:uiPriority w:val="34"/>
    <w:qFormat/>
    <w:rsid w:val="008077E5"/>
    <w:pPr>
      <w:spacing w:line="278" w:lineRule="auto"/>
      <w:ind w:left="720"/>
      <w:contextualSpacing/>
    </w:pPr>
    <w:rPr>
      <w:rFonts w:asciiTheme="minorHAnsi" w:eastAsiaTheme="minorHAnsi" w:hAnsiTheme="minorHAnsi" w:cstheme="minorBidi"/>
      <w:kern w:val="2"/>
      <w:sz w:val="24"/>
      <w:szCs w:val="24"/>
      <w:lang w:val="en-BR" w:eastAsia="en-US"/>
      <w14:ligatures w14:val="standardContextual"/>
    </w:rPr>
  </w:style>
  <w:style w:type="character" w:styleId="IntenseEmphasis">
    <w:name w:val="Intense Emphasis"/>
    <w:basedOn w:val="DefaultParagraphFont"/>
    <w:uiPriority w:val="21"/>
    <w:qFormat/>
    <w:rsid w:val="008077E5"/>
    <w:rPr>
      <w:i/>
      <w:iCs/>
      <w:color w:val="0F4761" w:themeColor="accent1" w:themeShade="BF"/>
    </w:rPr>
  </w:style>
  <w:style w:type="paragraph" w:styleId="IntenseQuote">
    <w:name w:val="Intense Quote"/>
    <w:basedOn w:val="Normal"/>
    <w:next w:val="Normal"/>
    <w:link w:val="IntenseQuoteChar"/>
    <w:uiPriority w:val="30"/>
    <w:qFormat/>
    <w:rsid w:val="008077E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BR" w:eastAsia="en-US"/>
      <w14:ligatures w14:val="standardContextual"/>
    </w:rPr>
  </w:style>
  <w:style w:type="character" w:customStyle="1" w:styleId="IntenseQuoteChar">
    <w:name w:val="Intense Quote Char"/>
    <w:basedOn w:val="DefaultParagraphFont"/>
    <w:link w:val="IntenseQuote"/>
    <w:uiPriority w:val="30"/>
    <w:rsid w:val="008077E5"/>
    <w:rPr>
      <w:i/>
      <w:iCs/>
      <w:color w:val="0F4761" w:themeColor="accent1" w:themeShade="BF"/>
    </w:rPr>
  </w:style>
  <w:style w:type="character" w:styleId="IntenseReference">
    <w:name w:val="Intense Reference"/>
    <w:basedOn w:val="DefaultParagraphFont"/>
    <w:uiPriority w:val="32"/>
    <w:qFormat/>
    <w:rsid w:val="008077E5"/>
    <w:rPr>
      <w:b/>
      <w:bCs/>
      <w:smallCaps/>
      <w:color w:val="0F4761" w:themeColor="accent1" w:themeShade="BF"/>
      <w:spacing w:val="5"/>
    </w:rPr>
  </w:style>
  <w:style w:type="character" w:styleId="LineNumber">
    <w:name w:val="line number"/>
    <w:basedOn w:val="DefaultParagraphFont"/>
    <w:uiPriority w:val="99"/>
    <w:semiHidden/>
    <w:unhideWhenUsed/>
    <w:rsid w:val="00807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Relationship Id="rId3" Type="http://schemas.openxmlformats.org/officeDocument/2006/relationships/webSettings" Target="webSettings.xml"/><Relationship Id="rId7" Type="http://schemas.openxmlformats.org/officeDocument/2006/relationships/image" Target="media/image4.t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Relationship Id="rId11" Type="http://schemas.openxmlformats.org/officeDocument/2006/relationships/fontTable" Target="fontTable.xml"/><Relationship Id="rId5" Type="http://schemas.openxmlformats.org/officeDocument/2006/relationships/image" Target="media/image2.tiff"/><Relationship Id="rId10" Type="http://schemas.openxmlformats.org/officeDocument/2006/relationships/footer" Target="footer1.xml"/><Relationship Id="rId4" Type="http://schemas.openxmlformats.org/officeDocument/2006/relationships/image" Target="media/image1.tif"/><Relationship Id="rId9" Type="http://schemas.openxmlformats.org/officeDocument/2006/relationships/image" Target="media/image6.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968</Words>
  <Characters>5471</Characters>
  <Application>Microsoft Office Word</Application>
  <DocSecurity>0</DocSecurity>
  <Lines>91</Lines>
  <Paragraphs>7</Paragraphs>
  <ScaleCrop>false</ScaleCrop>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Nilmar Silvio Moretti</dc:creator>
  <cp:keywords/>
  <dc:description/>
  <cp:lastModifiedBy>Nilmar Silvio Moretti</cp:lastModifiedBy>
  <cp:revision>1</cp:revision>
  <dcterms:created xsi:type="dcterms:W3CDTF">2026-08-31T02:31:00Z</dcterms:created>
  <dcterms:modified xsi:type="dcterms:W3CDTF">2026-08-31T02:31:00Z</dcterms:modified>
</cp:coreProperties>
</file>