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F34012">
      <w:pPr>
        <w:spacing w:line="480" w:lineRule="auto"/>
        <w:jc w:val="center"/>
        <w:rPr>
          <w:rFonts w:eastAsia="黑体" w:cs="Times New Roman"/>
          <w:b/>
          <w:bCs/>
          <w:color w:val="000000" w:themeColor="text1"/>
          <w:spacing w:val="10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Hlk191293486"/>
      <w:r>
        <w:rPr>
          <w:rFonts w:eastAsia="黑体" w:cs="Times New Roman"/>
          <w:b/>
          <w:bCs/>
          <w:color w:val="000000" w:themeColor="text1"/>
          <w:spacing w:val="10"/>
          <w:kern w:val="0"/>
          <w:sz w:val="28"/>
          <w:szCs w:val="28"/>
          <w14:textFill>
            <w14:solidFill>
              <w14:schemeClr w14:val="tx1"/>
            </w14:solidFill>
          </w14:textFill>
        </w:rPr>
        <w:t>Bimetallic cobalt-nickel phosphide composite biomass carbon materials as efficient electrocatalysts for zinc-air batteries</w:t>
      </w:r>
    </w:p>
    <w:p w14:paraId="71E22967">
      <w:pPr>
        <w:spacing w:line="480" w:lineRule="auto"/>
        <w:rPr>
          <w:rFonts w:ascii="Times New Roman" w:hAnsi="Times New Roman" w:eastAsia="宋体"/>
          <w:bCs/>
          <w:sz w:val="24"/>
          <w:szCs w:val="24"/>
          <w:vertAlign w:val="superscript"/>
          <w14:ligatures w14:val="none"/>
        </w:rPr>
      </w:pPr>
      <w:r>
        <w:rPr>
          <w:rFonts w:hint="eastAsia" w:ascii="Times New Roman" w:hAnsi="Times New Roman" w:eastAsia="宋体"/>
          <w:bCs/>
          <w:sz w:val="24"/>
          <w:szCs w:val="24"/>
          <w14:ligatures w14:val="none"/>
        </w:rPr>
        <w:t>Hanshuang Wang</w:t>
      </w:r>
      <w:r>
        <w:rPr>
          <w:rFonts w:hint="eastAsia" w:ascii="Times New Roman" w:hAnsi="Times New Roman" w:eastAsia="宋体"/>
          <w:bCs/>
          <w:sz w:val="24"/>
          <w:szCs w:val="24"/>
          <w:vertAlign w:val="superscript"/>
          <w14:ligatures w14:val="none"/>
        </w:rPr>
        <w:t>a</w:t>
      </w:r>
      <w:r>
        <w:rPr>
          <w:rFonts w:hint="eastAsia" w:ascii="Times New Roman" w:hAnsi="Times New Roman" w:eastAsia="宋体"/>
          <w:bCs/>
          <w:sz w:val="24"/>
          <w:szCs w:val="24"/>
          <w14:ligatures w14:val="none"/>
        </w:rPr>
        <w:t>, Min Tao</w:t>
      </w:r>
      <w:r>
        <w:rPr>
          <w:rFonts w:hint="eastAsia" w:ascii="Times New Roman" w:hAnsi="Times New Roman" w:eastAsia="宋体"/>
          <w:bCs/>
          <w:sz w:val="24"/>
          <w:szCs w:val="24"/>
          <w:vertAlign w:val="superscript"/>
          <w14:ligatures w14:val="none"/>
        </w:rPr>
        <w:t>a</w:t>
      </w:r>
      <w:r>
        <w:rPr>
          <w:rFonts w:hint="eastAsia" w:ascii="Times New Roman" w:hAnsi="Times New Roman" w:eastAsia="宋体"/>
          <w:bCs/>
          <w:sz w:val="24"/>
          <w:szCs w:val="24"/>
          <w14:ligatures w14:val="none"/>
        </w:rPr>
        <w:t>, Hengyu Lin</w:t>
      </w:r>
      <w:r>
        <w:rPr>
          <w:rFonts w:hint="eastAsia" w:ascii="Times New Roman" w:hAnsi="Times New Roman" w:eastAsia="宋体"/>
          <w:bCs/>
          <w:sz w:val="24"/>
          <w:szCs w:val="24"/>
          <w:vertAlign w:val="superscript"/>
          <w14:ligatures w14:val="none"/>
        </w:rPr>
        <w:t>c</w:t>
      </w:r>
      <w:r>
        <w:rPr>
          <w:rFonts w:hint="eastAsia" w:ascii="Times New Roman" w:hAnsi="Times New Roman" w:eastAsia="宋体"/>
          <w:bCs/>
          <w:sz w:val="24"/>
          <w:szCs w:val="24"/>
          <w14:ligatures w14:val="none"/>
        </w:rPr>
        <w:t xml:space="preserve">, </w:t>
      </w:r>
      <w:r>
        <w:rPr>
          <w:rFonts w:hint="eastAsia" w:ascii="Times New Roman" w:hAnsi="Times New Roman" w:eastAsia="宋体"/>
          <w:bCs/>
          <w:sz w:val="24"/>
          <w:szCs w:val="24"/>
          <w:lang w:val="en-US" w:eastAsia="zh-CN"/>
          <w14:ligatures w14:val="none"/>
        </w:rPr>
        <w:t>Chuanling Zhu</w:t>
      </w:r>
      <w:r>
        <w:rPr>
          <w:rFonts w:hint="eastAsia" w:ascii="Times New Roman" w:hAnsi="Times New Roman" w:eastAsia="宋体"/>
          <w:bCs/>
          <w:sz w:val="24"/>
          <w:szCs w:val="24"/>
          <w:vertAlign w:val="superscript"/>
          <w:lang w:val="en-US" w:eastAsia="zh-CN"/>
          <w14:ligatures w14:val="none"/>
        </w:rPr>
        <w:t>a</w:t>
      </w:r>
      <w:r>
        <w:rPr>
          <w:rFonts w:hint="eastAsia"/>
          <w:bCs/>
          <w:sz w:val="24"/>
          <w:szCs w:val="24"/>
          <w:vertAlign w:val="baseline"/>
          <w:lang w:val="en-US" w:eastAsia="zh-CN"/>
          <w14:ligatures w14:val="none"/>
        </w:rPr>
        <w:t xml:space="preserve">, </w:t>
      </w:r>
      <w:r>
        <w:rPr>
          <w:rFonts w:hint="eastAsia" w:ascii="Times New Roman" w:hAnsi="Times New Roman" w:eastAsia="宋体"/>
          <w:bCs/>
          <w:sz w:val="24"/>
          <w:szCs w:val="24"/>
          <w14:ligatures w14:val="none"/>
        </w:rPr>
        <w:t>Chang Zou</w:t>
      </w:r>
      <w:r>
        <w:rPr>
          <w:rFonts w:hint="eastAsia" w:ascii="Times New Roman" w:hAnsi="Times New Roman" w:eastAsia="宋体"/>
          <w:bCs/>
          <w:sz w:val="24"/>
          <w:szCs w:val="24"/>
          <w:vertAlign w:val="superscript"/>
          <w14:ligatures w14:val="none"/>
        </w:rPr>
        <w:t>a</w:t>
      </w:r>
      <w:r>
        <w:rPr>
          <w:rFonts w:hint="eastAsia" w:ascii="Times New Roman" w:hAnsi="Times New Roman" w:eastAsia="宋体"/>
          <w:bCs/>
          <w:sz w:val="24"/>
          <w:szCs w:val="24"/>
          <w14:ligatures w14:val="none"/>
        </w:rPr>
        <w:t>, Qingye Liu</w:t>
      </w:r>
      <w:r>
        <w:rPr>
          <w:rFonts w:hint="eastAsia" w:ascii="Times New Roman" w:hAnsi="Times New Roman" w:eastAsia="宋体"/>
          <w:bCs/>
          <w:sz w:val="24"/>
          <w:szCs w:val="24"/>
          <w:vertAlign w:val="superscript"/>
          <w14:ligatures w14:val="none"/>
        </w:rPr>
        <w:t>a</w:t>
      </w:r>
      <w:r>
        <w:rPr>
          <w:rFonts w:hint="eastAsia" w:ascii="Times New Roman" w:hAnsi="Times New Roman" w:eastAsia="宋体"/>
          <w:bCs/>
          <w:sz w:val="24"/>
          <w:szCs w:val="24"/>
          <w14:ligatures w14:val="none"/>
        </w:rPr>
        <w:t xml:space="preserve">, Jiangtao Li </w:t>
      </w:r>
      <w:r>
        <w:rPr>
          <w:rFonts w:hint="eastAsia" w:ascii="Times New Roman" w:hAnsi="Times New Roman" w:eastAsia="宋体"/>
          <w:bCs/>
          <w:sz w:val="24"/>
          <w:szCs w:val="24"/>
          <w:vertAlign w:val="superscript"/>
          <w14:ligatures w14:val="none"/>
        </w:rPr>
        <w:t>a</w:t>
      </w:r>
      <w:r>
        <w:rPr>
          <w:rFonts w:hint="eastAsia" w:ascii="Times New Roman" w:hAnsi="Times New Roman" w:eastAsia="宋体"/>
          <w:bCs/>
          <w:sz w:val="24"/>
          <w:szCs w:val="24"/>
          <w14:ligatures w14:val="none"/>
        </w:rPr>
        <w:t>, Xueyan Sun</w:t>
      </w:r>
      <w:r>
        <w:rPr>
          <w:rFonts w:hint="eastAsia" w:ascii="Times New Roman" w:hAnsi="Times New Roman" w:eastAsia="宋体"/>
          <w:bCs/>
          <w:sz w:val="24"/>
          <w:szCs w:val="24"/>
          <w:vertAlign w:val="superscript"/>
          <w14:ligatures w14:val="none"/>
        </w:rPr>
        <w:t>b</w:t>
      </w:r>
      <w:r>
        <w:rPr>
          <w:rFonts w:hint="eastAsia" w:ascii="Times New Roman" w:hAnsi="Times New Roman" w:eastAsia="宋体"/>
          <w:bCs/>
          <w:sz w:val="24"/>
          <w:szCs w:val="24"/>
          <w14:ligatures w14:val="none"/>
        </w:rPr>
        <w:t>*, Wei Zhao</w:t>
      </w:r>
      <w:r>
        <w:rPr>
          <w:rFonts w:hint="eastAsia" w:ascii="Times New Roman" w:hAnsi="Times New Roman" w:eastAsia="宋体"/>
          <w:bCs/>
          <w:sz w:val="24"/>
          <w:szCs w:val="24"/>
          <w:vertAlign w:val="superscript"/>
          <w14:ligatures w14:val="none"/>
        </w:rPr>
        <w:t>a</w:t>
      </w:r>
      <w:r>
        <w:rPr>
          <w:rFonts w:hint="eastAsia" w:ascii="Times New Roman" w:hAnsi="Times New Roman" w:eastAsia="宋体"/>
          <w:bCs/>
          <w:sz w:val="24"/>
          <w:szCs w:val="24"/>
          <w14:ligatures w14:val="none"/>
        </w:rPr>
        <w:t>*, Yilun Liu</w:t>
      </w:r>
      <w:r>
        <w:rPr>
          <w:rFonts w:hint="eastAsia" w:ascii="Times New Roman" w:hAnsi="Times New Roman" w:eastAsia="宋体"/>
          <w:bCs/>
          <w:sz w:val="24"/>
          <w:szCs w:val="24"/>
          <w:vertAlign w:val="superscript"/>
          <w14:ligatures w14:val="none"/>
        </w:rPr>
        <w:t>c</w:t>
      </w:r>
    </w:p>
    <w:p w14:paraId="4566B946">
      <w:pPr>
        <w:spacing w:line="480" w:lineRule="auto"/>
        <w:rPr>
          <w:rFonts w:cs="Times New Roman"/>
          <w:bCs/>
          <w:szCs w:val="24"/>
        </w:rPr>
      </w:pPr>
    </w:p>
    <w:bookmarkEnd w:id="0"/>
    <w:p w14:paraId="23ADED69">
      <w:pPr>
        <w:widowControl/>
        <w:spacing w:line="480" w:lineRule="auto"/>
        <w:textAlignment w:val="center"/>
        <w:rPr>
          <w:rFonts w:ascii="Times New Roman" w:hAnsi="Times New Roman" w:eastAsia="宋体" w:cs="Times New Roman"/>
          <w:bCs/>
          <w:sz w:val="24"/>
          <w:szCs w:val="24"/>
          <w14:ligatures w14:val="none"/>
        </w:rPr>
      </w:pPr>
      <w:r>
        <w:rPr>
          <w:rFonts w:ascii="Times New Roman" w:hAnsi="Times New Roman" w:eastAsia="宋体" w:cs="Times New Roman"/>
          <w:bCs/>
          <w:sz w:val="24"/>
          <w:szCs w:val="24"/>
          <w:vertAlign w:val="superscript"/>
          <w14:ligatures w14:val="none"/>
        </w:rPr>
        <w:t>a</w:t>
      </w:r>
      <w:r>
        <w:rPr>
          <w:rFonts w:ascii="Times New Roman" w:hAnsi="Times New Roman" w:eastAsia="宋体" w:cs="Times New Roman"/>
          <w:bCs/>
          <w:sz w:val="24"/>
          <w:szCs w:val="24"/>
          <w14:ligatures w14:val="none"/>
        </w:rPr>
        <w:t xml:space="preserve"> </w:t>
      </w:r>
      <w:bookmarkStart w:id="1" w:name="_Hlk75247758"/>
      <w:r>
        <w:rPr>
          <w:rFonts w:ascii="Times New Roman" w:hAnsi="Times New Roman" w:eastAsia="宋体" w:cs="Times New Roman"/>
          <w:bCs/>
          <w:sz w:val="24"/>
          <w:szCs w:val="24"/>
          <w14:ligatures w14:val="none"/>
        </w:rPr>
        <w:t>School of Chemical Engineering, Northwest University, Xi’an 710127, China</w:t>
      </w:r>
      <w:bookmarkEnd w:id="1"/>
    </w:p>
    <w:p w14:paraId="62798CBD">
      <w:pPr>
        <w:widowControl/>
        <w:spacing w:line="480" w:lineRule="auto"/>
        <w:textAlignment w:val="center"/>
        <w:rPr>
          <w:rFonts w:ascii="Times New Roman" w:hAnsi="Times New Roman" w:eastAsia="宋体" w:cs="Times New Roman"/>
          <w:iCs/>
          <w:sz w:val="24"/>
          <w:szCs w:val="24"/>
          <w14:ligatures w14:val="none"/>
        </w:rPr>
      </w:pPr>
      <w:r>
        <w:rPr>
          <w:rFonts w:ascii="Times New Roman" w:hAnsi="Times New Roman" w:eastAsia="宋体" w:cs="Times New Roman"/>
          <w:bCs/>
          <w:sz w:val="24"/>
          <w:szCs w:val="24"/>
          <w:vertAlign w:val="superscript"/>
          <w14:ligatures w14:val="none"/>
        </w:rPr>
        <w:t>b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  <w14:ligatures w14:val="none"/>
        </w:rPr>
        <w:t xml:space="preserve"> </w:t>
      </w:r>
      <w:bookmarkStart w:id="2" w:name="OLE_LINK1"/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  <w14:ligatures w14:val="none"/>
        </w:rPr>
        <w:t>Luoyang Institute of Science and Technology</w:t>
      </w:r>
      <w:bookmarkEnd w:id="2"/>
      <w:r>
        <w:rPr>
          <w:rFonts w:ascii="Times New Roman" w:hAnsi="Times New Roman" w:eastAsia="宋体" w:cs="Times New Roman"/>
          <w:sz w:val="24"/>
          <w:szCs w:val="24"/>
          <w14:ligatures w14:val="none"/>
        </w:rPr>
        <w:t>, Luoyang 471023,</w:t>
      </w:r>
      <w:r>
        <w:rPr>
          <w:rFonts w:ascii="Times New Roman" w:hAnsi="Times New Roman" w:eastAsia="宋体" w:cs="Times New Roman"/>
          <w:iCs/>
          <w:sz w:val="24"/>
          <w:szCs w:val="24"/>
          <w14:ligatures w14:val="none"/>
        </w:rPr>
        <w:t xml:space="preserve"> China</w:t>
      </w:r>
    </w:p>
    <w:p w14:paraId="6C192651">
      <w:pPr>
        <w:widowControl/>
        <w:spacing w:after="45" w:line="480" w:lineRule="auto"/>
        <w:ind w:left="120" w:hanging="120" w:hangingChars="50"/>
        <w:rPr>
          <w:rFonts w:ascii="Times New Roman" w:hAnsi="Times New Roman" w:eastAsia="宋体" w:cs="Times New Roman"/>
          <w:bCs/>
          <w:sz w:val="24"/>
          <w:szCs w:val="24"/>
          <w14:ligatures w14:val="none"/>
        </w:rPr>
      </w:pPr>
      <w:r>
        <w:rPr>
          <w:rFonts w:ascii="Times New Roman" w:hAnsi="Times New Roman" w:eastAsia="宋体" w:cs="Times New Roman"/>
          <w:bCs/>
          <w:sz w:val="24"/>
          <w:szCs w:val="24"/>
          <w:vertAlign w:val="superscript"/>
          <w14:ligatures w14:val="none"/>
        </w:rPr>
        <w:t xml:space="preserve">c 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  <w14:ligatures w14:val="none"/>
        </w:rPr>
        <w:t xml:space="preserve">School of Aerospace Xi'an Jiaotong University, </w:t>
      </w:r>
      <w:r>
        <w:rPr>
          <w:rFonts w:ascii="Times New Roman" w:hAnsi="Times New Roman" w:eastAsia="宋体" w:cs="Times New Roman"/>
          <w:bCs/>
          <w:sz w:val="24"/>
          <w:szCs w:val="24"/>
          <w14:ligatures w14:val="none"/>
        </w:rPr>
        <w:t>Xi’an</w:t>
      </w:r>
      <w:r>
        <w:rPr>
          <w:rFonts w:ascii="Times New Roman" w:hAnsi="Times New Roman" w:eastAsia="宋体" w:cs="Times New Roman"/>
          <w:color w:val="333333"/>
          <w:sz w:val="24"/>
          <w:szCs w:val="24"/>
          <w:shd w:val="clear" w:color="auto" w:fill="FFFFFF"/>
          <w14:ligatures w14:val="none"/>
        </w:rPr>
        <w:t xml:space="preserve"> 710049, China</w:t>
      </w:r>
    </w:p>
    <w:p w14:paraId="1BDFF4B4">
      <w:pPr>
        <w:widowControl/>
        <w:spacing w:line="480" w:lineRule="auto"/>
        <w:textAlignment w:val="center"/>
        <w:rPr>
          <w:rFonts w:ascii="Times New Roman" w:hAnsi="Times New Roman" w:eastAsia="宋体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宋体" w:cs="Times New Roman"/>
          <w:bCs/>
          <w:sz w:val="24"/>
          <w:szCs w:val="24"/>
          <w:vertAlign w:val="superscript"/>
          <w14:ligatures w14:val="none"/>
        </w:rPr>
        <w:t>*</w:t>
      </w:r>
      <w:r>
        <w:rPr>
          <w:rFonts w:ascii="Times New Roman" w:hAnsi="Times New Roman" w:eastAsia="宋体" w:cs="Times New Roman"/>
          <w:bCs/>
          <w:sz w:val="24"/>
          <w:szCs w:val="24"/>
          <w14:ligatures w14:val="none"/>
        </w:rPr>
        <w:t xml:space="preserve">Corresponding Author, E-mail: </w:t>
      </w:r>
      <w:r>
        <w:fldChar w:fldCharType="begin"/>
      </w:r>
      <w:r>
        <w:instrText xml:space="preserve"> HYPERLINK "mailto:zhaowei3313@nwu.edu.cn" </w:instrText>
      </w:r>
      <w:r>
        <w:fldChar w:fldCharType="separate"/>
      </w:r>
      <w:r>
        <w:rPr>
          <w:rFonts w:ascii="Times New Roman" w:hAnsi="Times New Roman" w:eastAsia="宋体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>zhaowei3313@nwu.edu.cn</w:t>
      </w:r>
      <w:r>
        <w:rPr>
          <w:rFonts w:ascii="Times New Roman" w:hAnsi="Times New Roman" w:eastAsia="宋体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fldChar w:fldCharType="end"/>
      </w:r>
    </w:p>
    <w:p w14:paraId="79BB59DB">
      <w:pPr>
        <w:widowControl/>
        <w:spacing w:line="480" w:lineRule="auto"/>
        <w:textAlignment w:val="center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宋体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  <w14:ligatures w14:val="none"/>
        </w:rPr>
        <w:t xml:space="preserve">                          </w:t>
      </w:r>
      <w:r>
        <w:fldChar w:fldCharType="begin"/>
      </w:r>
      <w:r>
        <w:instrText xml:space="preserve"> HYPERLINK "mailto:sunxueyan@lit.edu.cn" </w:instrText>
      </w:r>
      <w:r>
        <w:fldChar w:fldCharType="separate"/>
      </w:r>
      <w:r>
        <w:rPr>
          <w:rStyle w:val="9"/>
          <w:rFonts w:ascii="Times New Roman" w:hAnsi="Times New Roman" w:eastAsia="宋体" w:cs="Times New Roman"/>
          <w:sz w:val="24"/>
          <w:szCs w:val="24"/>
          <w14:ligatures w14:val="none"/>
        </w:rPr>
        <w:t>sunxueyan@lit.edu.cn</w:t>
      </w:r>
      <w:r>
        <w:rPr>
          <w:rStyle w:val="9"/>
          <w:rFonts w:ascii="Times New Roman" w:hAnsi="Times New Roman" w:eastAsia="宋体" w:cs="Times New Roman"/>
          <w:sz w:val="24"/>
          <w:szCs w:val="24"/>
          <w14:ligatures w14:val="none"/>
        </w:rPr>
        <w:fldChar w:fldCharType="end"/>
      </w:r>
    </w:p>
    <w:p w14:paraId="12419A67">
      <w:pPr>
        <w:widowControl/>
        <w:jc w:val="left"/>
        <w:rPr>
          <w:rFonts w:hint="eastAsia" w:cs="Times New Roman" w:eastAsiaTheme="minorEastAsia"/>
          <w:b/>
          <w:bCs/>
          <w:sz w:val="28"/>
          <w:szCs w:val="28"/>
        </w:rPr>
      </w:pPr>
      <w:bookmarkStart w:id="3" w:name="_GoBack"/>
      <w:bookmarkEnd w:id="3"/>
      <w:r>
        <w:rPr>
          <w:rFonts w:cs="Times New Roman" w:eastAsiaTheme="minorEastAsia"/>
          <w:b/>
          <w:bCs/>
          <w:sz w:val="28"/>
          <w:szCs w:val="28"/>
        </w:rPr>
        <w:br w:type="page"/>
      </w:r>
    </w:p>
    <w:p w14:paraId="7CA15E4C">
      <w:pPr>
        <w:widowControl/>
        <w:jc w:val="center"/>
      </w:pPr>
      <w:r>
        <w:drawing>
          <wp:inline distT="0" distB="0" distL="0" distR="0">
            <wp:extent cx="2415540" cy="1676400"/>
            <wp:effectExtent l="0" t="0" r="3810" b="0"/>
            <wp:docPr id="9946265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626557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l="1180" t="1897" r="2122"/>
                    <a:stretch>
                      <a:fillRect/>
                    </a:stretch>
                  </pic:blipFill>
                  <pic:spPr>
                    <a:xfrm>
                      <a:off x="0" y="0"/>
                      <a:ext cx="2415897" cy="1676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F1BFC">
      <w:pPr>
        <w:widowControl/>
        <w:spacing w:line="480" w:lineRule="auto"/>
        <w:jc w:val="lef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Fig. S1. </w:t>
      </w:r>
      <w:r>
        <w:rPr>
          <w:rFonts w:hint="eastAsia"/>
          <w:sz w:val="21"/>
          <w:szCs w:val="21"/>
        </w:rPr>
        <w:t>SEM</w:t>
      </w:r>
      <w:r>
        <w:rPr>
          <w:sz w:val="21"/>
          <w:szCs w:val="21"/>
        </w:rPr>
        <w:t xml:space="preserve"> plot of CoNi@NC</w:t>
      </w:r>
    </w:p>
    <w:p w14:paraId="67FB4E32">
      <w:pPr>
        <w:widowControl/>
        <w:spacing w:line="480" w:lineRule="auto"/>
        <w:jc w:val="left"/>
        <w:rPr>
          <w:rFonts w:hint="eastAsia"/>
          <w:b/>
          <w:bCs/>
          <w:sz w:val="21"/>
          <w:szCs w:val="21"/>
        </w:rPr>
      </w:pPr>
    </w:p>
    <w:p w14:paraId="054FA6A6">
      <w:pPr>
        <w:pStyle w:val="2"/>
        <w:keepNext/>
        <w:spacing w:line="480" w:lineRule="auto"/>
        <w:jc w:val="left"/>
        <w:rPr>
          <w:rFonts w:hint="eastAsia"/>
        </w:rPr>
      </w:pPr>
      <w:r>
        <w:rPr>
          <w:rFonts w:ascii="Times New Roman" w:hAnsi="Times New Roman" w:cs="Times New Roman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Table S1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Specific surface area and pore volume of CoP@NC, CoMnP@NC, CoFeP@NC and CoNiP@NC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single" w:color="auto" w:sz="4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1"/>
        <w:gridCol w:w="2754"/>
        <w:gridCol w:w="2741"/>
      </w:tblGrid>
      <w:tr w14:paraId="77355A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1" w:type="dxa"/>
          </w:tcPr>
          <w:p w14:paraId="7BCE1494">
            <w:pPr>
              <w:spacing w:line="360" w:lineRule="auto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Sample</w:t>
            </w:r>
          </w:p>
        </w:tc>
        <w:tc>
          <w:tcPr>
            <w:tcW w:w="2754" w:type="dxa"/>
          </w:tcPr>
          <w:p w14:paraId="2BF8641C">
            <w:pPr>
              <w:spacing w:line="360" w:lineRule="auto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Specific surface area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 xml:space="preserve"> (</w:t>
            </w:r>
            <w:r>
              <w:rPr>
                <w:rFonts w:cs="Times New Roman"/>
                <w:color w:val="000000"/>
                <w:sz w:val="21"/>
                <w:szCs w:val="21"/>
              </w:rPr>
              <w:t>m</w:t>
            </w:r>
            <w:r>
              <w:rPr>
                <w:rFonts w:cs="Times New Roman"/>
                <w:color w:val="000000"/>
                <w:sz w:val="21"/>
                <w:szCs w:val="21"/>
                <w:vertAlign w:val="superscript"/>
              </w:rPr>
              <w:t>2</w:t>
            </w:r>
            <w:r>
              <w:rPr>
                <w:rFonts w:hint="eastAsia" w:cs="Times New Roman"/>
                <w:color w:val="000000"/>
                <w:sz w:val="21"/>
                <w:szCs w:val="21"/>
                <w:vertAlign w:val="superscript"/>
              </w:rPr>
              <w:t xml:space="preserve"> </w:t>
            </w:r>
            <w:r>
              <w:rPr>
                <w:rFonts w:cs="Times New Roman"/>
                <w:color w:val="000000"/>
                <w:sz w:val="21"/>
                <w:szCs w:val="21"/>
              </w:rPr>
              <w:t>g</w:t>
            </w:r>
            <w:r>
              <w:rPr>
                <w:rFonts w:cs="Times New Roman"/>
                <w:color w:val="000000"/>
                <w:sz w:val="21"/>
                <w:szCs w:val="21"/>
                <w:vertAlign w:val="superscript"/>
              </w:rPr>
              <w:t>-1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741" w:type="dxa"/>
            <w:tcBorders>
              <w:right w:val="nil"/>
            </w:tcBorders>
          </w:tcPr>
          <w:p w14:paraId="732540D7">
            <w:pPr>
              <w:spacing w:line="360" w:lineRule="auto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Pore volume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 xml:space="preserve"> (</w:t>
            </w:r>
            <w:r>
              <w:rPr>
                <w:rFonts w:cs="Times New Roman"/>
                <w:color w:val="000000"/>
                <w:sz w:val="21"/>
                <w:szCs w:val="21"/>
              </w:rPr>
              <w:t>cm</w:t>
            </w:r>
            <w:r>
              <w:rPr>
                <w:rFonts w:cs="Times New Roman"/>
                <w:color w:val="000000"/>
                <w:sz w:val="21"/>
                <w:szCs w:val="21"/>
                <w:vertAlign w:val="superscript"/>
              </w:rPr>
              <w:t>3</w:t>
            </w:r>
            <w:r>
              <w:rPr>
                <w:rFonts w:cs="Times New Roman"/>
                <w:color w:val="000000"/>
                <w:sz w:val="21"/>
                <w:szCs w:val="21"/>
              </w:rPr>
              <w:t xml:space="preserve"> g</w:t>
            </w:r>
            <w:r>
              <w:rPr>
                <w:rFonts w:cs="Times New Roman"/>
                <w:color w:val="000000"/>
                <w:sz w:val="21"/>
                <w:szCs w:val="21"/>
                <w:vertAlign w:val="superscript"/>
              </w:rPr>
              <w:t>-1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)</w:t>
            </w:r>
          </w:p>
        </w:tc>
      </w:tr>
      <w:tr w14:paraId="3D345D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1" w:type="dxa"/>
            <w:tcBorders>
              <w:bottom w:val="nil"/>
            </w:tcBorders>
          </w:tcPr>
          <w:p w14:paraId="54E013DD">
            <w:pPr>
              <w:spacing w:line="360" w:lineRule="auto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CoP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@NC</w:t>
            </w:r>
          </w:p>
        </w:tc>
        <w:tc>
          <w:tcPr>
            <w:tcW w:w="2754" w:type="dxa"/>
            <w:tcBorders>
              <w:bottom w:val="nil"/>
            </w:tcBorders>
          </w:tcPr>
          <w:p w14:paraId="3366DF20">
            <w:pPr>
              <w:spacing w:line="360" w:lineRule="auto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19.4875</w:t>
            </w:r>
          </w:p>
        </w:tc>
        <w:tc>
          <w:tcPr>
            <w:tcW w:w="2741" w:type="dxa"/>
            <w:tcBorders>
              <w:bottom w:val="nil"/>
              <w:right w:val="nil"/>
            </w:tcBorders>
          </w:tcPr>
          <w:p w14:paraId="0C8AA04D">
            <w:pPr>
              <w:spacing w:line="360" w:lineRule="auto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0.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0779</w:t>
            </w:r>
          </w:p>
        </w:tc>
      </w:tr>
      <w:tr w14:paraId="31C8D2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1" w:type="dxa"/>
            <w:tcBorders>
              <w:top w:val="nil"/>
              <w:bottom w:val="nil"/>
            </w:tcBorders>
          </w:tcPr>
          <w:p w14:paraId="1CE0973A">
            <w:pPr>
              <w:spacing w:line="360" w:lineRule="auto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Co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Mn</w:t>
            </w:r>
            <w:r>
              <w:rPr>
                <w:rFonts w:cs="Times New Roman"/>
                <w:color w:val="000000"/>
                <w:sz w:val="21"/>
                <w:szCs w:val="21"/>
              </w:rPr>
              <w:t>P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@NC</w:t>
            </w:r>
          </w:p>
        </w:tc>
        <w:tc>
          <w:tcPr>
            <w:tcW w:w="2754" w:type="dxa"/>
            <w:tcBorders>
              <w:top w:val="nil"/>
              <w:bottom w:val="nil"/>
            </w:tcBorders>
          </w:tcPr>
          <w:p w14:paraId="6F1657D2">
            <w:pPr>
              <w:spacing w:line="360" w:lineRule="auto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16.9112</w:t>
            </w:r>
          </w:p>
        </w:tc>
        <w:tc>
          <w:tcPr>
            <w:tcW w:w="2741" w:type="dxa"/>
            <w:tcBorders>
              <w:top w:val="nil"/>
              <w:bottom w:val="nil"/>
              <w:right w:val="nil"/>
            </w:tcBorders>
          </w:tcPr>
          <w:p w14:paraId="473405A1">
            <w:pPr>
              <w:spacing w:line="360" w:lineRule="auto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0.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0630</w:t>
            </w:r>
          </w:p>
        </w:tc>
      </w:tr>
      <w:tr w14:paraId="7FE1EC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1" w:type="dxa"/>
            <w:tcBorders>
              <w:top w:val="nil"/>
              <w:bottom w:val="nil"/>
            </w:tcBorders>
          </w:tcPr>
          <w:p w14:paraId="00411AC7">
            <w:pPr>
              <w:spacing w:line="360" w:lineRule="auto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Co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Fe</w:t>
            </w:r>
            <w:r>
              <w:rPr>
                <w:rFonts w:cs="Times New Roman"/>
                <w:color w:val="000000"/>
                <w:sz w:val="21"/>
                <w:szCs w:val="21"/>
              </w:rPr>
              <w:t>P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@NC</w:t>
            </w:r>
          </w:p>
        </w:tc>
        <w:tc>
          <w:tcPr>
            <w:tcW w:w="2754" w:type="dxa"/>
            <w:tcBorders>
              <w:top w:val="nil"/>
              <w:bottom w:val="nil"/>
            </w:tcBorders>
          </w:tcPr>
          <w:p w14:paraId="5CACEB54">
            <w:pPr>
              <w:spacing w:line="360" w:lineRule="auto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24.4811</w:t>
            </w:r>
          </w:p>
        </w:tc>
        <w:tc>
          <w:tcPr>
            <w:tcW w:w="2741" w:type="dxa"/>
            <w:tcBorders>
              <w:top w:val="nil"/>
              <w:bottom w:val="nil"/>
              <w:right w:val="nil"/>
            </w:tcBorders>
          </w:tcPr>
          <w:p w14:paraId="70CCE7B5">
            <w:pPr>
              <w:spacing w:line="360" w:lineRule="auto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0.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0399</w:t>
            </w:r>
          </w:p>
        </w:tc>
      </w:tr>
      <w:tr w14:paraId="121FF1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1" w:type="dxa"/>
            <w:tcBorders>
              <w:top w:val="nil"/>
            </w:tcBorders>
          </w:tcPr>
          <w:p w14:paraId="192AE009">
            <w:pPr>
              <w:spacing w:line="360" w:lineRule="auto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Co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Ni</w:t>
            </w:r>
            <w:r>
              <w:rPr>
                <w:rFonts w:cs="Times New Roman"/>
                <w:color w:val="000000"/>
                <w:sz w:val="21"/>
                <w:szCs w:val="21"/>
              </w:rPr>
              <w:t>P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@NC</w:t>
            </w:r>
          </w:p>
        </w:tc>
        <w:tc>
          <w:tcPr>
            <w:tcW w:w="2754" w:type="dxa"/>
            <w:tcBorders>
              <w:top w:val="nil"/>
            </w:tcBorders>
          </w:tcPr>
          <w:p w14:paraId="1CE17D3B">
            <w:pPr>
              <w:spacing w:line="360" w:lineRule="auto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17.5437</w:t>
            </w:r>
          </w:p>
        </w:tc>
        <w:tc>
          <w:tcPr>
            <w:tcW w:w="2741" w:type="dxa"/>
            <w:tcBorders>
              <w:top w:val="nil"/>
              <w:right w:val="nil"/>
            </w:tcBorders>
          </w:tcPr>
          <w:p w14:paraId="118E109C">
            <w:pPr>
              <w:keepNext/>
              <w:spacing w:line="360" w:lineRule="auto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0.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0889</w:t>
            </w:r>
          </w:p>
        </w:tc>
      </w:tr>
    </w:tbl>
    <w:p w14:paraId="68E37620">
      <w:pPr>
        <w:pStyle w:val="2"/>
        <w:rPr>
          <w:rFonts w:ascii="Times New Roman" w:hAnsi="Times New Roman" w:cs="Times New Roman"/>
          <w:b/>
          <w:bCs/>
          <w:color w:val="000000"/>
          <w:spacing w:val="15"/>
          <w:sz w:val="21"/>
          <w:szCs w:val="21"/>
        </w:rPr>
      </w:pPr>
    </w:p>
    <w:p w14:paraId="6D27A6BD">
      <w:pPr>
        <w:pStyle w:val="2"/>
        <w:keepNext/>
        <w:spacing w:line="480" w:lineRule="auto"/>
        <w:rPr>
          <w:rFonts w:hint="eastAsia"/>
        </w:rPr>
      </w:pPr>
      <w:r>
        <w:rPr>
          <w:rFonts w:ascii="Times New Roman" w:hAnsi="Times New Roman" w:cs="Times New Roman"/>
          <w:b/>
          <w:bCs/>
          <w:color w:val="000000"/>
          <w:spacing w:val="15"/>
          <w:sz w:val="21"/>
          <w:szCs w:val="21"/>
        </w:rPr>
        <w:t>Table S2</w:t>
      </w:r>
      <w:r>
        <w:rPr>
          <w:rFonts w:hint="eastAsia" w:ascii="Times New Roman" w:hAnsi="Times New Roman" w:cs="Times New Roman"/>
          <w:b/>
          <w:bCs/>
          <w:color w:val="000000"/>
          <w:spacing w:val="15"/>
          <w:sz w:val="21"/>
          <w:szCs w:val="21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15"/>
          <w:sz w:val="21"/>
          <w:szCs w:val="21"/>
        </w:rPr>
        <w:t xml:space="preserve"> ORR onset potentials, half-wave potentials, limiting current values, and Tafel slopes for CoP@NC, CoMnP@NC, CoFeP@NC, CoNiP@NC, and Pt/C</w:t>
      </w:r>
    </w:p>
    <w:tbl>
      <w:tblPr>
        <w:tblStyle w:val="7"/>
        <w:tblW w:w="0" w:type="auto"/>
        <w:tblInd w:w="0" w:type="dxa"/>
        <w:tblBorders>
          <w:top w:val="single" w:color="auto" w:sz="18" w:space="0"/>
          <w:left w:val="none" w:color="auto" w:sz="0" w:space="0"/>
          <w:bottom w:val="single" w:color="auto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8"/>
        <w:gridCol w:w="1408"/>
        <w:gridCol w:w="1187"/>
        <w:gridCol w:w="1830"/>
        <w:gridCol w:w="2223"/>
      </w:tblGrid>
      <w:tr w14:paraId="6582D4BA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8" w:type="dxa"/>
            <w:tcBorders>
              <w:bottom w:val="single" w:color="auto" w:sz="8" w:space="0"/>
            </w:tcBorders>
          </w:tcPr>
          <w:p w14:paraId="25348152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pacing w:val="15"/>
                <w:sz w:val="21"/>
                <w:szCs w:val="21"/>
              </w:rPr>
            </w:pPr>
          </w:p>
        </w:tc>
        <w:tc>
          <w:tcPr>
            <w:tcW w:w="1408" w:type="dxa"/>
            <w:tcBorders>
              <w:bottom w:val="single" w:color="auto" w:sz="8" w:space="0"/>
            </w:tcBorders>
          </w:tcPr>
          <w:p w14:paraId="6A51E68D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E</w:t>
            </w: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  <w:vertAlign w:val="subscript"/>
              </w:rPr>
              <w:t>onset</w:t>
            </w: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 xml:space="preserve"> (V)</w:t>
            </w:r>
          </w:p>
        </w:tc>
        <w:tc>
          <w:tcPr>
            <w:tcW w:w="1187" w:type="dxa"/>
            <w:tcBorders>
              <w:bottom w:val="single" w:color="auto" w:sz="8" w:space="0"/>
            </w:tcBorders>
          </w:tcPr>
          <w:p w14:paraId="63069F2A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E</w:t>
            </w: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  <w:vertAlign w:val="subscript"/>
              </w:rPr>
              <w:t>1/2</w:t>
            </w: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(V)</w:t>
            </w:r>
          </w:p>
        </w:tc>
        <w:tc>
          <w:tcPr>
            <w:tcW w:w="1830" w:type="dxa"/>
            <w:tcBorders>
              <w:bottom w:val="single" w:color="auto" w:sz="8" w:space="0"/>
            </w:tcBorders>
          </w:tcPr>
          <w:p w14:paraId="1014F656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J</w:t>
            </w: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  <w:vertAlign w:val="subscript"/>
              </w:rPr>
              <w:t>0.2V</w:t>
            </w: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(mA cm</w:t>
            </w: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  <w:vertAlign w:val="superscript"/>
              </w:rPr>
              <w:t>-2</w:t>
            </w: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)</w:t>
            </w:r>
          </w:p>
        </w:tc>
        <w:tc>
          <w:tcPr>
            <w:tcW w:w="2223" w:type="dxa"/>
            <w:tcBorders>
              <w:bottom w:val="single" w:color="auto" w:sz="8" w:space="0"/>
            </w:tcBorders>
          </w:tcPr>
          <w:p w14:paraId="0F3B002F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Tafel Slope (mV dec</w:t>
            </w: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  <w:vertAlign w:val="superscript"/>
              </w:rPr>
              <w:t>-1</w:t>
            </w: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)</w:t>
            </w:r>
          </w:p>
        </w:tc>
      </w:tr>
      <w:tr w14:paraId="7BAC419A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8" w:type="dxa"/>
            <w:tcBorders>
              <w:top w:val="single" w:color="auto" w:sz="8" w:space="0"/>
              <w:bottom w:val="nil"/>
            </w:tcBorders>
          </w:tcPr>
          <w:p w14:paraId="6727D29D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CoP@NC</w:t>
            </w:r>
          </w:p>
        </w:tc>
        <w:tc>
          <w:tcPr>
            <w:tcW w:w="1408" w:type="dxa"/>
            <w:tcBorders>
              <w:top w:val="single" w:color="auto" w:sz="8" w:space="0"/>
              <w:bottom w:val="nil"/>
            </w:tcBorders>
          </w:tcPr>
          <w:p w14:paraId="7DC7B237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0.813</w:t>
            </w:r>
          </w:p>
        </w:tc>
        <w:tc>
          <w:tcPr>
            <w:tcW w:w="1187" w:type="dxa"/>
            <w:tcBorders>
              <w:top w:val="single" w:color="auto" w:sz="8" w:space="0"/>
              <w:bottom w:val="nil"/>
            </w:tcBorders>
          </w:tcPr>
          <w:p w14:paraId="710CD85F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0.658</w:t>
            </w:r>
          </w:p>
        </w:tc>
        <w:tc>
          <w:tcPr>
            <w:tcW w:w="1830" w:type="dxa"/>
            <w:tcBorders>
              <w:top w:val="single" w:color="auto" w:sz="8" w:space="0"/>
              <w:bottom w:val="nil"/>
            </w:tcBorders>
          </w:tcPr>
          <w:p w14:paraId="14D5A009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-4.17</w:t>
            </w:r>
          </w:p>
        </w:tc>
        <w:tc>
          <w:tcPr>
            <w:tcW w:w="2223" w:type="dxa"/>
            <w:tcBorders>
              <w:top w:val="single" w:color="auto" w:sz="8" w:space="0"/>
              <w:bottom w:val="nil"/>
            </w:tcBorders>
          </w:tcPr>
          <w:p w14:paraId="626945EB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102.94</w:t>
            </w:r>
          </w:p>
        </w:tc>
      </w:tr>
      <w:tr w14:paraId="6313979B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8" w:type="dxa"/>
            <w:tcBorders>
              <w:top w:val="nil"/>
              <w:bottom w:val="nil"/>
            </w:tcBorders>
          </w:tcPr>
          <w:p w14:paraId="1A5DAD1B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CoMnP@NC</w:t>
            </w:r>
          </w:p>
        </w:tc>
        <w:tc>
          <w:tcPr>
            <w:tcW w:w="1408" w:type="dxa"/>
            <w:tcBorders>
              <w:top w:val="nil"/>
              <w:bottom w:val="nil"/>
            </w:tcBorders>
          </w:tcPr>
          <w:p w14:paraId="16C6978A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0.841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14:paraId="5BB03B7C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0.666</w:t>
            </w:r>
          </w:p>
        </w:tc>
        <w:tc>
          <w:tcPr>
            <w:tcW w:w="1830" w:type="dxa"/>
            <w:tcBorders>
              <w:top w:val="nil"/>
              <w:bottom w:val="nil"/>
            </w:tcBorders>
          </w:tcPr>
          <w:p w14:paraId="12E6E049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-4.27</w:t>
            </w:r>
          </w:p>
        </w:tc>
        <w:tc>
          <w:tcPr>
            <w:tcW w:w="2223" w:type="dxa"/>
            <w:tcBorders>
              <w:top w:val="nil"/>
              <w:bottom w:val="nil"/>
            </w:tcBorders>
          </w:tcPr>
          <w:p w14:paraId="3E371B00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94.18</w:t>
            </w:r>
          </w:p>
        </w:tc>
      </w:tr>
      <w:tr w14:paraId="076C8E27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8" w:type="dxa"/>
            <w:tcBorders>
              <w:top w:val="nil"/>
              <w:bottom w:val="nil"/>
            </w:tcBorders>
          </w:tcPr>
          <w:p w14:paraId="01ABEF87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CoFeP@NC</w:t>
            </w:r>
          </w:p>
        </w:tc>
        <w:tc>
          <w:tcPr>
            <w:tcW w:w="1408" w:type="dxa"/>
            <w:tcBorders>
              <w:top w:val="nil"/>
              <w:bottom w:val="nil"/>
            </w:tcBorders>
          </w:tcPr>
          <w:p w14:paraId="3C10B5D5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0.821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14:paraId="681C712A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0.661</w:t>
            </w:r>
          </w:p>
        </w:tc>
        <w:tc>
          <w:tcPr>
            <w:tcW w:w="1830" w:type="dxa"/>
            <w:tcBorders>
              <w:top w:val="nil"/>
              <w:bottom w:val="nil"/>
            </w:tcBorders>
          </w:tcPr>
          <w:p w14:paraId="262E3F5C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-4.03</w:t>
            </w:r>
          </w:p>
        </w:tc>
        <w:tc>
          <w:tcPr>
            <w:tcW w:w="2223" w:type="dxa"/>
            <w:tcBorders>
              <w:top w:val="nil"/>
              <w:bottom w:val="nil"/>
            </w:tcBorders>
          </w:tcPr>
          <w:p w14:paraId="574183DD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93.44</w:t>
            </w:r>
          </w:p>
        </w:tc>
      </w:tr>
      <w:tr w14:paraId="35494070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</w:tcPr>
          <w:p w14:paraId="6A9631FA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cs="Times New Roman"/>
                <w:color w:val="000000"/>
                <w:spacing w:val="15"/>
                <w:sz w:val="21"/>
                <w:szCs w:val="21"/>
              </w:rPr>
              <w:t>CoNiP@NC</w:t>
            </w:r>
          </w:p>
        </w:tc>
        <w:tc>
          <w:tcPr>
            <w:tcW w:w="1408" w:type="dxa"/>
            <w:tcBorders>
              <w:top w:val="nil"/>
              <w:bottom w:val="nil"/>
            </w:tcBorders>
            <w:shd w:val="clear" w:color="auto" w:fill="auto"/>
          </w:tcPr>
          <w:p w14:paraId="1F082C6C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cs="Times New Roman"/>
                <w:color w:val="000000"/>
                <w:spacing w:val="15"/>
                <w:sz w:val="21"/>
                <w:szCs w:val="21"/>
              </w:rPr>
              <w:t>0.876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auto"/>
          </w:tcPr>
          <w:p w14:paraId="179CF498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cs="Times New Roman"/>
                <w:color w:val="000000"/>
                <w:spacing w:val="15"/>
                <w:sz w:val="21"/>
                <w:szCs w:val="21"/>
              </w:rPr>
              <w:t>0.670</w:t>
            </w:r>
          </w:p>
        </w:tc>
        <w:tc>
          <w:tcPr>
            <w:tcW w:w="1830" w:type="dxa"/>
            <w:tcBorders>
              <w:top w:val="nil"/>
              <w:bottom w:val="nil"/>
            </w:tcBorders>
            <w:shd w:val="clear" w:color="auto" w:fill="auto"/>
          </w:tcPr>
          <w:p w14:paraId="7B601806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cs="Times New Roman"/>
                <w:color w:val="000000"/>
                <w:spacing w:val="15"/>
                <w:sz w:val="21"/>
                <w:szCs w:val="21"/>
              </w:rPr>
              <w:t>-4.64</w:t>
            </w:r>
          </w:p>
        </w:tc>
        <w:tc>
          <w:tcPr>
            <w:tcW w:w="2223" w:type="dxa"/>
            <w:tcBorders>
              <w:top w:val="nil"/>
              <w:bottom w:val="nil"/>
            </w:tcBorders>
            <w:shd w:val="clear" w:color="auto" w:fill="auto"/>
          </w:tcPr>
          <w:p w14:paraId="30868FD9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cs="Times New Roman"/>
                <w:color w:val="000000"/>
                <w:spacing w:val="15"/>
                <w:sz w:val="21"/>
                <w:szCs w:val="21"/>
              </w:rPr>
              <w:t>87.42</w:t>
            </w:r>
          </w:p>
        </w:tc>
      </w:tr>
      <w:tr w14:paraId="5C0F1E84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8" w:type="dxa"/>
            <w:tcBorders>
              <w:top w:val="nil"/>
              <w:bottom w:val="single" w:color="auto" w:sz="18" w:space="0"/>
            </w:tcBorders>
            <w:shd w:val="clear" w:color="auto" w:fill="auto"/>
          </w:tcPr>
          <w:p w14:paraId="5639E2E6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cs="Times New Roman"/>
                <w:color w:val="000000"/>
                <w:spacing w:val="15"/>
                <w:sz w:val="21"/>
                <w:szCs w:val="21"/>
              </w:rPr>
              <w:t>Pt/C</w:t>
            </w:r>
          </w:p>
        </w:tc>
        <w:tc>
          <w:tcPr>
            <w:tcW w:w="1408" w:type="dxa"/>
            <w:tcBorders>
              <w:top w:val="nil"/>
              <w:bottom w:val="single" w:color="auto" w:sz="18" w:space="0"/>
            </w:tcBorders>
            <w:shd w:val="clear" w:color="auto" w:fill="auto"/>
          </w:tcPr>
          <w:p w14:paraId="05C28612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cs="Times New Roman"/>
                <w:color w:val="000000"/>
                <w:spacing w:val="15"/>
                <w:sz w:val="21"/>
                <w:szCs w:val="21"/>
              </w:rPr>
              <w:t>0.892</w:t>
            </w:r>
          </w:p>
        </w:tc>
        <w:tc>
          <w:tcPr>
            <w:tcW w:w="1187" w:type="dxa"/>
            <w:tcBorders>
              <w:top w:val="nil"/>
              <w:bottom w:val="single" w:color="auto" w:sz="18" w:space="0"/>
            </w:tcBorders>
            <w:shd w:val="clear" w:color="auto" w:fill="auto"/>
          </w:tcPr>
          <w:p w14:paraId="129E2554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cs="Times New Roman"/>
                <w:color w:val="000000"/>
                <w:spacing w:val="15"/>
                <w:sz w:val="21"/>
                <w:szCs w:val="21"/>
              </w:rPr>
              <w:t>0.828</w:t>
            </w:r>
          </w:p>
        </w:tc>
        <w:tc>
          <w:tcPr>
            <w:tcW w:w="1830" w:type="dxa"/>
            <w:tcBorders>
              <w:top w:val="nil"/>
              <w:bottom w:val="single" w:color="auto" w:sz="18" w:space="0"/>
            </w:tcBorders>
            <w:shd w:val="clear" w:color="auto" w:fill="auto"/>
          </w:tcPr>
          <w:p w14:paraId="580AB140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cs="Times New Roman"/>
                <w:color w:val="000000"/>
                <w:spacing w:val="15"/>
                <w:sz w:val="21"/>
                <w:szCs w:val="21"/>
              </w:rPr>
              <w:t>-5.43</w:t>
            </w:r>
          </w:p>
        </w:tc>
        <w:tc>
          <w:tcPr>
            <w:tcW w:w="2223" w:type="dxa"/>
            <w:tcBorders>
              <w:top w:val="nil"/>
              <w:bottom w:val="single" w:color="auto" w:sz="18" w:space="0"/>
            </w:tcBorders>
            <w:shd w:val="clear" w:color="auto" w:fill="auto"/>
          </w:tcPr>
          <w:p w14:paraId="2D3EC4C2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cs="Times New Roman"/>
                <w:color w:val="000000"/>
                <w:spacing w:val="15"/>
                <w:sz w:val="21"/>
                <w:szCs w:val="21"/>
              </w:rPr>
              <w:t>78.12</w:t>
            </w:r>
          </w:p>
        </w:tc>
      </w:tr>
    </w:tbl>
    <w:p w14:paraId="380B417B">
      <w:pPr>
        <w:pStyle w:val="2"/>
        <w:keepNext/>
        <w:spacing w:line="480" w:lineRule="auto"/>
        <w:rPr>
          <w:rFonts w:hint="eastAsia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Table S3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>.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OER starting potentials, overpotentials, and tafel slopes for CoP@NC, CoMnP@NC, CoFeP@NC, CoNiP@NC, and RuO</w:t>
      </w:r>
      <w:r>
        <w:rPr>
          <w:rFonts w:ascii="Times New Roman" w:hAnsi="Times New Roman" w:cs="Times New Roman"/>
          <w:b/>
          <w:bCs/>
          <w:sz w:val="21"/>
          <w:szCs w:val="21"/>
          <w:vertAlign w:val="subscript"/>
        </w:rPr>
        <w:t>2</w:t>
      </w:r>
    </w:p>
    <w:tbl>
      <w:tblPr>
        <w:tblStyle w:val="7"/>
        <w:tblW w:w="0" w:type="auto"/>
        <w:tblInd w:w="0" w:type="dxa"/>
        <w:tblBorders>
          <w:top w:val="single" w:color="auto" w:sz="18" w:space="0"/>
          <w:left w:val="none" w:color="auto" w:sz="0" w:space="0"/>
          <w:bottom w:val="single" w:color="auto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6"/>
        <w:gridCol w:w="1578"/>
        <w:gridCol w:w="2010"/>
        <w:gridCol w:w="2752"/>
      </w:tblGrid>
      <w:tr w14:paraId="707D040B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966" w:type="dxa"/>
            <w:tcBorders>
              <w:bottom w:val="single" w:color="auto" w:sz="8" w:space="0"/>
            </w:tcBorders>
          </w:tcPr>
          <w:p w14:paraId="22DBD81D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pacing w:val="15"/>
                <w:sz w:val="21"/>
                <w:szCs w:val="21"/>
              </w:rPr>
            </w:pPr>
          </w:p>
        </w:tc>
        <w:tc>
          <w:tcPr>
            <w:tcW w:w="1578" w:type="dxa"/>
            <w:tcBorders>
              <w:bottom w:val="single" w:color="auto" w:sz="8" w:space="0"/>
            </w:tcBorders>
          </w:tcPr>
          <w:p w14:paraId="66FE8E80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E</w:t>
            </w: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  <w:vertAlign w:val="subscript"/>
              </w:rPr>
              <w:t>onset</w:t>
            </w: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 xml:space="preserve"> (V)</w:t>
            </w:r>
          </w:p>
        </w:tc>
        <w:tc>
          <w:tcPr>
            <w:tcW w:w="2010" w:type="dxa"/>
            <w:tcBorders>
              <w:bottom w:val="single" w:color="auto" w:sz="8" w:space="0"/>
            </w:tcBorders>
          </w:tcPr>
          <w:p w14:paraId="4EADA6A8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cs="Times New Roman"/>
                <w:color w:val="000000"/>
                <w:spacing w:val="15"/>
                <w:sz w:val="21"/>
                <w:szCs w:val="21"/>
              </w:rPr>
              <w:t>overpotential</w:t>
            </w: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 xml:space="preserve"> (V)</w:t>
            </w:r>
          </w:p>
        </w:tc>
        <w:tc>
          <w:tcPr>
            <w:tcW w:w="2752" w:type="dxa"/>
            <w:tcBorders>
              <w:bottom w:val="single" w:color="auto" w:sz="8" w:space="0"/>
            </w:tcBorders>
          </w:tcPr>
          <w:p w14:paraId="76DF52EB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Tafel Slope (mV dec</w:t>
            </w: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  <w:vertAlign w:val="superscript"/>
              </w:rPr>
              <w:t>-1</w:t>
            </w: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)</w:t>
            </w:r>
          </w:p>
        </w:tc>
      </w:tr>
      <w:tr w14:paraId="0BA34E37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966" w:type="dxa"/>
            <w:tcBorders>
              <w:top w:val="single" w:color="auto" w:sz="8" w:space="0"/>
              <w:bottom w:val="nil"/>
            </w:tcBorders>
          </w:tcPr>
          <w:p w14:paraId="071111CF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CoP@NC</w:t>
            </w:r>
          </w:p>
        </w:tc>
        <w:tc>
          <w:tcPr>
            <w:tcW w:w="1578" w:type="dxa"/>
            <w:tcBorders>
              <w:top w:val="single" w:color="auto" w:sz="8" w:space="0"/>
              <w:bottom w:val="nil"/>
            </w:tcBorders>
          </w:tcPr>
          <w:p w14:paraId="34E4F6C2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1.566</w:t>
            </w:r>
          </w:p>
        </w:tc>
        <w:tc>
          <w:tcPr>
            <w:tcW w:w="2010" w:type="dxa"/>
            <w:tcBorders>
              <w:top w:val="single" w:color="auto" w:sz="8" w:space="0"/>
              <w:bottom w:val="nil"/>
            </w:tcBorders>
          </w:tcPr>
          <w:p w14:paraId="4EDB5208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0.539</w:t>
            </w:r>
          </w:p>
        </w:tc>
        <w:tc>
          <w:tcPr>
            <w:tcW w:w="2752" w:type="dxa"/>
            <w:tcBorders>
              <w:top w:val="single" w:color="auto" w:sz="8" w:space="0"/>
              <w:bottom w:val="nil"/>
            </w:tcBorders>
          </w:tcPr>
          <w:p w14:paraId="4EE6E9C7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128.41</w:t>
            </w:r>
          </w:p>
        </w:tc>
      </w:tr>
      <w:tr w14:paraId="52ADB800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966" w:type="dxa"/>
            <w:tcBorders>
              <w:top w:val="nil"/>
              <w:bottom w:val="nil"/>
            </w:tcBorders>
          </w:tcPr>
          <w:p w14:paraId="12FC3C12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CoMnP@NC</w:t>
            </w: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719938D5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1.541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1E26295C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0.527</w:t>
            </w:r>
          </w:p>
        </w:tc>
        <w:tc>
          <w:tcPr>
            <w:tcW w:w="2752" w:type="dxa"/>
            <w:tcBorders>
              <w:top w:val="nil"/>
              <w:bottom w:val="nil"/>
            </w:tcBorders>
          </w:tcPr>
          <w:p w14:paraId="390D6A24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126.54</w:t>
            </w:r>
          </w:p>
        </w:tc>
      </w:tr>
      <w:tr w14:paraId="01A1DC7B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966" w:type="dxa"/>
            <w:tcBorders>
              <w:top w:val="nil"/>
              <w:bottom w:val="nil"/>
            </w:tcBorders>
          </w:tcPr>
          <w:p w14:paraId="6D78B86E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CoFeP@NC</w:t>
            </w: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4B484B65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1.510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2F815036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0.508</w:t>
            </w:r>
          </w:p>
        </w:tc>
        <w:tc>
          <w:tcPr>
            <w:tcW w:w="2752" w:type="dxa"/>
            <w:tcBorders>
              <w:top w:val="nil"/>
              <w:bottom w:val="nil"/>
            </w:tcBorders>
          </w:tcPr>
          <w:p w14:paraId="0EEEFE63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117.32</w:t>
            </w:r>
          </w:p>
        </w:tc>
      </w:tr>
      <w:tr w14:paraId="01E4D69E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966" w:type="dxa"/>
            <w:tcBorders>
              <w:top w:val="nil"/>
              <w:bottom w:val="nil"/>
            </w:tcBorders>
          </w:tcPr>
          <w:p w14:paraId="39941D38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cs="Times New Roman"/>
                <w:color w:val="000000"/>
                <w:spacing w:val="15"/>
                <w:sz w:val="21"/>
                <w:szCs w:val="21"/>
              </w:rPr>
              <w:t>CoNiP@NC</w:t>
            </w:r>
          </w:p>
        </w:tc>
        <w:tc>
          <w:tcPr>
            <w:tcW w:w="1578" w:type="dxa"/>
            <w:tcBorders>
              <w:top w:val="nil"/>
              <w:bottom w:val="nil"/>
            </w:tcBorders>
          </w:tcPr>
          <w:p w14:paraId="0231D294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cs="Times New Roman"/>
                <w:color w:val="000000"/>
                <w:spacing w:val="15"/>
                <w:sz w:val="21"/>
                <w:szCs w:val="21"/>
              </w:rPr>
              <w:t>1.501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4C681F8D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cs="Times New Roman"/>
                <w:color w:val="000000"/>
                <w:spacing w:val="15"/>
                <w:sz w:val="21"/>
                <w:szCs w:val="21"/>
              </w:rPr>
              <w:t>0.503</w:t>
            </w:r>
          </w:p>
        </w:tc>
        <w:tc>
          <w:tcPr>
            <w:tcW w:w="2752" w:type="dxa"/>
            <w:tcBorders>
              <w:top w:val="nil"/>
              <w:bottom w:val="nil"/>
            </w:tcBorders>
          </w:tcPr>
          <w:p w14:paraId="518F4F5F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cs="Times New Roman"/>
                <w:color w:val="000000"/>
                <w:spacing w:val="15"/>
                <w:sz w:val="21"/>
                <w:szCs w:val="21"/>
              </w:rPr>
              <w:t>116.26</w:t>
            </w:r>
          </w:p>
        </w:tc>
      </w:tr>
      <w:tr w14:paraId="2459B433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966" w:type="dxa"/>
            <w:tcBorders>
              <w:top w:val="nil"/>
              <w:bottom w:val="single" w:color="auto" w:sz="18" w:space="0"/>
            </w:tcBorders>
          </w:tcPr>
          <w:p w14:paraId="430A1C7A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cs="Times New Roman"/>
                <w:color w:val="000000"/>
                <w:spacing w:val="15"/>
                <w:sz w:val="21"/>
                <w:szCs w:val="21"/>
              </w:rPr>
              <w:t>RuO</w:t>
            </w:r>
            <w:r>
              <w:rPr>
                <w:rFonts w:cs="Times New Roman"/>
                <w:color w:val="000000"/>
                <w:spacing w:val="15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578" w:type="dxa"/>
            <w:tcBorders>
              <w:top w:val="nil"/>
              <w:bottom w:val="single" w:color="auto" w:sz="18" w:space="0"/>
            </w:tcBorders>
          </w:tcPr>
          <w:p w14:paraId="75F34D2F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cs="Times New Roman"/>
                <w:color w:val="000000"/>
                <w:spacing w:val="15"/>
                <w:sz w:val="21"/>
                <w:szCs w:val="21"/>
              </w:rPr>
              <w:t>1.533</w:t>
            </w:r>
          </w:p>
        </w:tc>
        <w:tc>
          <w:tcPr>
            <w:tcW w:w="2010" w:type="dxa"/>
            <w:tcBorders>
              <w:top w:val="nil"/>
              <w:bottom w:val="single" w:color="auto" w:sz="18" w:space="0"/>
            </w:tcBorders>
          </w:tcPr>
          <w:p w14:paraId="11E50541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cs="Times New Roman"/>
                <w:color w:val="000000"/>
                <w:spacing w:val="15"/>
                <w:sz w:val="21"/>
                <w:szCs w:val="21"/>
              </w:rPr>
              <w:t>0.597</w:t>
            </w:r>
          </w:p>
        </w:tc>
        <w:tc>
          <w:tcPr>
            <w:tcW w:w="2752" w:type="dxa"/>
            <w:tcBorders>
              <w:top w:val="nil"/>
              <w:bottom w:val="single" w:color="auto" w:sz="18" w:space="0"/>
            </w:tcBorders>
          </w:tcPr>
          <w:p w14:paraId="1A0747C9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cs="Times New Roman"/>
                <w:color w:val="000000"/>
                <w:spacing w:val="15"/>
                <w:sz w:val="21"/>
                <w:szCs w:val="21"/>
              </w:rPr>
              <w:t>133.32</w:t>
            </w:r>
          </w:p>
        </w:tc>
      </w:tr>
    </w:tbl>
    <w:p w14:paraId="6944E753">
      <w:pPr>
        <w:pStyle w:val="2"/>
        <w:spacing w:line="360" w:lineRule="auto"/>
        <w:rPr>
          <w:rFonts w:hint="eastAsia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Table S4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>.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ORR and OER potential differences for CoP@NC, CoMnP@NC, CoFeP@NC, CoNiP@NC and Pt/C-RuO</w:t>
      </w:r>
      <w:r>
        <w:rPr>
          <w:rFonts w:ascii="Times New Roman" w:hAnsi="Times New Roman" w:cs="Times New Roman"/>
          <w:b/>
          <w:bCs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catalysts</w:t>
      </w:r>
    </w:p>
    <w:tbl>
      <w:tblPr>
        <w:tblStyle w:val="7"/>
        <w:tblW w:w="0" w:type="auto"/>
        <w:tblInd w:w="0" w:type="dxa"/>
        <w:tblBorders>
          <w:top w:val="single" w:color="auto" w:sz="18" w:space="0"/>
          <w:left w:val="none" w:color="auto" w:sz="0" w:space="0"/>
          <w:bottom w:val="single" w:color="auto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8"/>
        <w:gridCol w:w="1724"/>
        <w:gridCol w:w="1871"/>
        <w:gridCol w:w="2743"/>
      </w:tblGrid>
      <w:tr w14:paraId="35E5C94A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968" w:type="dxa"/>
            <w:tcBorders>
              <w:bottom w:val="single" w:color="auto" w:sz="8" w:space="0"/>
            </w:tcBorders>
          </w:tcPr>
          <w:p w14:paraId="136B4B2C">
            <w:pPr>
              <w:spacing w:line="360" w:lineRule="auto"/>
              <w:jc w:val="center"/>
              <w:rPr>
                <w:rFonts w:cs="Times New Roman"/>
                <w:b/>
                <w:bCs/>
                <w:color w:val="000000"/>
                <w:spacing w:val="15"/>
                <w:sz w:val="21"/>
                <w:szCs w:val="21"/>
              </w:rPr>
            </w:pPr>
          </w:p>
        </w:tc>
        <w:tc>
          <w:tcPr>
            <w:tcW w:w="1724" w:type="dxa"/>
            <w:tcBorders>
              <w:bottom w:val="single" w:color="auto" w:sz="8" w:space="0"/>
            </w:tcBorders>
          </w:tcPr>
          <w:p w14:paraId="162F9FAB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E</w:t>
            </w: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  <w:vertAlign w:val="subscript"/>
              </w:rPr>
              <w:t>ORR</w:t>
            </w: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 xml:space="preserve"> (V)</w:t>
            </w:r>
          </w:p>
        </w:tc>
        <w:tc>
          <w:tcPr>
            <w:tcW w:w="1871" w:type="dxa"/>
            <w:tcBorders>
              <w:bottom w:val="single" w:color="auto" w:sz="8" w:space="0"/>
            </w:tcBorders>
          </w:tcPr>
          <w:p w14:paraId="3C0D1DF1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E</w:t>
            </w: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  <w:vertAlign w:val="subscript"/>
              </w:rPr>
              <w:t>OER</w:t>
            </w: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 xml:space="preserve"> (V)</w:t>
            </w:r>
          </w:p>
        </w:tc>
        <w:tc>
          <w:tcPr>
            <w:tcW w:w="2743" w:type="dxa"/>
            <w:tcBorders>
              <w:bottom w:val="single" w:color="auto" w:sz="8" w:space="0"/>
            </w:tcBorders>
          </w:tcPr>
          <w:p w14:paraId="5E427094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ascii="Cambria Math" w:hAnsi="Cambria Math" w:cs="Times New Roman"/>
                <w:color w:val="000000"/>
                <w:spacing w:val="15"/>
                <w:sz w:val="21"/>
                <w:szCs w:val="21"/>
              </w:rPr>
              <w:t>∆</w:t>
            </w: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E (V)</w:t>
            </w:r>
          </w:p>
        </w:tc>
      </w:tr>
      <w:tr w14:paraId="5A7C717F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968" w:type="dxa"/>
            <w:tcBorders>
              <w:top w:val="single" w:color="auto" w:sz="8" w:space="0"/>
              <w:bottom w:val="nil"/>
            </w:tcBorders>
          </w:tcPr>
          <w:p w14:paraId="4B67E876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CoP@NC</w:t>
            </w:r>
          </w:p>
        </w:tc>
        <w:tc>
          <w:tcPr>
            <w:tcW w:w="1724" w:type="dxa"/>
            <w:tcBorders>
              <w:top w:val="single" w:color="auto" w:sz="8" w:space="0"/>
              <w:bottom w:val="nil"/>
            </w:tcBorders>
          </w:tcPr>
          <w:p w14:paraId="6C4DC2C4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0.658</w:t>
            </w:r>
          </w:p>
        </w:tc>
        <w:tc>
          <w:tcPr>
            <w:tcW w:w="1871" w:type="dxa"/>
            <w:tcBorders>
              <w:top w:val="single" w:color="auto" w:sz="8" w:space="0"/>
              <w:bottom w:val="nil"/>
            </w:tcBorders>
          </w:tcPr>
          <w:p w14:paraId="7E35D97A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1.769</w:t>
            </w:r>
          </w:p>
        </w:tc>
        <w:tc>
          <w:tcPr>
            <w:tcW w:w="2743" w:type="dxa"/>
            <w:tcBorders>
              <w:top w:val="single" w:color="auto" w:sz="8" w:space="0"/>
              <w:bottom w:val="nil"/>
            </w:tcBorders>
          </w:tcPr>
          <w:p w14:paraId="72E51C52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1.111</w:t>
            </w:r>
          </w:p>
        </w:tc>
      </w:tr>
      <w:tr w14:paraId="2515B5EB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968" w:type="dxa"/>
            <w:tcBorders>
              <w:top w:val="nil"/>
              <w:bottom w:val="nil"/>
            </w:tcBorders>
          </w:tcPr>
          <w:p w14:paraId="731AEAC7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CoMnP@NC</w:t>
            </w:r>
          </w:p>
        </w:tc>
        <w:tc>
          <w:tcPr>
            <w:tcW w:w="1724" w:type="dxa"/>
            <w:tcBorders>
              <w:top w:val="nil"/>
              <w:bottom w:val="nil"/>
            </w:tcBorders>
          </w:tcPr>
          <w:p w14:paraId="6AADC5BB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0.666</w:t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 w14:paraId="27879770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1.757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 w14:paraId="17C96ADF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1.091</w:t>
            </w:r>
          </w:p>
        </w:tc>
      </w:tr>
      <w:tr w14:paraId="487213F8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968" w:type="dxa"/>
            <w:tcBorders>
              <w:top w:val="nil"/>
              <w:bottom w:val="nil"/>
            </w:tcBorders>
          </w:tcPr>
          <w:p w14:paraId="4CF0C818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CoFeP@NC</w:t>
            </w:r>
          </w:p>
        </w:tc>
        <w:tc>
          <w:tcPr>
            <w:tcW w:w="1724" w:type="dxa"/>
            <w:tcBorders>
              <w:top w:val="nil"/>
              <w:bottom w:val="nil"/>
            </w:tcBorders>
          </w:tcPr>
          <w:p w14:paraId="4C3924BF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0.661</w:t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 w14:paraId="4743A008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1.738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 w14:paraId="085F3B49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1.077</w:t>
            </w:r>
          </w:p>
        </w:tc>
      </w:tr>
      <w:tr w14:paraId="0A6E34DE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968" w:type="dxa"/>
            <w:tcBorders>
              <w:top w:val="nil"/>
              <w:bottom w:val="nil"/>
            </w:tcBorders>
          </w:tcPr>
          <w:p w14:paraId="5B74F0A0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CoNiP@NC</w:t>
            </w:r>
          </w:p>
        </w:tc>
        <w:tc>
          <w:tcPr>
            <w:tcW w:w="1724" w:type="dxa"/>
            <w:tcBorders>
              <w:top w:val="nil"/>
              <w:bottom w:val="nil"/>
            </w:tcBorders>
          </w:tcPr>
          <w:p w14:paraId="30401AAB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0.670</w:t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 w14:paraId="264BE538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1.733</w:t>
            </w:r>
          </w:p>
        </w:tc>
        <w:tc>
          <w:tcPr>
            <w:tcW w:w="2743" w:type="dxa"/>
            <w:tcBorders>
              <w:top w:val="nil"/>
              <w:bottom w:val="nil"/>
            </w:tcBorders>
          </w:tcPr>
          <w:p w14:paraId="48A559AE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cs="Times New Roman"/>
                <w:color w:val="000000"/>
                <w:spacing w:val="15"/>
                <w:sz w:val="21"/>
                <w:szCs w:val="21"/>
              </w:rPr>
              <w:t>1.063</w:t>
            </w:r>
          </w:p>
        </w:tc>
      </w:tr>
      <w:tr w14:paraId="6978A794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968" w:type="dxa"/>
            <w:tcBorders>
              <w:top w:val="nil"/>
              <w:bottom w:val="single" w:color="auto" w:sz="18" w:space="0"/>
            </w:tcBorders>
          </w:tcPr>
          <w:p w14:paraId="40EED528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Pt/C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-</w:t>
            </w:r>
            <w:r>
              <w:rPr>
                <w:rFonts w:cs="Times New Roman"/>
                <w:color w:val="000000"/>
                <w:sz w:val="21"/>
                <w:szCs w:val="21"/>
              </w:rPr>
              <w:t>RuO</w:t>
            </w:r>
            <w:r>
              <w:rPr>
                <w:rFonts w:cs="Times New Roman"/>
                <w:color w:val="00000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724" w:type="dxa"/>
            <w:tcBorders>
              <w:top w:val="nil"/>
              <w:bottom w:val="single" w:color="auto" w:sz="18" w:space="0"/>
            </w:tcBorders>
          </w:tcPr>
          <w:p w14:paraId="25743553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0.828</w:t>
            </w:r>
          </w:p>
        </w:tc>
        <w:tc>
          <w:tcPr>
            <w:tcW w:w="1871" w:type="dxa"/>
            <w:tcBorders>
              <w:top w:val="nil"/>
              <w:bottom w:val="single" w:color="auto" w:sz="18" w:space="0"/>
            </w:tcBorders>
          </w:tcPr>
          <w:p w14:paraId="762E8A2A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pacing w:val="15"/>
                <w:sz w:val="21"/>
                <w:szCs w:val="21"/>
              </w:rPr>
              <w:t>1.827</w:t>
            </w:r>
          </w:p>
        </w:tc>
        <w:tc>
          <w:tcPr>
            <w:tcW w:w="2743" w:type="dxa"/>
            <w:tcBorders>
              <w:top w:val="nil"/>
              <w:bottom w:val="single" w:color="auto" w:sz="18" w:space="0"/>
            </w:tcBorders>
          </w:tcPr>
          <w:p w14:paraId="7277655D">
            <w:pPr>
              <w:spacing w:line="360" w:lineRule="auto"/>
              <w:jc w:val="center"/>
              <w:rPr>
                <w:rFonts w:cs="Times New Roman"/>
                <w:color w:val="000000"/>
                <w:spacing w:val="15"/>
                <w:sz w:val="21"/>
                <w:szCs w:val="21"/>
              </w:rPr>
            </w:pPr>
            <w:r>
              <w:rPr>
                <w:rFonts w:cs="Times New Roman"/>
                <w:color w:val="000000"/>
                <w:spacing w:val="15"/>
                <w:sz w:val="21"/>
                <w:szCs w:val="21"/>
              </w:rPr>
              <w:t>0.999</w:t>
            </w:r>
          </w:p>
        </w:tc>
      </w:tr>
    </w:tbl>
    <w:p w14:paraId="78997BC2">
      <w:pPr>
        <w:widowControl/>
        <w:jc w:val="left"/>
        <w:rPr>
          <w:b/>
          <w:bCs/>
          <w:sz w:val="21"/>
          <w:szCs w:val="21"/>
        </w:rPr>
      </w:pPr>
    </w:p>
    <w:p w14:paraId="72CF9C63">
      <w:pPr>
        <w:pStyle w:val="2"/>
        <w:spacing w:line="360" w:lineRule="auto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4931410" cy="7559675"/>
            <wp:effectExtent l="0" t="0" r="2540" b="3175"/>
            <wp:docPr id="20098451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845122" name="图片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DD136">
      <w:pPr>
        <w:pStyle w:val="2"/>
        <w:spacing w:line="360" w:lineRule="auto"/>
        <w:rPr>
          <w:rFonts w:ascii="Times New Roman" w:hAnsi="Times New Roman" w:eastAsia="宋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Fig. S2. </w:t>
      </w:r>
      <w:r>
        <w:rPr>
          <w:rFonts w:ascii="Times New Roman" w:hAnsi="Times New Roman" w:cs="Times New Roman"/>
          <w:sz w:val="21"/>
          <w:szCs w:val="21"/>
        </w:rPr>
        <w:t>Nitrogen adsorption-desorption hysteresis curves and corresponding pore size distributions for (a, e) CoP@NC, (b, f) CoMnP@NC, (c, g) CoFeP@NC, and (d, h) CoNiP@NC.</w:t>
      </w:r>
    </w:p>
    <w:p w14:paraId="44E9DD87">
      <w:pPr>
        <w:widowControl/>
        <w:jc w:val="left"/>
      </w:pPr>
    </w:p>
    <w:p w14:paraId="404BD4DF">
      <w:pPr>
        <w:spacing w:line="360" w:lineRule="auto"/>
        <w:jc w:val="center"/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  <w14:ligatures w14:val="standardContextual"/>
        </w:rPr>
        <w:drawing>
          <wp:inline distT="0" distB="0" distL="0" distR="0">
            <wp:extent cx="4809490" cy="7559675"/>
            <wp:effectExtent l="0" t="0" r="0" b="3175"/>
            <wp:docPr id="10069348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934823" name="图片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96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37105">
      <w:pPr>
        <w:widowControl/>
        <w:spacing w:line="480" w:lineRule="auto"/>
        <w:rPr>
          <w:sz w:val="21"/>
          <w:szCs w:val="21"/>
        </w:rPr>
      </w:pPr>
      <w:r>
        <w:rPr>
          <w:b/>
          <w:bCs/>
          <w:sz w:val="21"/>
          <w:szCs w:val="21"/>
        </w:rPr>
        <w:t>Fig. S</w:t>
      </w:r>
      <w:r>
        <w:rPr>
          <w:rFonts w:hint="eastAsia"/>
          <w:b/>
          <w:bCs/>
          <w:sz w:val="21"/>
          <w:szCs w:val="21"/>
        </w:rPr>
        <w:t>3</w:t>
      </w:r>
      <w:r>
        <w:rPr>
          <w:b/>
          <w:bCs/>
          <w:sz w:val="21"/>
          <w:szCs w:val="21"/>
        </w:rPr>
        <w:t>.</w:t>
      </w:r>
      <w:r>
        <w:rPr>
          <w:sz w:val="21"/>
          <w:szCs w:val="21"/>
        </w:rPr>
        <w:t xml:space="preserve"> LSV curves of CoP@NC, CoMnP@NC, CoFeP@NC and CoNiP@NC catalysts (a-d) at different rotational speeds and the corresponding Koutecky-Levich plots (e-h).</w:t>
      </w:r>
    </w:p>
    <w:p w14:paraId="579BE4D0">
      <w:pPr>
        <w:spacing w:line="480" w:lineRule="auto"/>
        <w:rPr>
          <w:sz w:val="21"/>
          <w:szCs w:val="21"/>
        </w:rPr>
      </w:pPr>
    </w:p>
    <w:p w14:paraId="64E70B87">
      <w:pPr>
        <w:spacing w:line="480" w:lineRule="auto"/>
        <w:jc w:val="center"/>
        <w:rPr>
          <w:rFonts w:hint="eastAsia"/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  <w14:ligatures w14:val="standardContextual"/>
        </w:rPr>
        <w:drawing>
          <wp:inline distT="0" distB="0" distL="0" distR="0">
            <wp:extent cx="2903220" cy="2489200"/>
            <wp:effectExtent l="0" t="0" r="0" b="6350"/>
            <wp:docPr id="10267627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762743" name="图片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916" cy="2501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839C8">
      <w:pPr>
        <w:spacing w:line="480" w:lineRule="auto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Fig. S4. </w:t>
      </w:r>
      <w:r>
        <w:rPr>
          <w:sz w:val="21"/>
          <w:szCs w:val="21"/>
        </w:rPr>
        <w:t>K-L plot of CoMP@NC catalyst at 0.2 V.</w:t>
      </w:r>
    </w:p>
    <w:p w14:paraId="6BA6845D">
      <w:pPr>
        <w:spacing w:line="480" w:lineRule="auto"/>
        <w:rPr>
          <w:b/>
          <w:bCs/>
          <w:sz w:val="21"/>
          <w:szCs w:val="21"/>
        </w:rPr>
      </w:pPr>
    </w:p>
    <w:p w14:paraId="4CE1DF5C">
      <w:pPr>
        <w:spacing w:line="480" w:lineRule="auto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Table S</w:t>
      </w:r>
      <w:r>
        <w:rPr>
          <w:rFonts w:hint="eastAsia"/>
          <w:b/>
          <w:bCs/>
          <w:sz w:val="21"/>
          <w:szCs w:val="21"/>
        </w:rPr>
        <w:t>5</w:t>
      </w:r>
      <w:r>
        <w:rPr>
          <w:b/>
          <w:bCs/>
          <w:sz w:val="21"/>
          <w:szCs w:val="21"/>
        </w:rPr>
        <w:t>. Bifunctional catalytic activity of other catalysts in the literature</w:t>
      </w:r>
    </w:p>
    <w:tbl>
      <w:tblPr>
        <w:tblStyle w:val="7"/>
        <w:tblW w:w="0" w:type="auto"/>
        <w:tblInd w:w="-142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3"/>
        <w:gridCol w:w="2145"/>
        <w:gridCol w:w="2109"/>
        <w:gridCol w:w="1722"/>
      </w:tblGrid>
      <w:tr w14:paraId="702A95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rPr>
          <w:trHeight w:val="805" w:hRule="atLeast"/>
        </w:trPr>
        <w:tc>
          <w:tcPr>
            <w:tcW w:w="2433" w:type="dxa"/>
            <w:tcBorders>
              <w:bottom w:val="single" w:color="auto" w:sz="4" w:space="0"/>
              <w:right w:val="nil"/>
            </w:tcBorders>
          </w:tcPr>
          <w:p w14:paraId="3481A906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Catalysts</w:t>
            </w:r>
          </w:p>
        </w:tc>
        <w:tc>
          <w:tcPr>
            <w:tcW w:w="2145" w:type="dxa"/>
            <w:tcBorders>
              <w:left w:val="nil"/>
              <w:bottom w:val="single" w:color="auto" w:sz="4" w:space="0"/>
              <w:right w:val="nil"/>
            </w:tcBorders>
          </w:tcPr>
          <w:p w14:paraId="0078CC86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E</w:t>
            </w:r>
            <w:r>
              <w:rPr>
                <w:rFonts w:hint="eastAsia" w:cs="Times New Roman"/>
                <w:color w:val="000000"/>
                <w:sz w:val="21"/>
                <w:szCs w:val="21"/>
                <w:vertAlign w:val="subscript"/>
              </w:rPr>
              <w:t>ORR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(V)(E</w:t>
            </w:r>
            <w:r>
              <w:rPr>
                <w:rFonts w:hint="eastAsia" w:cs="Times New Roman"/>
                <w:color w:val="000000"/>
                <w:sz w:val="21"/>
                <w:szCs w:val="21"/>
                <w:vertAlign w:val="subscript"/>
              </w:rPr>
              <w:t>1/2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109" w:type="dxa"/>
            <w:tcBorders>
              <w:left w:val="nil"/>
              <w:bottom w:val="single" w:color="auto" w:sz="4" w:space="0"/>
              <w:right w:val="nil"/>
            </w:tcBorders>
          </w:tcPr>
          <w:p w14:paraId="71F8D29E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E</w:t>
            </w:r>
            <w:r>
              <w:rPr>
                <w:rFonts w:hint="eastAsia" w:cs="Times New Roman"/>
                <w:color w:val="000000"/>
                <w:sz w:val="21"/>
                <w:szCs w:val="21"/>
                <w:vertAlign w:val="subscript"/>
              </w:rPr>
              <w:t>OER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(V)</w:t>
            </w:r>
          </w:p>
          <w:p w14:paraId="354AE069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@</w:t>
            </w:r>
            <w:r>
              <w:rPr>
                <w:rFonts w:hint="eastAsia" w:cs="Times New Roman"/>
                <w:i/>
                <w:iCs/>
                <w:color w:val="000000"/>
                <w:sz w:val="21"/>
                <w:szCs w:val="21"/>
              </w:rPr>
              <w:t>j=10 mA cm</w:t>
            </w:r>
            <w:r>
              <w:rPr>
                <w:rFonts w:hint="eastAsia" w:cs="Times New Roman"/>
                <w:i/>
                <w:iCs/>
                <w:color w:val="000000"/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1722" w:type="dxa"/>
            <w:tcBorders>
              <w:left w:val="nil"/>
              <w:bottom w:val="single" w:color="auto" w:sz="4" w:space="0"/>
            </w:tcBorders>
          </w:tcPr>
          <w:p w14:paraId="148FEAAC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ascii="Cambria Math" w:hAnsi="Cambria Math" w:cs="Times New Roman"/>
                <w:color w:val="000000"/>
                <w:sz w:val="21"/>
                <w:szCs w:val="21"/>
              </w:rPr>
              <w:t>∆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E=E</w:t>
            </w:r>
            <w:r>
              <w:rPr>
                <w:rFonts w:hint="eastAsia" w:cs="Times New Roman"/>
                <w:color w:val="000000"/>
                <w:sz w:val="21"/>
                <w:szCs w:val="21"/>
                <w:vertAlign w:val="subscript"/>
              </w:rPr>
              <w:t>OER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-E</w:t>
            </w:r>
            <w:r>
              <w:rPr>
                <w:rFonts w:hint="eastAsia" w:cs="Times New Roman"/>
                <w:color w:val="000000"/>
                <w:sz w:val="21"/>
                <w:szCs w:val="21"/>
                <w:vertAlign w:val="subscript"/>
              </w:rPr>
              <w:t>ORR</w:t>
            </w:r>
          </w:p>
        </w:tc>
      </w:tr>
      <w:tr w14:paraId="1F9774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2433" w:type="dxa"/>
            <w:tcBorders>
              <w:top w:val="single" w:color="auto" w:sz="4" w:space="0"/>
              <w:bottom w:val="nil"/>
              <w:right w:val="nil"/>
            </w:tcBorders>
          </w:tcPr>
          <w:p w14:paraId="42D4EC38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Mn-CoFeP-2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9ECBD49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0.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670</w:t>
            </w:r>
            <w:r>
              <w:rPr>
                <w:rFonts w:cs="Times New Roman"/>
                <w:color w:val="000000"/>
                <w:sz w:val="21"/>
                <w:szCs w:val="21"/>
              </w:rPr>
              <w:t xml:space="preserve"> vs. RHE</w:t>
            </w:r>
          </w:p>
        </w:tc>
        <w:tc>
          <w:tcPr>
            <w:tcW w:w="210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A268617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1.733</w:t>
            </w:r>
            <w:r>
              <w:rPr>
                <w:rFonts w:cs="Times New Roman"/>
                <w:color w:val="000000"/>
                <w:sz w:val="21"/>
                <w:szCs w:val="21"/>
              </w:rPr>
              <w:t xml:space="preserve"> vs. RHE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nil"/>
            </w:tcBorders>
          </w:tcPr>
          <w:p w14:paraId="62F301C3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1.063 This work</w:t>
            </w:r>
          </w:p>
        </w:tc>
      </w:tr>
      <w:tr w14:paraId="67FFB7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2433" w:type="dxa"/>
            <w:tcBorders>
              <w:top w:val="nil"/>
              <w:bottom w:val="nil"/>
              <w:right w:val="nil"/>
            </w:tcBorders>
          </w:tcPr>
          <w:p w14:paraId="7A9BC611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Pt/C</w:t>
            </w:r>
            <w:r>
              <w:rPr>
                <w:rFonts w:cs="Times New Roman"/>
                <w:color w:val="000000"/>
                <w:sz w:val="21"/>
                <w:szCs w:val="21"/>
                <w:vertAlign w:val="superscript"/>
              </w:rPr>
              <w:fldChar w:fldCharType="begin"/>
            </w:r>
            <w:r>
              <w:rPr>
                <w:rFonts w:cs="Times New Roman"/>
                <w:color w:val="000000"/>
                <w:sz w:val="21"/>
                <w:szCs w:val="21"/>
                <w:vertAlign w:val="superscript"/>
              </w:rPr>
              <w:instrText xml:space="preserve"> ADDIN EN.CITE &lt;EndNote&gt;&lt;Cite&gt;&lt;Author&gt;Rincon&lt;/Author&gt;&lt;Year&gt;2014&lt;/Year&gt;&lt;RecNum&gt;113&lt;/RecNum&gt;&lt;DisplayText&gt;&lt;style face="superscript"&gt;1&lt;/style&gt;&lt;/DisplayText&gt;&lt;record&gt;&lt;rec-number&gt;113&lt;/rec-number&gt;&lt;foreign-keys&gt;&lt;key app="EN" db-id="rptvdp20ssesv7exxvx5s9tcsvszrvvd0vwt" timestamp="1730810653"&gt;113&lt;/key&gt;&lt;/foreign-keys&gt;&lt;ref-type name="Journal Article"&gt;17&lt;/ref-type&gt;&lt;contributors&gt;&lt;authors&gt;&lt;author&gt;Rincon, Rosalba A.&lt;/author&gt;&lt;author&gt;Masa, Justus&lt;/author&gt;&lt;author&gt;Mehrpour, Sara&lt;/author&gt;&lt;author&gt;Tietz, Frank&lt;/author&gt;&lt;author&gt;Schuhmann, Wolfgang&lt;/author&gt;&lt;/authors&gt;&lt;/contributors&gt;&lt;titles&gt;&lt;title&gt;Activation of oxygen evolving perovskites for oxygen reduction by functionalization with Fe-N&amp;lt;i&amp;gt;&amp;lt;sub&amp;gt;x&amp;lt;/sub&amp;gt;&amp;lt;/i&amp;gt;/C groups&lt;/title&gt;&lt;secondary-title&gt;Chemical Communications&lt;/secondary-title&gt;&lt;/titles&gt;&lt;periodical&gt;&lt;full-title&gt;Chemical Communications&lt;/full-title&gt;&lt;/periodical&gt;&lt;pages&gt;14760-14762&lt;/pages&gt;&lt;volume&gt;50&lt;/volume&gt;&lt;number&gt;94&lt;/number&gt;&lt;dates&gt;&lt;year&gt;2014&lt;/year&gt;&lt;pub-dates&gt;&lt;date&gt;2014&lt;/date&gt;&lt;/pub-dates&gt;&lt;/dates&gt;&lt;isbn&gt;1359-7345&lt;/isbn&gt;&lt;accession-num&gt;WOS:000344460300013&lt;/accession-num&gt;&lt;work-type&gt;Article&lt;/work-type&gt;&lt;urls&gt;&lt;related-urls&gt;&lt;url&gt;&amp;lt;Go to ISI&amp;gt;://WOS:000344460300013&lt;/url&gt;&lt;/related-urls&gt;&lt;/urls&gt;&lt;electronic-resource-num&gt;10.1039/c4cc06446a&lt;/electronic-resource-num&gt;&lt;/record&gt;&lt;/Cite&gt;&lt;/EndNote&gt;</w:instrText>
            </w:r>
            <w:r>
              <w:rPr>
                <w:rFonts w:cs="Times New Roman"/>
                <w:color w:val="000000"/>
                <w:sz w:val="21"/>
                <w:szCs w:val="21"/>
                <w:vertAlign w:val="superscript"/>
              </w:rPr>
              <w:fldChar w:fldCharType="separate"/>
            </w:r>
            <w:r>
              <w:rPr>
                <w:rFonts w:cs="Times New Roman"/>
                <w:color w:val="000000"/>
                <w:sz w:val="21"/>
                <w:szCs w:val="21"/>
                <w:vertAlign w:val="superscript"/>
              </w:rPr>
              <w:t>1</w:t>
            </w:r>
            <w:r>
              <w:rPr>
                <w:rFonts w:cs="Times New Roman"/>
                <w:color w:val="000000"/>
                <w:sz w:val="21"/>
                <w:szCs w:val="21"/>
                <w:vertAlign w:val="superscript"/>
              </w:rPr>
              <w:fldChar w:fldCharType="end"/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3EB7E4F8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0.97 vs. RHE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14:paraId="2FD7C521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2.19 vs. RHE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</w:tcBorders>
          </w:tcPr>
          <w:p w14:paraId="03B23DF6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1.22</w:t>
            </w:r>
          </w:p>
        </w:tc>
      </w:tr>
      <w:tr w14:paraId="47376A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433" w:type="dxa"/>
            <w:tcBorders>
              <w:top w:val="nil"/>
              <w:bottom w:val="nil"/>
              <w:right w:val="nil"/>
            </w:tcBorders>
          </w:tcPr>
          <w:p w14:paraId="4CC2503A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IrO</w:t>
            </w:r>
            <w:r>
              <w:rPr>
                <w:rFonts w:cs="Times New Roman"/>
                <w:color w:val="000000"/>
                <w:sz w:val="21"/>
                <w:szCs w:val="21"/>
                <w:vertAlign w:val="subscript"/>
              </w:rPr>
              <w:t>2</w: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begin"/>
            </w:r>
            <w:r>
              <w:rPr>
                <w:rFonts w:cs="Times New Roman"/>
                <w:color w:val="000000"/>
                <w:sz w:val="21"/>
                <w:szCs w:val="21"/>
              </w:rPr>
              <w:instrText xml:space="preserve"> ADDIN EN.CITE &lt;EndNote&gt;&lt;Cite&gt;&lt;Author&gt;Rincon&lt;/Author&gt;&lt;Year&gt;2014&lt;/Year&gt;&lt;RecNum&gt;113&lt;/RecNum&gt;&lt;DisplayText&gt;&lt;style face="superscript"&gt;1&lt;/style&gt;&lt;/DisplayText&gt;&lt;record&gt;&lt;rec-number&gt;113&lt;/rec-number&gt;&lt;foreign-keys&gt;&lt;key app="EN" db-id="rptvdp20ssesv7exxvx5s9tcsvszrvvd0vwt" timestamp="1730810653"&gt;113&lt;/key&gt;&lt;/foreign-keys&gt;&lt;ref-type name="Journal Article"&gt;17&lt;/ref-type&gt;&lt;contributors&gt;&lt;authors&gt;&lt;author&gt;Rincon, Rosalba A.&lt;/author&gt;&lt;author&gt;Masa, Justus&lt;/author&gt;&lt;author&gt;Mehrpour, Sara&lt;/author&gt;&lt;author&gt;Tietz, Frank&lt;/author&gt;&lt;author&gt;Schuhmann, Wolfgang&lt;/author&gt;&lt;/authors&gt;&lt;/contributors&gt;&lt;titles&gt;&lt;title&gt;Activation of oxygen evolving perovskites for oxygen reduction by functionalization with Fe-N&amp;lt;i&amp;gt;&amp;lt;sub&amp;gt;x&amp;lt;/sub&amp;gt;&amp;lt;/i&amp;gt;/C groups&lt;/title&gt;&lt;secondary-title&gt;Chemical Communications&lt;/secondary-title&gt;&lt;/titles&gt;&lt;periodical&gt;&lt;full-title&gt;Chemical Communications&lt;/full-title&gt;&lt;/periodical&gt;&lt;pages&gt;14760-14762&lt;/pages&gt;&lt;volume&gt;50&lt;/volume&gt;&lt;number&gt;94&lt;/number&gt;&lt;dates&gt;&lt;year&gt;2014&lt;/year&gt;&lt;pub-dates&gt;&lt;date&gt;2014&lt;/date&gt;&lt;/pub-dates&gt;&lt;/dates&gt;&lt;isbn&gt;1359-7345&lt;/isbn&gt;&lt;accession-num&gt;WOS:000344460300013&lt;/accession-num&gt;&lt;work-type&gt;Article&lt;/work-type&gt;&lt;urls&gt;&lt;related-urls&gt;&lt;url&gt;&amp;lt;Go to ISI&amp;gt;://WOS:000344460300013&lt;/url&gt;&lt;/related-urls&gt;&lt;/urls&gt;&lt;electronic-resource-num&gt;10.1039/c4cc06446a&lt;/electronic-resource-num&gt;&lt;/record&gt;&lt;/Cite&gt;&lt;/EndNote&gt;</w:instrTex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separate"/>
            </w:r>
            <w:r>
              <w:rPr>
                <w:rFonts w:cs="Times New Roman"/>
                <w:color w:val="000000"/>
                <w:sz w:val="21"/>
                <w:szCs w:val="21"/>
                <w:vertAlign w:val="superscript"/>
              </w:rPr>
              <w:t>1</w: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105314F9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0.38 vs. RHE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14:paraId="5E584562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1.70 vs. RHE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</w:tcBorders>
          </w:tcPr>
          <w:p w14:paraId="7B6AB1E4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1.32</w:t>
            </w:r>
          </w:p>
        </w:tc>
      </w:tr>
      <w:tr w14:paraId="19BABA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433" w:type="dxa"/>
            <w:tcBorders>
              <w:top w:val="nil"/>
              <w:bottom w:val="nil"/>
              <w:right w:val="nil"/>
            </w:tcBorders>
          </w:tcPr>
          <w:p w14:paraId="42FCEA7A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RuO</w:t>
            </w:r>
            <w:r>
              <w:rPr>
                <w:rFonts w:cs="Times New Roman"/>
                <w:color w:val="000000"/>
                <w:sz w:val="21"/>
                <w:szCs w:val="21"/>
                <w:vertAlign w:val="subscript"/>
              </w:rPr>
              <w:t>2</w: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begin"/>
            </w:r>
            <w:r>
              <w:rPr>
                <w:rFonts w:cs="Times New Roman"/>
                <w:color w:val="000000"/>
                <w:sz w:val="21"/>
                <w:szCs w:val="21"/>
              </w:rPr>
              <w:instrText xml:space="preserve"> ADDIN EN.CITE &lt;EndNote&gt;&lt;Cite&gt;&lt;Author&gt;Rincon&lt;/Author&gt;&lt;Year&gt;2014&lt;/Year&gt;&lt;RecNum&gt;113&lt;/RecNum&gt;&lt;DisplayText&gt;&lt;style face="superscript"&gt;1&lt;/style&gt;&lt;/DisplayText&gt;&lt;record&gt;&lt;rec-number&gt;113&lt;/rec-number&gt;&lt;foreign-keys&gt;&lt;key app="EN" db-id="rptvdp20ssesv7exxvx5s9tcsvszrvvd0vwt" timestamp="1730810653"&gt;113&lt;/key&gt;&lt;/foreign-keys&gt;&lt;ref-type name="Journal Article"&gt;17&lt;/ref-type&gt;&lt;contributors&gt;&lt;authors&gt;&lt;author&gt;Rincon, Rosalba A.&lt;/author&gt;&lt;author&gt;Masa, Justus&lt;/author&gt;&lt;author&gt;Mehrpour, Sara&lt;/author&gt;&lt;author&gt;Tietz, Frank&lt;/author&gt;&lt;author&gt;Schuhmann, Wolfgang&lt;/author&gt;&lt;/authors&gt;&lt;/contributors&gt;&lt;titles&gt;&lt;title&gt;Activation of oxygen evolving perovskites for oxygen reduction by functionalization with Fe-N&amp;lt;i&amp;gt;&amp;lt;sub&amp;gt;x&amp;lt;/sub&amp;gt;&amp;lt;/i&amp;gt;/C groups&lt;/title&gt;&lt;secondary-title&gt;Chemical Communications&lt;/secondary-title&gt;&lt;/titles&gt;&lt;periodical&gt;&lt;full-title&gt;Chemical Communications&lt;/full-title&gt;&lt;/periodical&gt;&lt;pages&gt;14760-14762&lt;/pages&gt;&lt;volume&gt;50&lt;/volume&gt;&lt;number&gt;94&lt;/number&gt;&lt;dates&gt;&lt;year&gt;2014&lt;/year&gt;&lt;pub-dates&gt;&lt;date&gt;2014&lt;/date&gt;&lt;/pub-dates&gt;&lt;/dates&gt;&lt;isbn&gt;1359-7345&lt;/isbn&gt;&lt;accession-num&gt;WOS:000344460300013&lt;/accession-num&gt;&lt;work-type&gt;Article&lt;/work-type&gt;&lt;urls&gt;&lt;related-urls&gt;&lt;url&gt;&amp;lt;Go to ISI&amp;gt;://WOS:000344460300013&lt;/url&gt;&lt;/related-urls&gt;&lt;/urls&gt;&lt;electronic-resource-num&gt;10.1039/c4cc06446a&lt;/electronic-resource-num&gt;&lt;/record&gt;&lt;/Cite&gt;&lt;/EndNote&gt;</w:instrTex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separate"/>
            </w:r>
            <w:r>
              <w:rPr>
                <w:rFonts w:cs="Times New Roman"/>
                <w:color w:val="000000"/>
                <w:sz w:val="21"/>
                <w:szCs w:val="21"/>
                <w:vertAlign w:val="superscript"/>
              </w:rPr>
              <w:t>1</w: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7DB27452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0.54 vs. RHE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14:paraId="42255B69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1.64 vs. RHE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</w:tcBorders>
          </w:tcPr>
          <w:p w14:paraId="2E309B18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1.10</w:t>
            </w:r>
          </w:p>
        </w:tc>
      </w:tr>
      <w:tr w14:paraId="0392B6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433" w:type="dxa"/>
            <w:tcBorders>
              <w:top w:val="nil"/>
              <w:bottom w:val="nil"/>
              <w:right w:val="nil"/>
            </w:tcBorders>
            <w:vAlign w:val="center"/>
          </w:tcPr>
          <w:p w14:paraId="371AE5B3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Mn-Co</w:t>
            </w:r>
            <w:r>
              <w:rPr>
                <w:rFonts w:hint="eastAsia" w:cs="Times New Roman"/>
                <w:color w:val="000000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O</w:t>
            </w:r>
            <w:r>
              <w:rPr>
                <w:rFonts w:hint="eastAsia" w:cs="Times New Roman"/>
                <w:color w:val="000000"/>
                <w:sz w:val="21"/>
                <w:szCs w:val="21"/>
                <w:vertAlign w:val="subscript"/>
              </w:rPr>
              <w:t>4</w: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begin"/>
            </w:r>
            <w:r>
              <w:rPr>
                <w:rFonts w:cs="Times New Roman"/>
                <w:color w:val="000000"/>
                <w:sz w:val="21"/>
                <w:szCs w:val="21"/>
              </w:rPr>
              <w:instrText xml:space="preserve"> ADDIN EN.CITE &lt;EndNote&gt;&lt;Cite&gt;&lt;Author&gt;Shui&lt;/Author&gt;&lt;Year&gt;2024&lt;/Year&gt;&lt;RecNum&gt;72&lt;/RecNum&gt;&lt;DisplayText&gt;&lt;style face="superscript"&gt;2&lt;/style&gt;&lt;/DisplayText&gt;&lt;record&gt;&lt;rec-number&gt;72&lt;/rec-number&gt;&lt;foreign-keys&gt;&lt;key app="EN" db-id="xe2p0dwzpf52xoefwrp5pfp2eer0tz9ta2fw" timestamp="1743661611"&gt;72&lt;/key&gt;&lt;/foreign-keys&gt;&lt;ref-type name="Journal Article"&gt;17&lt;/ref-type&gt;&lt;contributors&gt;&lt;authors&gt;&lt;author&gt;Shui, Ziyi&lt;/author&gt;&lt;author&gt;Yu, Sile&lt;/author&gt;&lt;author&gt;Lu, Wei&lt;/author&gt;&lt;author&gt;Xu, Liuyun&lt;/author&gt;&lt;author&gt;Liu, Qingye&lt;/author&gt;&lt;author&gt;Zhao, Wei&lt;/author&gt;&lt;author&gt;Liu, Yilun&lt;/author&gt;&lt;/authors&gt;&lt;/contributors&gt;&lt;titles&gt;&lt;title&gt;Bifunctional Electrocatalysts of Mn-doped Co&amp;lt;sub&amp;gt;3&amp;lt;/sub&amp;gt;O&amp;lt;sub&amp;gt;4&amp;lt;/sub&amp;gt; for Oxygen Reduction and Oxygen Evolution Reactions in Alkaline Medium&lt;/title&gt;&lt;secondary-title&gt;Acta Chimica Sinica&lt;/secondary-title&gt;&lt;/titles&gt;&lt;periodical&gt;&lt;full-title&gt;Acta Chimica Sinica&lt;/full-title&gt;&lt;abbr-1&gt;Acta Chim. Sinica&lt;/abbr-1&gt;&lt;/periodical&gt;&lt;pages&gt;1039-1049&lt;/pages&gt;&lt;volume&gt;82&lt;/volume&gt;&lt;number&gt;10&lt;/number&gt;&lt;dates&gt;&lt;year&gt;2024&lt;/year&gt;&lt;pub-dates&gt;&lt;date&gt;Oct 15&lt;/date&gt;&lt;/pub-dates&gt;&lt;/dates&gt;&lt;isbn&gt;0567-7351&lt;/isbn&gt;&lt;accession-num&gt;WOS:001356480100004&lt;/accession-num&gt;&lt;work-type&gt;Article&lt;/work-type&gt;&lt;urls&gt;&lt;related-urls&gt;&lt;url&gt;&amp;lt;Go to ISI&amp;gt;://WOS:001356480100004&lt;/url&gt;&lt;/related-urls&gt;&lt;/urls&gt;&lt;electronic-resource-num&gt;10.6023/a24050152&lt;/electronic-resource-num&gt;&lt;/record&gt;&lt;/Cite&gt;&lt;/EndNote&gt;</w:instrTex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separate"/>
            </w:r>
            <w:r>
              <w:rPr>
                <w:rFonts w:cs="Times New Roman"/>
                <w:color w:val="000000"/>
                <w:sz w:val="21"/>
                <w:szCs w:val="21"/>
                <w:vertAlign w:val="superscript"/>
              </w:rPr>
              <w:t>2</w: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AD9F9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0.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69</w:t>
            </w:r>
            <w:r>
              <w:rPr>
                <w:rFonts w:cs="Times New Roman"/>
                <w:color w:val="000000"/>
                <w:sz w:val="21"/>
                <w:szCs w:val="21"/>
              </w:rPr>
              <w:t xml:space="preserve"> vs. RHE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8E60B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1.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80</w:t>
            </w:r>
            <w:r>
              <w:rPr>
                <w:rFonts w:cs="Times New Roman"/>
                <w:color w:val="000000"/>
                <w:sz w:val="21"/>
                <w:szCs w:val="21"/>
              </w:rPr>
              <w:t xml:space="preserve"> vs. RHE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</w:tcBorders>
            <w:vAlign w:val="center"/>
          </w:tcPr>
          <w:p w14:paraId="315E23DE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1.11</w:t>
            </w:r>
          </w:p>
        </w:tc>
      </w:tr>
      <w:tr w14:paraId="373796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433" w:type="dxa"/>
            <w:tcBorders>
              <w:top w:val="nil"/>
              <w:bottom w:val="nil"/>
              <w:right w:val="nil"/>
            </w:tcBorders>
          </w:tcPr>
          <w:p w14:paraId="2CAC8265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BSCF/g–C</w:t>
            </w:r>
            <w:r>
              <w:rPr>
                <w:rFonts w:cs="Times New Roman"/>
                <w:color w:val="000000"/>
                <w:sz w:val="21"/>
                <w:szCs w:val="21"/>
                <w:vertAlign w:val="subscript"/>
              </w:rPr>
              <w:t>3</w:t>
            </w:r>
            <w:r>
              <w:rPr>
                <w:rFonts w:cs="Times New Roman"/>
                <w:color w:val="000000"/>
                <w:sz w:val="21"/>
                <w:szCs w:val="21"/>
              </w:rPr>
              <w:t>N</w:t>
            </w:r>
            <w:r>
              <w:rPr>
                <w:rFonts w:cs="Times New Roman"/>
                <w:color w:val="000000"/>
                <w:sz w:val="21"/>
                <w:szCs w:val="21"/>
                <w:vertAlign w:val="subscript"/>
              </w:rPr>
              <w:t>4</w:t>
            </w:r>
            <w:r>
              <w:rPr>
                <w:rFonts w:cs="Times New Roman"/>
                <w:color w:val="000000"/>
                <w:sz w:val="21"/>
                <w:szCs w:val="21"/>
              </w:rPr>
              <w:t>VC</w: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begin"/>
            </w:r>
            <w:r>
              <w:rPr>
                <w:rFonts w:cs="Times New Roman"/>
                <w:color w:val="000000"/>
                <w:sz w:val="21"/>
                <w:szCs w:val="21"/>
              </w:rPr>
              <w:instrText xml:space="preserve"> ADDIN EN.CITE &lt;EndNote&gt;&lt;Cite&gt;&lt;Author&gt;Chen&lt;/Author&gt;&lt;Year&gt;2020&lt;/Year&gt;&lt;RecNum&gt;109&lt;/RecNum&gt;&lt;DisplayText&gt;&lt;style face="superscript"&gt;3&lt;/style&gt;&lt;/DisplayText&gt;&lt;record&gt;&lt;rec-number&gt;109&lt;/rec-number&gt;&lt;foreign-keys&gt;&lt;key app="EN" db-id="rptvdp20ssesv7exxvx5s9tcsvszrvvd0vwt" timestamp="1730810080"&gt;109&lt;/key&gt;&lt;/foreign-keys&gt;&lt;ref-type name="Journal Article"&gt;17&lt;/ref-type&gt;&lt;contributors&gt;&lt;authors&gt;&lt;author&gt;Chen, Feiming&lt;/author&gt;&lt;author&gt;Xue, Lichun&lt;/author&gt;&lt;author&gt;Shang, Zhenxi&lt;/author&gt;&lt;author&gt;Zhang, Zhenbao&lt;/author&gt;&lt;author&gt;Chen, Dengjie&lt;/author&gt;&lt;/authors&gt;&lt;/contributors&gt;&lt;titles&gt;&lt;title&gt;An enhanced non-noble perovskite-based oxygen electrocatalyst for efficient oxygen reduction and evolution reactions&lt;/title&gt;&lt;secondary-title&gt;Journal of Solid State Chemistry&lt;/secondary-title&gt;&lt;/titles&gt;&lt;periodical&gt;&lt;full-title&gt;Journal of Solid State Chemistry&lt;/full-title&gt;&lt;/periodical&gt;&lt;volume&gt;282&lt;/volume&gt;&lt;dates&gt;&lt;year&gt;2020&lt;/year&gt;&lt;pub-dates&gt;&lt;date&gt;Feb&lt;/date&gt;&lt;/pub-dates&gt;&lt;/dates&gt;&lt;isbn&gt;0022-4596&lt;/isbn&gt;&lt;accession-num&gt;WOS:000508288400028&lt;/accession-num&gt;&lt;work-type&gt;Article&lt;/work-type&gt;&lt;urls&gt;&lt;related-urls&gt;&lt;url&gt;&amp;lt;Go to ISI&amp;gt;://WOS:000508288400028&lt;/url&gt;&lt;/related-urls&gt;&lt;/urls&gt;&lt;custom7&gt;121119&lt;/custom7&gt;&lt;electronic-resource-num&gt;10.1016/j.jssc.2019.121119&lt;/electronic-resource-num&gt;&lt;/record&gt;&lt;/Cite&gt;&lt;/EndNote&gt;</w:instrTex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separate"/>
            </w:r>
            <w:r>
              <w:rPr>
                <w:rFonts w:cs="Times New Roman"/>
                <w:color w:val="000000"/>
                <w:sz w:val="21"/>
                <w:szCs w:val="21"/>
                <w:vertAlign w:val="superscript"/>
              </w:rPr>
              <w:t>3</w: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04B903C7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-0.324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cs="Times New Roman"/>
                <w:color w:val="000000"/>
                <w:sz w:val="21"/>
                <w:szCs w:val="21"/>
              </w:rPr>
              <w:t>vs. Ag/AgCl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</w:tcPr>
          <w:p w14:paraId="48D2A0AA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0.796 vs. Ag/AgCl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</w:tcBorders>
          </w:tcPr>
          <w:p w14:paraId="536A7C83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1.12</w:t>
            </w:r>
          </w:p>
        </w:tc>
      </w:tr>
      <w:tr w14:paraId="3D2141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433" w:type="dxa"/>
            <w:tcBorders>
              <w:top w:val="nil"/>
              <w:bottom w:val="nil"/>
              <w:right w:val="nil"/>
            </w:tcBorders>
            <w:vAlign w:val="center"/>
          </w:tcPr>
          <w:p w14:paraId="6AA37DFD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Co-AQ</w: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begin"/>
            </w:r>
            <w:r>
              <w:rPr>
                <w:rFonts w:cs="Times New Roman"/>
                <w:color w:val="000000"/>
                <w:sz w:val="21"/>
                <w:szCs w:val="21"/>
              </w:rPr>
              <w:instrText xml:space="preserve"> ADDIN EN.CITE &lt;EndNote&gt;&lt;Cite&gt;&lt;Author&gt;Chai&lt;/Author&gt;&lt;Year&gt;2025&lt;/Year&gt;&lt;RecNum&gt;75&lt;/RecNum&gt;&lt;DisplayText&gt;&lt;style face="superscript"&gt;4&lt;/style&gt;&lt;/DisplayText&gt;&lt;record&gt;&lt;rec-number&gt;75&lt;/rec-number&gt;&lt;foreign-keys&gt;&lt;key app="EN" db-id="xe2p0dwzpf52xoefwrp5pfp2eer0tz9ta2fw" timestamp="1743664735"&gt;75&lt;/key&gt;&lt;/foreign-keys&gt;&lt;ref-type name="Journal Article"&gt;17&lt;/ref-type&gt;&lt;contributors&gt;&lt;authors&gt;&lt;author&gt;Chai, Rui-Lin&lt;/author&gt;&lt;author&gt;Han, Shi-Bo&lt;/author&gt;&lt;author&gt;Wang, Li-Wei&lt;/author&gt;&lt;author&gt;Li, Sheng-Hua&lt;/author&gt;&lt;author&gt;Pan, Hui&lt;/author&gt;&lt;author&gt;Zhang, Hao-Bo&lt;/author&gt;&lt;author&gt;Tu, Xian-Yi&lt;/author&gt;&lt;author&gt;Wang, Zi-Ying&lt;/author&gt;&lt;author&gt;Wang, Xiaocong&lt;/author&gt;&lt;author&gt;Li, Guang-Yue&lt;/author&gt;&lt;author&gt;Zhao, Jin&lt;/author&gt;&lt;author&gt;Zhang, Lifeng&lt;/author&gt;&lt;author&gt;Li, Xin&lt;/author&gt;&lt;author&gt;Zhao, Qian&lt;/author&gt;&lt;/authors&gt;&lt;/contributors&gt;&lt;titles&gt;&lt;title&gt;Electronic Structure Tunable Metallosupramolecular Polymers as Bifunctional Electrocatalysts for Rechargeable Zn-Air Battery&lt;/title&gt;&lt;secondary-title&gt;Small&lt;/secondary-title&gt;&lt;/titles&gt;&lt;periodical&gt;&lt;full-title&gt;Small&lt;/full-title&gt;&lt;/periodical&gt;&lt;volume&gt;21&lt;/volume&gt;&lt;number&gt;12&lt;/number&gt;&lt;dates&gt;&lt;year&gt;2025&lt;/year&gt;&lt;pub-dates&gt;&lt;date&gt;Mar&lt;/date&gt;&lt;/pub-dates&gt;&lt;/dates&gt;&lt;isbn&gt;1613-6810&lt;/isbn&gt;&lt;accession-num&gt;WOS:001434596700001&lt;/accession-num&gt;&lt;work-type&gt;Article&lt;/work-type&gt;&lt;urls&gt;&lt;related-urls&gt;&lt;url&gt;&amp;lt;Go to ISI&amp;gt;://WOS:001434596700001&lt;/url&gt;&lt;/related-urls&gt;&lt;/urls&gt;&lt;electronic-resource-num&gt;10.1002/smll.202500616&lt;/electronic-resource-num&gt;&lt;/record&gt;&lt;/Cite&gt;&lt;/EndNote&gt;</w:instrTex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separate"/>
            </w:r>
            <w:r>
              <w:rPr>
                <w:rFonts w:cs="Times New Roman"/>
                <w:color w:val="000000"/>
                <w:sz w:val="21"/>
                <w:szCs w:val="21"/>
                <w:vertAlign w:val="superscript"/>
              </w:rPr>
              <w:t>4</w: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35A85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0.86 vs. RHE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46F84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1.95 vs. RHE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</w:tcBorders>
            <w:vAlign w:val="center"/>
          </w:tcPr>
          <w:p w14:paraId="0046F492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1.09</w:t>
            </w:r>
          </w:p>
        </w:tc>
      </w:tr>
      <w:tr w14:paraId="453F67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433" w:type="dxa"/>
            <w:tcBorders>
              <w:top w:val="nil"/>
              <w:bottom w:val="nil"/>
              <w:right w:val="nil"/>
            </w:tcBorders>
            <w:vAlign w:val="center"/>
          </w:tcPr>
          <w:p w14:paraId="3FE66197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Mn-Ni/RGO</w: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begin"/>
            </w:r>
            <w:r>
              <w:rPr>
                <w:rFonts w:cs="Times New Roman"/>
                <w:color w:val="000000"/>
                <w:sz w:val="21"/>
                <w:szCs w:val="21"/>
              </w:rPr>
              <w:instrText xml:space="preserve"> ADDIN EN.CITE &lt;EndNote&gt;&lt;Cite&gt;&lt;Author&gt;Xue&lt;/Author&gt;&lt;Year&gt;2024&lt;/Year&gt;&lt;RecNum&gt;67&lt;/RecNum&gt;&lt;DisplayText&gt;&lt;style face="superscript"&gt;5&lt;/style&gt;&lt;/DisplayText&gt;&lt;record&gt;&lt;rec-number&gt;67&lt;/rec-number&gt;&lt;foreign-keys&gt;&lt;key app="EN" db-id="xe2p0dwzpf52xoefwrp5pfp2eer0tz9ta2fw" timestamp="1743651972"&gt;67&lt;/key&gt;&lt;/foreign-keys&gt;&lt;ref-type name="Journal Article"&gt;17&lt;/ref-type&gt;&lt;contributors&gt;&lt;authors&gt;&lt;author&gt;Xue, Yejian&lt;/author&gt;&lt;author&gt;Wang, Yan&lt;/author&gt;&lt;author&gt;Zheng, Zheyu&lt;/author&gt;&lt;author&gt;Lu, Qiyang&lt;/author&gt;&lt;author&gt;Chen, Wen&lt;/author&gt;&lt;author&gt;Yan, Shanshan&lt;/author&gt;&lt;author&gt;Sun, Shanshan&lt;/author&gt;&lt;author&gt;Zhang, Houcheng&lt;/author&gt;&lt;author&gt;Shao, Guangjie&lt;/author&gt;&lt;/authors&gt;&lt;/contributors&gt;&lt;titles&gt;&lt;title&gt;Nickel-hydroxide decorated trimanganese-tetroxide nanorods supported on graphene as bifunctional electrocatalyst for metal-air batteries&lt;/title&gt;&lt;secondary-title&gt;Journal of Electroanalytical Chemistry&lt;/secondary-title&gt;&lt;/titles&gt;&lt;periodical&gt;&lt;full-title&gt;Journal of Electroanalytical Chemistry&lt;/full-title&gt;&lt;abbr-1&gt;J. Electroanal. Chem.&lt;/abbr-1&gt;&lt;/periodical&gt;&lt;volume&gt;963&lt;/volume&gt;&lt;dates&gt;&lt;year&gt;2024&lt;/year&gt;&lt;pub-dates&gt;&lt;date&gt;Jun 15&lt;/date&gt;&lt;/pub-dates&gt;&lt;/dates&gt;&lt;isbn&gt;1572-6657&lt;/isbn&gt;&lt;accession-num&gt;WOS:001238971400001&lt;/accession-num&gt;&lt;work-type&gt;Article&lt;/work-type&gt;&lt;urls&gt;&lt;related-urls&gt;&lt;url&gt;&amp;lt;Go to ISI&amp;gt;://WOS:001238971400001&lt;/url&gt;&lt;/related-urls&gt;&lt;/urls&gt;&lt;custom7&gt;118329&lt;/custom7&gt;&lt;electronic-resource-num&gt;10.1016/j.jelechem.2024.118329&lt;/electronic-resource-num&gt;&lt;/record&gt;&lt;/Cite&gt;&lt;/EndNote&gt;</w:instrTex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separate"/>
            </w:r>
            <w:r>
              <w:rPr>
                <w:rFonts w:cs="Times New Roman"/>
                <w:color w:val="000000"/>
                <w:sz w:val="21"/>
                <w:szCs w:val="21"/>
                <w:vertAlign w:val="superscript"/>
              </w:rPr>
              <w:t>5</w: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5367D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0.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750</w:t>
            </w:r>
            <w:r>
              <w:rPr>
                <w:rFonts w:cs="Times New Roman"/>
                <w:color w:val="000000"/>
                <w:sz w:val="21"/>
                <w:szCs w:val="21"/>
              </w:rPr>
              <w:t xml:space="preserve"> vs. RHE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84B3B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1.9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29</w:t>
            </w:r>
            <w:r>
              <w:rPr>
                <w:rFonts w:cs="Times New Roman"/>
                <w:color w:val="000000"/>
                <w:sz w:val="21"/>
                <w:szCs w:val="21"/>
              </w:rPr>
              <w:t xml:space="preserve"> vs. RHE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</w:tcBorders>
            <w:vAlign w:val="center"/>
          </w:tcPr>
          <w:p w14:paraId="531AC689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1.191</w:t>
            </w:r>
          </w:p>
        </w:tc>
      </w:tr>
      <w:tr w14:paraId="61BC9A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433" w:type="dxa"/>
            <w:tcBorders>
              <w:top w:val="nil"/>
              <w:right w:val="nil"/>
            </w:tcBorders>
            <w:vAlign w:val="center"/>
          </w:tcPr>
          <w:p w14:paraId="6CECF321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GCN/CNT</w: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begin"/>
            </w:r>
            <w:r>
              <w:rPr>
                <w:rFonts w:cs="Times New Roman"/>
                <w:color w:val="000000"/>
                <w:sz w:val="21"/>
                <w:szCs w:val="21"/>
              </w:rPr>
              <w:instrText xml:space="preserve"> ADDIN EN.CITE &lt;EndNote&gt;&lt;Cite&gt;&lt;Author&gt;Divinagracia-Luzadas&lt;/Author&gt;&lt;Year&gt;2025&lt;/Year&gt;&lt;RecNum&gt;69&lt;/RecNum&gt;&lt;DisplayText&gt;&lt;style face="superscript"&gt;6&lt;/style&gt;&lt;/DisplayText&gt;&lt;record&gt;&lt;rec-number&gt;69&lt;/rec-number&gt;&lt;foreign-keys&gt;&lt;key app="EN" db-id="xe2p0dwzpf52xoefwrp5pfp2eer0tz9ta2fw" timestamp="1743658959"&gt;69&lt;/key&gt;&lt;/foreign-keys&gt;&lt;ref-type name="Journal Article"&gt;17&lt;/ref-type&gt;&lt;contributors&gt;&lt;authors&gt;&lt;author&gt;Divinagracia-Luzadas, Maricor&lt;/author&gt;&lt;author&gt;Kaneko, Kentaro&lt;/author&gt;&lt;author&gt;Hori, Keisuke&lt;/author&gt;&lt;author&gt;Paraggua, Julie Anne&lt;/author&gt;&lt;author&gt;Noda, Suguru&lt;/author&gt;&lt;author&gt;Ocon, Joey&lt;/author&gt;&lt;/authors&gt;&lt;/contributors&gt;&lt;titles&gt;&lt;title&gt;Synthesis and Evaluation of Self-Supporting Graphitic Carbon Nitride/ Carbon Nanotube (GCN/CNT) ORR/OER Electrodes in Aqueous and Non-Aqueous Media&lt;/title&gt;&lt;secondary-title&gt;Current Applied Physics&lt;/secondary-title&gt;&lt;/titles&gt;&lt;periodical&gt;&lt;full-title&gt;Current Applied Physics&lt;/full-title&gt;&lt;abbr-1&gt;Curr. Appl Phys.&lt;/abbr-1&gt;&lt;/periodical&gt;&lt;pages&gt;14-26&lt;/pages&gt;&lt;volume&gt;71&lt;/volume&gt;&lt;dates&gt;&lt;year&gt;2025&lt;/year&gt;&lt;pub-dates&gt;&lt;date&gt;Mar&lt;/date&gt;&lt;/pub-dates&gt;&lt;/dates&gt;&lt;isbn&gt;1567-1739&lt;/isbn&gt;&lt;accession-num&gt;WOS:001388235900001&lt;/accession-num&gt;&lt;work-type&gt;Article&lt;/work-type&gt;&lt;urls&gt;&lt;related-urls&gt;&lt;url&gt;&amp;lt;Go to ISI&amp;gt;://WOS:001388235900001&lt;/url&gt;&lt;/related-urls&gt;&lt;/urls&gt;&lt;electronic-resource-num&gt;10.1016/j.cap.2024.12.001&lt;/electronic-resource-num&gt;&lt;/record&gt;&lt;/Cite&gt;&lt;/EndNote&gt;</w:instrTex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separate"/>
            </w:r>
            <w:r>
              <w:rPr>
                <w:rFonts w:cs="Times New Roman"/>
                <w:color w:val="000000"/>
                <w:sz w:val="21"/>
                <w:szCs w:val="21"/>
                <w:vertAlign w:val="superscript"/>
              </w:rPr>
              <w:t>6</w: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2145" w:type="dxa"/>
            <w:tcBorders>
              <w:top w:val="nil"/>
              <w:left w:val="nil"/>
              <w:right w:val="nil"/>
            </w:tcBorders>
            <w:vAlign w:val="center"/>
          </w:tcPr>
          <w:p w14:paraId="5BE02218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0.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71</w:t>
            </w:r>
            <w:r>
              <w:rPr>
                <w:rFonts w:cs="Times New Roman"/>
                <w:color w:val="000000"/>
                <w:sz w:val="21"/>
                <w:szCs w:val="21"/>
              </w:rPr>
              <w:t xml:space="preserve"> vs. RHE</w:t>
            </w:r>
          </w:p>
        </w:tc>
        <w:tc>
          <w:tcPr>
            <w:tcW w:w="2109" w:type="dxa"/>
            <w:tcBorders>
              <w:top w:val="nil"/>
              <w:left w:val="nil"/>
              <w:right w:val="nil"/>
            </w:tcBorders>
            <w:vAlign w:val="center"/>
          </w:tcPr>
          <w:p w14:paraId="4088DA1F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1.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78</w:t>
            </w:r>
            <w:r>
              <w:rPr>
                <w:rFonts w:cs="Times New Roman"/>
                <w:color w:val="000000"/>
                <w:sz w:val="21"/>
                <w:szCs w:val="21"/>
              </w:rPr>
              <w:t xml:space="preserve"> vs. RHE</w:t>
            </w:r>
          </w:p>
        </w:tc>
        <w:tc>
          <w:tcPr>
            <w:tcW w:w="1722" w:type="dxa"/>
            <w:tcBorders>
              <w:top w:val="nil"/>
              <w:left w:val="nil"/>
            </w:tcBorders>
            <w:vAlign w:val="center"/>
          </w:tcPr>
          <w:p w14:paraId="5D24A436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1.07</w:t>
            </w:r>
          </w:p>
        </w:tc>
      </w:tr>
    </w:tbl>
    <w:p w14:paraId="5E0F5DFB"/>
    <w:p w14:paraId="5708BDB0">
      <w:pPr>
        <w:spacing w:line="360" w:lineRule="auto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Table S</w:t>
      </w:r>
      <w:r>
        <w:rPr>
          <w:rFonts w:hint="eastAsia"/>
          <w:b/>
          <w:bCs/>
          <w:sz w:val="21"/>
          <w:szCs w:val="21"/>
        </w:rPr>
        <w:t>6</w:t>
      </w:r>
      <w:r>
        <w:rPr>
          <w:b/>
          <w:bCs/>
          <w:sz w:val="21"/>
          <w:szCs w:val="21"/>
        </w:rPr>
        <w:t>. The Comparison of liquid Zn-air batteries performance of this work with other non-noble metal-based catalysts recently reported.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3609"/>
        <w:gridCol w:w="1922"/>
      </w:tblGrid>
      <w:tr w14:paraId="0ACC6C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765" w:type="dxa"/>
          </w:tcPr>
          <w:p w14:paraId="11286C97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Catalysts</w:t>
            </w:r>
          </w:p>
        </w:tc>
        <w:tc>
          <w:tcPr>
            <w:tcW w:w="3609" w:type="dxa"/>
          </w:tcPr>
          <w:p w14:paraId="56DA9FB1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Cycling current density (mA cm</w:t>
            </w:r>
            <w:r>
              <w:rPr>
                <w:rFonts w:cs="Times New Roman"/>
                <w:color w:val="000000"/>
                <w:sz w:val="21"/>
                <w:szCs w:val="21"/>
                <w:vertAlign w:val="superscript"/>
              </w:rPr>
              <w:t>-2</w:t>
            </w:r>
            <w:r>
              <w:rPr>
                <w:rFonts w:cs="Times New Roman"/>
                <w:color w:val="000000"/>
                <w:sz w:val="21"/>
                <w:szCs w:val="21"/>
              </w:rPr>
              <w:t xml:space="preserve"> )</w:t>
            </w:r>
          </w:p>
        </w:tc>
        <w:tc>
          <w:tcPr>
            <w:tcW w:w="1922" w:type="dxa"/>
          </w:tcPr>
          <w:p w14:paraId="1C2D240B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Stability</w:t>
            </w:r>
          </w:p>
        </w:tc>
      </w:tr>
      <w:tr w14:paraId="6844D3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765" w:type="dxa"/>
            <w:tcBorders>
              <w:bottom w:val="nil"/>
            </w:tcBorders>
          </w:tcPr>
          <w:p w14:paraId="5343D0F5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Mn-CoFeP-2</w:t>
            </w:r>
          </w:p>
        </w:tc>
        <w:tc>
          <w:tcPr>
            <w:tcW w:w="3609" w:type="dxa"/>
            <w:tcBorders>
              <w:bottom w:val="nil"/>
            </w:tcBorders>
          </w:tcPr>
          <w:p w14:paraId="6BB428A2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922" w:type="dxa"/>
            <w:tcBorders>
              <w:bottom w:val="nil"/>
            </w:tcBorders>
          </w:tcPr>
          <w:p w14:paraId="7987C2B0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24</w:t>
            </w:r>
            <w:r>
              <w:rPr>
                <w:rFonts w:cs="Times New Roman"/>
                <w:color w:val="000000"/>
                <w:sz w:val="21"/>
                <w:szCs w:val="21"/>
              </w:rPr>
              <w:t>0 h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 xml:space="preserve">  This work</w:t>
            </w:r>
          </w:p>
        </w:tc>
      </w:tr>
      <w:tr w14:paraId="043710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765" w:type="dxa"/>
            <w:tcBorders>
              <w:top w:val="nil"/>
              <w:bottom w:val="nil"/>
            </w:tcBorders>
          </w:tcPr>
          <w:p w14:paraId="5F5FAED3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Co</w:t>
            </w:r>
            <w:r>
              <w:rPr>
                <w:rFonts w:hint="eastAsia" w:cs="Times New Roman"/>
                <w:color w:val="000000"/>
                <w:sz w:val="20"/>
                <w:szCs w:val="20"/>
              </w:rPr>
              <w:t>/N-CP</w:t>
            </w:r>
            <w:r>
              <w:rPr>
                <w:rFonts w:cs="Times New Roman"/>
                <w:color w:val="000000"/>
                <w:sz w:val="20"/>
                <w:szCs w:val="20"/>
                <w:vertAlign w:val="superscript"/>
              </w:rPr>
              <w:fldChar w:fldCharType="begin"/>
            </w:r>
            <w:r>
              <w:rPr>
                <w:rFonts w:cs="Times New Roman"/>
                <w:color w:val="000000"/>
                <w:sz w:val="20"/>
                <w:szCs w:val="20"/>
                <w:vertAlign w:val="superscript"/>
              </w:rPr>
              <w:instrText xml:space="preserve"> ADDIN EN.CITE &lt;EndNote&gt;&lt;Cite&gt;&lt;Author&gt;Li&lt;/Author&gt;&lt;Year&gt;2025&lt;/Year&gt;&lt;RecNum&gt;58&lt;/RecNum&gt;&lt;DisplayText&gt;&lt;style face="superscript"&gt;7&lt;/style&gt;&lt;/DisplayText&gt;&lt;record&gt;&lt;rec-number&gt;58&lt;/rec-number&gt;&lt;foreign-keys&gt;&lt;key app="EN" db-id="xe2p0dwzpf52xoefwrp5pfp2eer0tz9ta2fw" timestamp="1743594679"&gt;58&lt;/key&gt;&lt;/foreign-keys&gt;&lt;ref-type name="Journal Article"&gt;17&lt;/ref-type&gt;&lt;contributors&gt;&lt;authors&gt;&lt;author&gt;Li, He&lt;/author&gt;&lt;author&gt;Qiu, Haoyi&lt;/author&gt;&lt;author&gt;Aliyeva, Ainura&lt;/author&gt;&lt;author&gt;Wang, Jihao&lt;/author&gt;&lt;author&gt;Muller, Martin&lt;/author&gt;&lt;author&gt;Hansen, Luka&lt;/author&gt;&lt;author&gt;Tjardts, Tim&lt;/author&gt;&lt;author&gt;Aktas, Cenk&lt;/author&gt;&lt;author&gt;Benedikt, Jan&lt;/author&gt;&lt;/authors&gt;&lt;/contributors&gt;&lt;titles&gt;&lt;title&gt;Cobalt-decorated defective carbon paper as a self-supported catalyst for oxygen electrocatalysis and rechargeable zinc-air battery&lt;/title&gt;&lt;secondary-title&gt;Journal of colloid and interface science&lt;/secondary-title&gt;&lt;/titles&gt;&lt;periodical&gt;&lt;full-title&gt;Journal of Colloid and Interface Science&lt;/full-title&gt;&lt;/periodical&gt;&lt;pages&gt;137230-137230&lt;/pages&gt;&lt;volume&gt;689&lt;/volume&gt;&lt;dates&gt;&lt;year&gt;2025&lt;/year&gt;&lt;pub-dates&gt;&lt;date&gt;2025-Jul&lt;/date&gt;&lt;/pub-dates&gt;&lt;/dates&gt;&lt;accession-num&gt;MEDLINE:40056671&lt;/accession-num&gt;&lt;urls&gt;&lt;related-urls&gt;&lt;url&gt;&amp;lt;Go to ISI&amp;gt;://MEDLINE:40056671&lt;/url&gt;&lt;/related-urls&gt;&lt;/urls&gt;&lt;electronic-resource-num&gt;10.1016/j.jcis.2025.03.019&lt;/electronic-resource-num&gt;&lt;/record&gt;&lt;/Cite&gt;&lt;/EndNote&gt;</w:instrText>
            </w:r>
            <w:r>
              <w:rPr>
                <w:rFonts w:cs="Times New Roman"/>
                <w:color w:val="000000"/>
                <w:sz w:val="20"/>
                <w:szCs w:val="20"/>
                <w:vertAlign w:val="superscript"/>
              </w:rPr>
              <w:fldChar w:fldCharType="separate"/>
            </w:r>
            <w:r>
              <w:rPr>
                <w:rFonts w:cs="Times New Roman"/>
                <w:color w:val="000000"/>
                <w:sz w:val="20"/>
                <w:szCs w:val="20"/>
                <w:vertAlign w:val="superscript"/>
              </w:rPr>
              <w:t>7</w:t>
            </w:r>
            <w:r>
              <w:rPr>
                <w:rFonts w:cs="Times New Roman"/>
                <w:color w:val="000000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3609" w:type="dxa"/>
            <w:tcBorders>
              <w:top w:val="nil"/>
              <w:bottom w:val="nil"/>
            </w:tcBorders>
          </w:tcPr>
          <w:p w14:paraId="74C2CDBC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922" w:type="dxa"/>
            <w:tcBorders>
              <w:top w:val="nil"/>
              <w:bottom w:val="nil"/>
            </w:tcBorders>
          </w:tcPr>
          <w:p w14:paraId="705B9384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30</w:t>
            </w:r>
            <w:r>
              <w:rPr>
                <w:rFonts w:cs="Times New Roman"/>
                <w:color w:val="000000"/>
                <w:sz w:val="21"/>
                <w:szCs w:val="21"/>
              </w:rPr>
              <w:t xml:space="preserve"> h</w:t>
            </w:r>
          </w:p>
        </w:tc>
      </w:tr>
      <w:tr w14:paraId="56CC9A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765" w:type="dxa"/>
            <w:tcBorders>
              <w:top w:val="nil"/>
              <w:bottom w:val="nil"/>
            </w:tcBorders>
          </w:tcPr>
          <w:p w14:paraId="4F78988F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VSMO</w: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begin"/>
            </w:r>
            <w:r>
              <w:rPr>
                <w:rFonts w:cs="Times New Roman"/>
                <w:color w:val="000000"/>
                <w:sz w:val="21"/>
                <w:szCs w:val="21"/>
              </w:rPr>
              <w:instrText xml:space="preserve"> ADDIN EN.CITE &lt;EndNote&gt;&lt;Cite&gt;&lt;Author&gt;Riquelme-Garcia&lt;/Author&gt;&lt;Year&gt;2025&lt;/Year&gt;&lt;RecNum&gt;60&lt;/RecNum&gt;&lt;DisplayText&gt;&lt;style face="superscript"&gt;8&lt;/style&gt;&lt;/DisplayText&gt;&lt;record&gt;&lt;rec-number&gt;60&lt;/rec-number&gt;&lt;foreign-keys&gt;&lt;key app="EN" db-id="xe2p0dwzpf52xoefwrp5pfp2eer0tz9ta2fw" timestamp="1743595918"&gt;60&lt;/key&gt;&lt;/foreign-keys&gt;&lt;ref-type name="Journal Article"&gt;17&lt;/ref-type&gt;&lt;contributors&gt;&lt;authors&gt;&lt;author&gt;Riquelme-Garcia, P.&lt;/author&gt;&lt;author&gt;Garcia-Rodriguez, M.&lt;/author&gt;&lt;author&gt;Flores-Lasluisa, J. X.&lt;/author&gt;&lt;author&gt;Cazorla-Amoros, D.&lt;/author&gt;&lt;author&gt;Morallon, E.&lt;/author&gt;&lt;/authors&gt;&lt;/contributors&gt;&lt;titles&gt;&lt;title&gt;Enhanced electrocatalytic performance of SrMn1-xCoxO3 perovskite metal oxides for oxygen reactions in Zn-air batteries: Influence of Mn/Co ratio&lt;/title&gt;&lt;secondary-title&gt;Applied Surface Science Advances&lt;/secondary-title&gt;&lt;/titles&gt;&lt;periodical&gt;&lt;full-title&gt;Applied Surface Science Advances&lt;/full-title&gt;&lt;abbr-1&gt;Appl. Surf. Sci. Adv.&lt;/abbr-1&gt;&lt;/periodical&gt;&lt;volume&gt;27&lt;/volume&gt;&lt;dates&gt;&lt;year&gt;2025&lt;/year&gt;&lt;pub-dates&gt;&lt;date&gt;Jun&lt;/date&gt;&lt;/pub-dates&gt;&lt;/dates&gt;&lt;isbn&gt;2666-5239&lt;/isbn&gt;&lt;accession-num&gt;WOS:001447140100001&lt;/accession-num&gt;&lt;work-type&gt;Article&lt;/work-type&gt;&lt;urls&gt;&lt;related-urls&gt;&lt;url&gt;&amp;lt;Go to ISI&amp;gt;://WOS:001447140100001&lt;/url&gt;&lt;/related-urls&gt;&lt;/urls&gt;&lt;custom7&gt;100725&lt;/custom7&gt;&lt;electronic-resource-num&gt;10.1016/j.apsadv.2025.100725&lt;/electronic-resource-num&gt;&lt;/record&gt;&lt;/Cite&gt;&lt;/EndNote&gt;</w:instrTex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separate"/>
            </w:r>
            <w:r>
              <w:rPr>
                <w:rFonts w:cs="Times New Roman"/>
                <w:color w:val="000000"/>
                <w:sz w:val="21"/>
                <w:szCs w:val="21"/>
                <w:vertAlign w:val="superscript"/>
              </w:rPr>
              <w:t>8</w: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3609" w:type="dxa"/>
            <w:tcBorders>
              <w:top w:val="nil"/>
              <w:bottom w:val="nil"/>
            </w:tcBorders>
          </w:tcPr>
          <w:p w14:paraId="60819032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922" w:type="dxa"/>
            <w:tcBorders>
              <w:top w:val="nil"/>
              <w:bottom w:val="nil"/>
            </w:tcBorders>
          </w:tcPr>
          <w:p w14:paraId="6585BDBB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20</w:t>
            </w:r>
            <w:r>
              <w:rPr>
                <w:rFonts w:cs="Times New Roman"/>
                <w:color w:val="000000"/>
                <w:sz w:val="21"/>
                <w:szCs w:val="21"/>
              </w:rPr>
              <w:t xml:space="preserve"> h</w:t>
            </w:r>
          </w:p>
        </w:tc>
      </w:tr>
      <w:tr w14:paraId="76FF1B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765" w:type="dxa"/>
            <w:tcBorders>
              <w:top w:val="nil"/>
              <w:bottom w:val="nil"/>
            </w:tcBorders>
          </w:tcPr>
          <w:p w14:paraId="025126F5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Co-AQ</w: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begin"/>
            </w:r>
            <w:r>
              <w:rPr>
                <w:rFonts w:cs="Times New Roman"/>
                <w:color w:val="000000"/>
                <w:sz w:val="21"/>
                <w:szCs w:val="21"/>
              </w:rPr>
              <w:instrText xml:space="preserve"> ADDIN EN.CITE &lt;EndNote&gt;&lt;Cite&gt;&lt;Author&gt;Chai&lt;/Author&gt;&lt;Year&gt;2025&lt;/Year&gt;&lt;RecNum&gt;64&lt;/RecNum&gt;&lt;DisplayText&gt;&lt;style face="superscript"&gt;4&lt;/style&gt;&lt;/DisplayText&gt;&lt;record&gt;&lt;rec-number&gt;64&lt;/rec-number&gt;&lt;foreign-keys&gt;&lt;key app="EN" db-id="xe2p0dwzpf52xoefwrp5pfp2eer0tz9ta2fw" timestamp="1743600367"&gt;64&lt;/key&gt;&lt;/foreign-keys&gt;&lt;ref-type name="Journal Article"&gt;17&lt;/ref-type&gt;&lt;contributors&gt;&lt;authors&gt;&lt;author&gt;Chai, Rui-Lin&lt;/author&gt;&lt;author&gt;Han, Shi-Bo&lt;/author&gt;&lt;author&gt;Wang, Li-Wei&lt;/author&gt;&lt;author&gt;Li, Sheng-Hua&lt;/author&gt;&lt;author&gt;Pan, Hui&lt;/author&gt;&lt;author&gt;Zhang, Hao-Bo&lt;/author&gt;&lt;author&gt;Tu, Xian-Yi&lt;/author&gt;&lt;author&gt;Wang, Zi-Ying&lt;/author&gt;&lt;author&gt;Wang, Xiaocong&lt;/author&gt;&lt;author&gt;Li, Guang-Yue&lt;/author&gt;&lt;author&gt;Zhao, Jin&lt;/author&gt;&lt;author&gt;Zhang, Lifeng&lt;/author&gt;&lt;author&gt;Li, Xin&lt;/author&gt;&lt;author&gt;Zhao, Qian&lt;/author&gt;&lt;/authors&gt;&lt;/contributors&gt;&lt;titles&gt;&lt;title&gt;Electronic Structure Tunable Metallosupramolecular Polymers as Bifunctional Electrocatalysts for Rechargeable Zn-Air Battery&lt;/title&gt;&lt;secondary-title&gt;Small&lt;/secondary-title&gt;&lt;/titles&gt;&lt;periodical&gt;&lt;full-title&gt;Small&lt;/full-title&gt;&lt;/periodical&gt;&lt;volume&gt;21&lt;/volume&gt;&lt;number&gt;12&lt;/number&gt;&lt;dates&gt;&lt;year&gt;2025&lt;/year&gt;&lt;pub-dates&gt;&lt;date&gt;Mar&lt;/date&gt;&lt;/pub-dates&gt;&lt;/dates&gt;&lt;isbn&gt;1613-6810&lt;/isbn&gt;&lt;accession-num&gt;WOS:001434596700001&lt;/accession-num&gt;&lt;work-type&gt;Article&lt;/work-type&gt;&lt;urls&gt;&lt;related-urls&gt;&lt;url&gt;&amp;lt;Go to ISI&amp;gt;://WOS:001434596700001&lt;/url&gt;&lt;/related-urls&gt;&lt;/urls&gt;&lt;electronic-resource-num&gt;10.1002/smll.202500616&lt;/electronic-resource-num&gt;&lt;/record&gt;&lt;/Cite&gt;&lt;/EndNote&gt;</w:instrTex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separate"/>
            </w:r>
            <w:r>
              <w:rPr>
                <w:rFonts w:cs="Times New Roman"/>
                <w:color w:val="000000"/>
                <w:sz w:val="21"/>
                <w:szCs w:val="21"/>
                <w:vertAlign w:val="superscript"/>
              </w:rPr>
              <w:t>4</w: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3609" w:type="dxa"/>
            <w:tcBorders>
              <w:top w:val="nil"/>
              <w:bottom w:val="nil"/>
            </w:tcBorders>
          </w:tcPr>
          <w:p w14:paraId="7E50266B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922" w:type="dxa"/>
            <w:tcBorders>
              <w:top w:val="nil"/>
              <w:bottom w:val="nil"/>
            </w:tcBorders>
          </w:tcPr>
          <w:p w14:paraId="63DED786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100</w:t>
            </w:r>
            <w:r>
              <w:rPr>
                <w:rFonts w:cs="Times New Roman"/>
                <w:color w:val="000000"/>
                <w:sz w:val="21"/>
                <w:szCs w:val="21"/>
              </w:rPr>
              <w:t xml:space="preserve"> h</w:t>
            </w:r>
          </w:p>
        </w:tc>
      </w:tr>
      <w:tr w14:paraId="7C59B1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765" w:type="dxa"/>
            <w:tcBorders>
              <w:top w:val="nil"/>
              <w:bottom w:val="nil"/>
            </w:tcBorders>
          </w:tcPr>
          <w:p w14:paraId="33DA656F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Mn-Co</w:t>
            </w:r>
            <w:r>
              <w:rPr>
                <w:rFonts w:hint="eastAsia" w:cs="Times New Roman"/>
                <w:color w:val="000000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O</w:t>
            </w:r>
            <w:r>
              <w:rPr>
                <w:rFonts w:hint="eastAsia" w:cs="Times New Roman"/>
                <w:color w:val="000000"/>
                <w:sz w:val="21"/>
                <w:szCs w:val="21"/>
                <w:vertAlign w:val="subscript"/>
              </w:rPr>
              <w:t>4</w: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begin"/>
            </w:r>
            <w:r>
              <w:rPr>
                <w:rFonts w:cs="Times New Roman"/>
                <w:color w:val="000000"/>
                <w:sz w:val="21"/>
                <w:szCs w:val="21"/>
              </w:rPr>
              <w:instrText xml:space="preserve"> ADDIN EN.CITE &lt;EndNote&gt;&lt;Cite&gt;&lt;Author&gt;Shui&lt;/Author&gt;&lt;Year&gt;2025&lt;/Year&gt;&lt;RecNum&gt;65&lt;/RecNum&gt;&lt;DisplayText&gt;&lt;style face="superscript"&gt;9&lt;/style&gt;&lt;/DisplayText&gt;&lt;record&gt;&lt;rec-number&gt;65&lt;/rec-number&gt;&lt;foreign-keys&gt;&lt;key app="EN" db-id="xe2p0dwzpf52xoefwrp5pfp2eer0tz9ta2fw" timestamp="1743601279"&gt;65&lt;/key&gt;&lt;/foreign-keys&gt;&lt;ref-type name="Journal Article"&gt;17&lt;/ref-type&gt;&lt;contributors&gt;&lt;authors&gt;&lt;author&gt;Shui, Ziyi&lt;/author&gt;&lt;author&gt;Tian, Huiying&lt;/author&gt;&lt;author&gt;Mu, Hang&lt;/author&gt;&lt;author&gt;Xu, Liuyun&lt;/author&gt;&lt;author&gt;Gao, Xiaoming&lt;/author&gt;&lt;author&gt;Chen, Xi&lt;/author&gt;&lt;/authors&gt;&lt;/contributors&gt;&lt;titles&gt;&lt;title&gt;Mn doping for regulating the electronic structure of Co&amp;lt;sub&amp;gt;3&amp;lt;/sub&amp;gt;O&amp;lt;sub&amp;gt;4&amp;lt;/sub&amp;gt; to construct dual active sites for oxygen electrocatalysis&lt;/title&gt;&lt;secondary-title&gt;Inorganic Chemistry Frontiers&lt;/secondary-title&gt;&lt;/titles&gt;&lt;periodical&gt;&lt;full-title&gt;Inorganic Chemistry Frontiers&lt;/full-title&gt;&lt;/periodical&gt;&lt;pages&gt;2783-2791&lt;/pages&gt;&lt;volume&gt;12&lt;/volume&gt;&lt;number&gt;7&lt;/number&gt;&lt;dates&gt;&lt;year&gt;2025&lt;/year&gt;&lt;pub-dates&gt;&lt;date&gt;Mar 25&lt;/date&gt;&lt;/pub-dates&gt;&lt;/dates&gt;&lt;isbn&gt;2052-1553&lt;/isbn&gt;&lt;accession-num&gt;WOS:001451106500001&lt;/accession-num&gt;&lt;work-type&gt;Article&lt;/work-type&gt;&lt;urls&gt;&lt;related-urls&gt;&lt;url&gt;&amp;lt;Go to ISI&amp;gt;://WOS:001451106500001&lt;/url&gt;&lt;/related-urls&gt;&lt;/urls&gt;&lt;electronic-resource-num&gt;10.1039/d4qi03005b&lt;/electronic-resource-num&gt;&lt;/record&gt;&lt;/Cite&gt;&lt;/EndNote&gt;</w:instrTex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separate"/>
            </w:r>
            <w:r>
              <w:rPr>
                <w:rFonts w:cs="Times New Roman"/>
                <w:color w:val="000000"/>
                <w:sz w:val="21"/>
                <w:szCs w:val="21"/>
                <w:vertAlign w:val="superscript"/>
              </w:rPr>
              <w:t>9</w: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3609" w:type="dxa"/>
            <w:tcBorders>
              <w:top w:val="nil"/>
              <w:bottom w:val="nil"/>
            </w:tcBorders>
          </w:tcPr>
          <w:p w14:paraId="5C7224C5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922" w:type="dxa"/>
            <w:tcBorders>
              <w:top w:val="nil"/>
              <w:bottom w:val="nil"/>
            </w:tcBorders>
          </w:tcPr>
          <w:p w14:paraId="21F9846B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 xml:space="preserve">90 </w:t>
            </w:r>
            <w:r>
              <w:rPr>
                <w:rFonts w:cs="Times New Roman"/>
                <w:color w:val="000000"/>
                <w:sz w:val="21"/>
                <w:szCs w:val="21"/>
              </w:rPr>
              <w:t>h</w:t>
            </w:r>
          </w:p>
        </w:tc>
      </w:tr>
      <w:tr w14:paraId="0D6980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765" w:type="dxa"/>
            <w:tcBorders>
              <w:top w:val="nil"/>
              <w:bottom w:val="nil"/>
            </w:tcBorders>
          </w:tcPr>
          <w:p w14:paraId="17EBD6B7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C@CNT[Ni]</w: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begin"/>
            </w:r>
            <w:r>
              <w:rPr>
                <w:rFonts w:cs="Times New Roman"/>
                <w:color w:val="000000"/>
                <w:sz w:val="21"/>
                <w:szCs w:val="21"/>
              </w:rPr>
              <w:instrText xml:space="preserve"> ADDIN EN.CITE &lt;EndNote&gt;&lt;Cite&gt;&lt;Author&gt;Modak&lt;/Author&gt;&lt;Year&gt;2025&lt;/Year&gt;&lt;RecNum&gt;66&lt;/RecNum&gt;&lt;DisplayText&gt;&lt;style face="superscript"&gt;10&lt;/style&gt;&lt;/DisplayText&gt;&lt;record&gt;&lt;rec-number&gt;66&lt;/rec-number&gt;&lt;foreign-keys&gt;&lt;key app="EN" db-id="xe2p0dwzpf52xoefwrp5pfp2eer0tz9ta2fw" timestamp="1743651166"&gt;66&lt;/key&gt;&lt;/foreign-keys&gt;&lt;ref-type name="Journal Article"&gt;17&lt;/ref-type&gt;&lt;contributors&gt;&lt;authors&gt;&lt;author&gt;Modak, Arindam&lt;/author&gt;&lt;author&gt;Phutela, Ankita&lt;/author&gt;&lt;author&gt;Kundu, Aniruddha&lt;/author&gt;&lt;author&gt;Das, Srijib&lt;/author&gt;&lt;author&gt;Bhasin, Vidha&lt;/author&gt;&lt;author&gt;Bhattacharyya, Dibyendu&lt;/author&gt;&lt;author&gt;Bhattacharya, Saswata&lt;/author&gt;&lt;/authors&gt;&lt;/contributors&gt;&lt;titles&gt;&lt;title&gt;Hyper-Cross-Linked Polymer-Derived Carbon-Coated Fe-Ni Alloy/CNT as a Bifunctional Electrocatalyst for Rechargeable Zinc-Air Batteries&lt;/title&gt;&lt;secondary-title&gt;Journal of Physical Chemistry Letters&lt;/secondary-title&gt;&lt;/titles&gt;&lt;periodical&gt;&lt;full-title&gt;Journal of Physical Chemistry Letters&lt;/full-title&gt;&lt;/periodical&gt;&lt;pages&gt;1051-1065&lt;/pages&gt;&lt;volume&gt;16&lt;/volume&gt;&lt;number&gt;4&lt;/number&gt;&lt;dates&gt;&lt;year&gt;2025&lt;/year&gt;&lt;pub-dates&gt;&lt;date&gt;Jan 22&lt;/date&gt;&lt;/pub-dates&gt;&lt;/dates&gt;&lt;isbn&gt;1948-7185&lt;/isbn&gt;&lt;accession-num&gt;WOS:001402438100001&lt;/accession-num&gt;&lt;work-type&gt;Article&lt;/work-type&gt;&lt;urls&gt;&lt;related-urls&gt;&lt;url&gt;&amp;lt;Go to ISI&amp;gt;://WOS:001402438100001&lt;/url&gt;&lt;/related-urls&gt;&lt;/urls&gt;&lt;electronic-resource-num&gt;10.1021/acs.jpclett.4c03361&lt;/electronic-resource-num&gt;&lt;/record&gt;&lt;/Cite&gt;&lt;/EndNote&gt;</w:instrTex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separate"/>
            </w:r>
            <w:r>
              <w:rPr>
                <w:rFonts w:cs="Times New Roman"/>
                <w:color w:val="000000"/>
                <w:sz w:val="21"/>
                <w:szCs w:val="21"/>
                <w:vertAlign w:val="superscript"/>
              </w:rPr>
              <w:t>10</w: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3609" w:type="dxa"/>
            <w:tcBorders>
              <w:top w:val="nil"/>
              <w:bottom w:val="nil"/>
            </w:tcBorders>
          </w:tcPr>
          <w:p w14:paraId="4D98DAA9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922" w:type="dxa"/>
            <w:tcBorders>
              <w:top w:val="nil"/>
              <w:bottom w:val="nil"/>
            </w:tcBorders>
          </w:tcPr>
          <w:p w14:paraId="7C09575D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120</w:t>
            </w:r>
            <w:r>
              <w:rPr>
                <w:rFonts w:cs="Times New Roman"/>
                <w:color w:val="000000"/>
                <w:sz w:val="21"/>
                <w:szCs w:val="21"/>
              </w:rPr>
              <w:t xml:space="preserve"> h</w:t>
            </w:r>
          </w:p>
        </w:tc>
      </w:tr>
      <w:tr w14:paraId="790076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  <w:tcBorders>
              <w:top w:val="nil"/>
            </w:tcBorders>
          </w:tcPr>
          <w:p w14:paraId="6A037385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Mo/NiCo</w:t>
            </w:r>
            <w:r>
              <w:rPr>
                <w:rFonts w:hint="eastAsia" w:cs="Times New Roman"/>
                <w:color w:val="000000"/>
                <w:sz w:val="21"/>
                <w:szCs w:val="21"/>
                <w:vertAlign w:val="subscript"/>
              </w:rPr>
              <w:t>2</w:t>
            </w:r>
            <w:r>
              <w:rPr>
                <w:rFonts w:hint="eastAsia" w:cs="Times New Roman"/>
                <w:color w:val="000000"/>
                <w:sz w:val="21"/>
                <w:szCs w:val="21"/>
              </w:rPr>
              <w:t>O</w:t>
            </w:r>
            <w:r>
              <w:rPr>
                <w:rFonts w:hint="eastAsia" w:cs="Times New Roman"/>
                <w:color w:val="000000"/>
                <w:sz w:val="21"/>
                <w:szCs w:val="21"/>
                <w:vertAlign w:val="subscript"/>
              </w:rPr>
              <w:t>4</w: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begin"/>
            </w:r>
            <w:r>
              <w:rPr>
                <w:rFonts w:cs="Times New Roman"/>
                <w:color w:val="000000"/>
                <w:sz w:val="21"/>
                <w:szCs w:val="21"/>
              </w:rPr>
              <w:instrText xml:space="preserve"> ADDIN EN.CITE &lt;EndNote&gt;&lt;Cite&gt;&lt;Author&gt;Sharma&lt;/Author&gt;&lt;Year&gt;2025&lt;/Year&gt;&lt;RecNum&gt;70&lt;/RecNum&gt;&lt;DisplayText&gt;&lt;style face="superscript"&gt;11&lt;/style&gt;&lt;/DisplayText&gt;&lt;record&gt;&lt;rec-number&gt;70&lt;/rec-number&gt;&lt;foreign-keys&gt;&lt;key app="EN" db-id="xe2p0dwzpf52xoefwrp5pfp2eer0tz9ta2fw" timestamp="1743659261"&gt;70&lt;/key&gt;&lt;/foreign-keys&gt;&lt;ref-type name="Journal Article"&gt;17&lt;/ref-type&gt;&lt;contributors&gt;&lt;authors&gt;&lt;author&gt;Sharma, Ravinder&lt;/author&gt;&lt;author&gt;Singh, Arkaj&lt;/author&gt;&lt;author&gt;Halder, Aditi&lt;/author&gt;&lt;/authors&gt;&lt;/contributors&gt;&lt;titles&gt;&lt;title&gt;Synergistic effect of lattice strain, oxygen vacancy and morphology in Mo doped NiCo2O4 for high-performance zinc air batteries&lt;/title&gt;&lt;secondary-title&gt;Journal of Energy Storage&lt;/secondary-title&gt;&lt;/titles&gt;&lt;periodical&gt;&lt;full-title&gt;Journal of Energy Storage&lt;/full-title&gt;&lt;/periodical&gt;&lt;volume&gt;107&lt;/volume&gt;&lt;dates&gt;&lt;year&gt;2025&lt;/year&gt;&lt;pub-dates&gt;&lt;date&gt;Jan 30&lt;/date&gt;&lt;/pub-dates&gt;&lt;/dates&gt;&lt;isbn&gt;2352-152X&lt;/isbn&gt;&lt;accession-num&gt;WOS:001386004600001&lt;/accession-num&gt;&lt;work-type&gt;Article&lt;/work-type&gt;&lt;urls&gt;&lt;related-urls&gt;&lt;url&gt;&amp;lt;Go to ISI&amp;gt;://WOS:001386004600001&lt;/url&gt;&lt;/related-urls&gt;&lt;/urls&gt;&lt;custom7&gt;114918&lt;/custom7&gt;&lt;electronic-resource-num&gt;10.1016/j.est.2024.114918&lt;/electronic-resource-num&gt;&lt;/record&gt;&lt;/Cite&gt;&lt;/EndNote&gt;</w:instrTex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separate"/>
            </w:r>
            <w:r>
              <w:rPr>
                <w:rFonts w:cs="Times New Roman"/>
                <w:color w:val="000000"/>
                <w:sz w:val="21"/>
                <w:szCs w:val="21"/>
                <w:vertAlign w:val="superscript"/>
              </w:rPr>
              <w:t>11</w:t>
            </w:r>
            <w:r>
              <w:rPr>
                <w:rFonts w:cs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3609" w:type="dxa"/>
            <w:tcBorders>
              <w:top w:val="nil"/>
            </w:tcBorders>
          </w:tcPr>
          <w:p w14:paraId="217397D9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922" w:type="dxa"/>
            <w:tcBorders>
              <w:top w:val="nil"/>
            </w:tcBorders>
          </w:tcPr>
          <w:p w14:paraId="6A953433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</w:rPr>
              <w:t>96</w:t>
            </w:r>
            <w:r>
              <w:rPr>
                <w:rFonts w:cs="Times New Roman"/>
                <w:color w:val="000000"/>
                <w:sz w:val="21"/>
                <w:szCs w:val="21"/>
              </w:rPr>
              <w:t xml:space="preserve"> h</w:t>
            </w:r>
          </w:p>
        </w:tc>
      </w:tr>
    </w:tbl>
    <w:p w14:paraId="5029067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References</w:t>
      </w:r>
    </w:p>
    <w:p w14:paraId="60D0EB46">
      <w:pPr>
        <w:pStyle w:val="14"/>
        <w:spacing w:line="480" w:lineRule="auto"/>
        <w:ind w:left="480" w:hanging="480" w:hangingChars="200"/>
      </w:pPr>
      <w:r>
        <w:fldChar w:fldCharType="begin"/>
      </w:r>
      <w:r>
        <w:instrText xml:space="preserve"> ADDIN EN.REFLIST </w:instrText>
      </w:r>
      <w:r>
        <w:fldChar w:fldCharType="separate"/>
      </w:r>
      <w:r>
        <w:t xml:space="preserve">(1) Rincon, R. A.; Masa, J.; Mehrpour, S.; Tietz, F.; Schuhmann, W. Activation of oxygen evolving perovskites for oxygen reduction by functionalization with Fe-Nx/C groups. </w:t>
      </w:r>
      <w:r>
        <w:rPr>
          <w:i/>
        </w:rPr>
        <w:t xml:space="preserve">Chemical Communications </w:t>
      </w:r>
      <w:r>
        <w:rPr>
          <w:b/>
        </w:rPr>
        <w:t>2014</w:t>
      </w:r>
      <w:r>
        <w:t xml:space="preserve">, </w:t>
      </w:r>
      <w:r>
        <w:rPr>
          <w:i/>
        </w:rPr>
        <w:t>50</w:t>
      </w:r>
      <w:r>
        <w:t xml:space="preserve"> (94), 14760-14762.</w:t>
      </w:r>
    </w:p>
    <w:p w14:paraId="1E91635A">
      <w:pPr>
        <w:pStyle w:val="14"/>
        <w:spacing w:line="480" w:lineRule="auto"/>
        <w:ind w:left="480" w:hanging="480" w:hangingChars="200"/>
      </w:pPr>
      <w:r>
        <w:t>(2) Shui, Z.; Yu, S.; Lu, W.; Xu, L.; Liu, Q.; Zhao, W.; Liu, Y. Bifunctional Electrocatalysts of Mn-doped Co</w:t>
      </w:r>
      <w:r>
        <w:rPr>
          <w:vertAlign w:val="subscript"/>
        </w:rPr>
        <w:t>3</w:t>
      </w:r>
      <w:r>
        <w:t>O</w:t>
      </w:r>
      <w:r>
        <w:rPr>
          <w:vertAlign w:val="subscript"/>
        </w:rPr>
        <w:t>4</w:t>
      </w:r>
      <w:r>
        <w:t xml:space="preserve"> for Oxygen Reduction and Oxygen Evolution Reactions in Alkaline Medium. </w:t>
      </w:r>
      <w:r>
        <w:rPr>
          <w:i/>
        </w:rPr>
        <w:t xml:space="preserve">Acta Chim. Sinica </w:t>
      </w:r>
      <w:r>
        <w:rPr>
          <w:b/>
        </w:rPr>
        <w:t>2024</w:t>
      </w:r>
      <w:r>
        <w:t xml:space="preserve">, </w:t>
      </w:r>
      <w:r>
        <w:rPr>
          <w:i/>
        </w:rPr>
        <w:t>82</w:t>
      </w:r>
      <w:r>
        <w:t xml:space="preserve"> (10), 1039-1049.</w:t>
      </w:r>
    </w:p>
    <w:p w14:paraId="6131D7F8">
      <w:pPr>
        <w:pStyle w:val="14"/>
        <w:spacing w:line="480" w:lineRule="auto"/>
        <w:ind w:left="480" w:hanging="480" w:hangingChars="200"/>
      </w:pPr>
      <w:r>
        <w:t xml:space="preserve">(3) Chen, F.; Xue, L.; Shang, Z.; Zhang, Z.; Chen, D. An enhanced non-noble perovskite-based oxygen electrocatalyst for efficient oxygen reduction and evolution reactions. </w:t>
      </w:r>
      <w:r>
        <w:rPr>
          <w:i/>
        </w:rPr>
        <w:t xml:space="preserve">Journal of Solid State Chemistry </w:t>
      </w:r>
      <w:r>
        <w:rPr>
          <w:b/>
        </w:rPr>
        <w:t>2020</w:t>
      </w:r>
      <w:r>
        <w:t xml:space="preserve">, </w:t>
      </w:r>
      <w:r>
        <w:rPr>
          <w:i/>
        </w:rPr>
        <w:t>282</w:t>
      </w:r>
      <w:r>
        <w:t xml:space="preserve">, </w:t>
      </w:r>
    </w:p>
    <w:p w14:paraId="5548322A">
      <w:pPr>
        <w:pStyle w:val="14"/>
        <w:spacing w:line="480" w:lineRule="auto"/>
        <w:ind w:left="480" w:hanging="480" w:hangingChars="200"/>
      </w:pPr>
      <w:r>
        <w:t xml:space="preserve">(4) Chai, R.-L.; Han, S.-B.; Wang, L.W.; Li, S.-H.; Pan, H.; Zhang, H.B.; Tu, X.Y.; Wang, Z.Y.; Wang, X.; Li, G.-Y.; et al. Electronic Structure Tunable Metallosupramolecular Polymers as Bifunctional Electrocatalysts for Rechargeable Zn-Air Battery. </w:t>
      </w:r>
      <w:r>
        <w:rPr>
          <w:i/>
        </w:rPr>
        <w:t xml:space="preserve">Small </w:t>
      </w:r>
      <w:r>
        <w:rPr>
          <w:b/>
        </w:rPr>
        <w:t>2025</w:t>
      </w:r>
      <w:r>
        <w:t xml:space="preserve">, </w:t>
      </w:r>
      <w:r>
        <w:rPr>
          <w:i/>
        </w:rPr>
        <w:t>21</w:t>
      </w:r>
      <w:r>
        <w:t xml:space="preserve"> (12), </w:t>
      </w:r>
    </w:p>
    <w:p w14:paraId="0EA19C7B">
      <w:pPr>
        <w:pStyle w:val="14"/>
        <w:spacing w:line="480" w:lineRule="auto"/>
        <w:ind w:left="480" w:hanging="480" w:hangingChars="200"/>
      </w:pPr>
      <w:r>
        <w:t xml:space="preserve">(5) Xue, Y.; Wang, Y.; Zheng, Z.; Lu, Q.; Chen, W.; Yan, S.; Sun, S.; Zhang, H.; Shao, G. Nickel-hydroxide decorated trimanganese-tetroxide nanorods supported on graphene as bifunctional electrocatalyst for metal-air batteries. </w:t>
      </w:r>
      <w:r>
        <w:rPr>
          <w:i/>
        </w:rPr>
        <w:t xml:space="preserve">J. Electroanal. Chem. </w:t>
      </w:r>
      <w:r>
        <w:rPr>
          <w:b/>
        </w:rPr>
        <w:t>2024</w:t>
      </w:r>
      <w:r>
        <w:t xml:space="preserve">, </w:t>
      </w:r>
      <w:r>
        <w:rPr>
          <w:i/>
        </w:rPr>
        <w:t>963</w:t>
      </w:r>
      <w:r>
        <w:t xml:space="preserve">, </w:t>
      </w:r>
    </w:p>
    <w:p w14:paraId="1FEF4ADC">
      <w:pPr>
        <w:pStyle w:val="14"/>
        <w:spacing w:line="480" w:lineRule="auto"/>
        <w:ind w:left="480" w:hanging="480" w:hangingChars="200"/>
      </w:pPr>
      <w:r>
        <w:t xml:space="preserve">(6) Divinagracia-Luzadas, M.; Kaneko, K.; Hori, K.; Paraggua, J. A.; Noda, S.; Ocon, J. Synthesis and Evaluation of Self-Supporting Graphitic Carbon Nitride/ Carbon Nanotube (GCN/CNT) ORR/OER Electrodes in Aqueous and Non-Aqueous Media. </w:t>
      </w:r>
      <w:r>
        <w:rPr>
          <w:i/>
        </w:rPr>
        <w:t xml:space="preserve">Curr. Appl Phys. </w:t>
      </w:r>
      <w:r>
        <w:rPr>
          <w:b/>
        </w:rPr>
        <w:t>2025</w:t>
      </w:r>
      <w:r>
        <w:t xml:space="preserve">, </w:t>
      </w:r>
      <w:r>
        <w:rPr>
          <w:i/>
        </w:rPr>
        <w:t>71</w:t>
      </w:r>
      <w:r>
        <w:t>, 14-26.</w:t>
      </w:r>
    </w:p>
    <w:p w14:paraId="5AD5A82D">
      <w:pPr>
        <w:pStyle w:val="14"/>
        <w:spacing w:line="480" w:lineRule="auto"/>
        <w:ind w:left="480" w:hanging="480" w:hangingChars="200"/>
      </w:pPr>
      <w:r>
        <w:t xml:space="preserve">(7) Li, H.; Qiu, H.; Aliyeva, A.; Wang, J.; Muller, M.; Hansen, L.; Tjardts, T.; Aktas, C.; Benedikt, J. Cobalt-decorated defective carbon paper as a self-supported catalyst for oxygen electrocatalysis and rechargeable zinc-air battery. </w:t>
      </w:r>
      <w:r>
        <w:rPr>
          <w:i/>
        </w:rPr>
        <w:t xml:space="preserve">Journal of colloid and interface science </w:t>
      </w:r>
      <w:r>
        <w:rPr>
          <w:b/>
        </w:rPr>
        <w:t>2025</w:t>
      </w:r>
      <w:r>
        <w:t xml:space="preserve">, </w:t>
      </w:r>
      <w:r>
        <w:rPr>
          <w:i/>
        </w:rPr>
        <w:t>689</w:t>
      </w:r>
      <w:r>
        <w:t>, 137230-137230.</w:t>
      </w:r>
    </w:p>
    <w:p w14:paraId="4405E313">
      <w:pPr>
        <w:pStyle w:val="14"/>
        <w:spacing w:line="480" w:lineRule="auto"/>
        <w:ind w:left="480" w:hanging="480" w:hangingChars="200"/>
      </w:pPr>
      <w:r>
        <w:t xml:space="preserve">(8) Riquelme-Garcia, P.; Garcia-Rodriguez, M.; Flores-Lasluisa, J. X.; Cazorla-Amoros, D.; Morallon, E. Enhanced electrocatalytic performance of SrMn1-xCoxO3 perovskite metal oxides for oxygen reactions in Zn-air batteries: Influence of Mn/Co ratio. </w:t>
      </w:r>
      <w:r>
        <w:rPr>
          <w:i/>
        </w:rPr>
        <w:t xml:space="preserve">Appl. Surf. Sci. Adv. </w:t>
      </w:r>
      <w:r>
        <w:rPr>
          <w:b/>
        </w:rPr>
        <w:t>2025</w:t>
      </w:r>
      <w:r>
        <w:t xml:space="preserve">, </w:t>
      </w:r>
      <w:r>
        <w:rPr>
          <w:i/>
        </w:rPr>
        <w:t>27</w:t>
      </w:r>
      <w:r>
        <w:t xml:space="preserve">, </w:t>
      </w:r>
    </w:p>
    <w:p w14:paraId="254BC680">
      <w:pPr>
        <w:pStyle w:val="14"/>
        <w:spacing w:line="480" w:lineRule="auto"/>
        <w:ind w:left="480" w:hanging="480" w:hangingChars="200"/>
      </w:pPr>
      <w:r>
        <w:t>(9) Shui, Z.; Tian, H.; Mu, H.; Xu, L.; Gao, X.; Chen, X. Mn doping for regulating the electronic structure of Co</w:t>
      </w:r>
      <w:r>
        <w:rPr>
          <w:vertAlign w:val="subscript"/>
        </w:rPr>
        <w:t>3</w:t>
      </w:r>
      <w:r>
        <w:t>O</w:t>
      </w:r>
      <w:r>
        <w:rPr>
          <w:vertAlign w:val="subscript"/>
        </w:rPr>
        <w:t>4</w:t>
      </w:r>
      <w:r>
        <w:t xml:space="preserve"> to construct dual active sites for oxygen electrocatalysis. </w:t>
      </w:r>
      <w:r>
        <w:rPr>
          <w:i/>
        </w:rPr>
        <w:t xml:space="preserve">Inorganic Chemistry Frontiers </w:t>
      </w:r>
      <w:r>
        <w:rPr>
          <w:b/>
        </w:rPr>
        <w:t>2025</w:t>
      </w:r>
      <w:r>
        <w:t xml:space="preserve">, </w:t>
      </w:r>
      <w:r>
        <w:rPr>
          <w:i/>
        </w:rPr>
        <w:t>12</w:t>
      </w:r>
      <w:r>
        <w:t xml:space="preserve"> (7), 2783-2791.</w:t>
      </w:r>
    </w:p>
    <w:p w14:paraId="0D0B8864">
      <w:pPr>
        <w:pStyle w:val="14"/>
        <w:spacing w:line="480" w:lineRule="auto"/>
        <w:ind w:left="480" w:hanging="480" w:hangingChars="200"/>
      </w:pPr>
      <w:r>
        <w:t xml:space="preserve">(10) Modak, A.; Phutela, A.; Kundu, A.; Das, S.; Bhasin, V.; Bhattacharyya, D.; Bhattacharya, S. Hyper-Cross-Linked Polymer-Derived Carbon-Coated Fe-Ni Alloy/CNT as a Bifunctional Electrocatalyst for Rechargeable Zinc-Air Batteries. </w:t>
      </w:r>
      <w:r>
        <w:rPr>
          <w:i/>
        </w:rPr>
        <w:t xml:space="preserve">Journal of Physical Chemistry Letters </w:t>
      </w:r>
      <w:r>
        <w:rPr>
          <w:b/>
        </w:rPr>
        <w:t>2025</w:t>
      </w:r>
      <w:r>
        <w:t xml:space="preserve">, </w:t>
      </w:r>
      <w:r>
        <w:rPr>
          <w:i/>
        </w:rPr>
        <w:t>16</w:t>
      </w:r>
      <w:r>
        <w:t xml:space="preserve"> (4), 1051-1065.</w:t>
      </w:r>
    </w:p>
    <w:p w14:paraId="2B5B05AA">
      <w:pPr>
        <w:pStyle w:val="14"/>
        <w:spacing w:line="480" w:lineRule="auto"/>
        <w:ind w:left="480" w:hanging="480" w:hangingChars="200"/>
      </w:pPr>
      <w:r>
        <w:t xml:space="preserve">(11) Sharma, R.; Singh, A.; Halder, A. Synergistic effect of lattice strain, oxygen vacancy and morphology in Mo doped NiCo2O4 for high-performance zinc air batteries. </w:t>
      </w:r>
      <w:r>
        <w:rPr>
          <w:i/>
        </w:rPr>
        <w:t xml:space="preserve">Journal of Energy Storage </w:t>
      </w:r>
      <w:r>
        <w:rPr>
          <w:b/>
        </w:rPr>
        <w:t>2025</w:t>
      </w:r>
      <w:r>
        <w:t xml:space="preserve">, </w:t>
      </w:r>
      <w:r>
        <w:rPr>
          <w:i/>
        </w:rPr>
        <w:t>107</w:t>
      </w:r>
      <w:r>
        <w:t>,</w:t>
      </w:r>
      <w:r>
        <w:rPr>
          <w:rFonts w:hint="eastAsia"/>
        </w:rPr>
        <w:t xml:space="preserve"> 114918.</w:t>
      </w:r>
      <w:r>
        <w:t xml:space="preserve"> </w:t>
      </w:r>
    </w:p>
    <w:p w14:paraId="4EA11E0B">
      <w:pPr>
        <w:spacing w:line="480" w:lineRule="auto"/>
        <w:ind w:left="480" w:hanging="480" w:hangingChars="200"/>
        <w:rPr>
          <w:rFonts w:cs="Times New Roman"/>
        </w:rPr>
      </w:pPr>
      <w:r>
        <w:rPr>
          <w:rFonts w:cs="Times New Roman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 Appl Energy Mater 复制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e2p0dwzpf52xoefwrp5pfp2eer0tz9ta2fw&quot;&gt;第一章&lt;record-ids&gt;&lt;item&gt;58&lt;/item&gt;&lt;item&gt;60&lt;/item&gt;&lt;item&gt;64&lt;/item&gt;&lt;item&gt;65&lt;/item&gt;&lt;item&gt;66&lt;/item&gt;&lt;item&gt;67&lt;/item&gt;&lt;item&gt;69&lt;/item&gt;&lt;item&gt;70&lt;/item&gt;&lt;item&gt;72&lt;/item&gt;&lt;item&gt;75&lt;/item&gt;&lt;/record-ids&gt;&lt;/item&gt;&lt;/Libraries&gt;"/>
  </w:docVars>
  <w:rsids>
    <w:rsidRoot w:val="004035AC"/>
    <w:rsid w:val="00002DC3"/>
    <w:rsid w:val="00016DCE"/>
    <w:rsid w:val="00042285"/>
    <w:rsid w:val="00057F07"/>
    <w:rsid w:val="00086B21"/>
    <w:rsid w:val="000A177B"/>
    <w:rsid w:val="000A6251"/>
    <w:rsid w:val="000B402C"/>
    <w:rsid w:val="000C37F1"/>
    <w:rsid w:val="000C786D"/>
    <w:rsid w:val="000F514E"/>
    <w:rsid w:val="00105B93"/>
    <w:rsid w:val="00126657"/>
    <w:rsid w:val="00133F5E"/>
    <w:rsid w:val="00140FC7"/>
    <w:rsid w:val="00166EBF"/>
    <w:rsid w:val="001E359C"/>
    <w:rsid w:val="001F629A"/>
    <w:rsid w:val="0020160F"/>
    <w:rsid w:val="00202072"/>
    <w:rsid w:val="00215D02"/>
    <w:rsid w:val="0022100B"/>
    <w:rsid w:val="00261F83"/>
    <w:rsid w:val="00277513"/>
    <w:rsid w:val="00281E54"/>
    <w:rsid w:val="002B1563"/>
    <w:rsid w:val="002F5242"/>
    <w:rsid w:val="003168D8"/>
    <w:rsid w:val="00326688"/>
    <w:rsid w:val="003319F2"/>
    <w:rsid w:val="0033617D"/>
    <w:rsid w:val="0034527C"/>
    <w:rsid w:val="00362D82"/>
    <w:rsid w:val="00375068"/>
    <w:rsid w:val="00377C1A"/>
    <w:rsid w:val="003D491F"/>
    <w:rsid w:val="004035AC"/>
    <w:rsid w:val="00424E2E"/>
    <w:rsid w:val="004401BD"/>
    <w:rsid w:val="004E6590"/>
    <w:rsid w:val="005173A0"/>
    <w:rsid w:val="0051747F"/>
    <w:rsid w:val="00527681"/>
    <w:rsid w:val="00555AA9"/>
    <w:rsid w:val="0056441C"/>
    <w:rsid w:val="005D1E04"/>
    <w:rsid w:val="005E21BF"/>
    <w:rsid w:val="00625011"/>
    <w:rsid w:val="0062688B"/>
    <w:rsid w:val="0067090F"/>
    <w:rsid w:val="00697DA0"/>
    <w:rsid w:val="006D05B0"/>
    <w:rsid w:val="006E6FFD"/>
    <w:rsid w:val="006F5AC4"/>
    <w:rsid w:val="007154DE"/>
    <w:rsid w:val="00736005"/>
    <w:rsid w:val="007711AE"/>
    <w:rsid w:val="007815A5"/>
    <w:rsid w:val="0078642A"/>
    <w:rsid w:val="007E0B31"/>
    <w:rsid w:val="007E3235"/>
    <w:rsid w:val="007F4062"/>
    <w:rsid w:val="00803EEF"/>
    <w:rsid w:val="008344E2"/>
    <w:rsid w:val="008564CB"/>
    <w:rsid w:val="008B79F8"/>
    <w:rsid w:val="008D1001"/>
    <w:rsid w:val="008D6A6F"/>
    <w:rsid w:val="008F5B14"/>
    <w:rsid w:val="0091129D"/>
    <w:rsid w:val="00912823"/>
    <w:rsid w:val="009D00B6"/>
    <w:rsid w:val="009D72E8"/>
    <w:rsid w:val="00A01663"/>
    <w:rsid w:val="00A06DA3"/>
    <w:rsid w:val="00A30CC0"/>
    <w:rsid w:val="00A33833"/>
    <w:rsid w:val="00A41FEC"/>
    <w:rsid w:val="00A504B1"/>
    <w:rsid w:val="00A84623"/>
    <w:rsid w:val="00A95A31"/>
    <w:rsid w:val="00AA4315"/>
    <w:rsid w:val="00AB4071"/>
    <w:rsid w:val="00AB6716"/>
    <w:rsid w:val="00AD1514"/>
    <w:rsid w:val="00AE74C2"/>
    <w:rsid w:val="00B1059C"/>
    <w:rsid w:val="00B22205"/>
    <w:rsid w:val="00B272DB"/>
    <w:rsid w:val="00B56DE5"/>
    <w:rsid w:val="00B636C3"/>
    <w:rsid w:val="00BD5459"/>
    <w:rsid w:val="00BE53B1"/>
    <w:rsid w:val="00C2672F"/>
    <w:rsid w:val="00C47F17"/>
    <w:rsid w:val="00C96F45"/>
    <w:rsid w:val="00D0708F"/>
    <w:rsid w:val="00D32295"/>
    <w:rsid w:val="00D436FF"/>
    <w:rsid w:val="00D51D4C"/>
    <w:rsid w:val="00D568C8"/>
    <w:rsid w:val="00D809DB"/>
    <w:rsid w:val="00D939F4"/>
    <w:rsid w:val="00DA58D1"/>
    <w:rsid w:val="00DB0154"/>
    <w:rsid w:val="00DC52D8"/>
    <w:rsid w:val="00DE66B4"/>
    <w:rsid w:val="00E20896"/>
    <w:rsid w:val="00E20998"/>
    <w:rsid w:val="00E3479D"/>
    <w:rsid w:val="00E41645"/>
    <w:rsid w:val="00E63483"/>
    <w:rsid w:val="00E65C72"/>
    <w:rsid w:val="00E73B44"/>
    <w:rsid w:val="00EC3656"/>
    <w:rsid w:val="00EE11B5"/>
    <w:rsid w:val="00F4052F"/>
    <w:rsid w:val="00F50035"/>
    <w:rsid w:val="00F55E65"/>
    <w:rsid w:val="00F75730"/>
    <w:rsid w:val="3B24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  <w14:ligatures w14:val="none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  <w14:ligatures w14:val="standardContextual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/>
      <w:sz w:val="18"/>
      <w:szCs w:val="18"/>
      <w14:ligatures w14:val="standardContextual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  <w:style w:type="table" w:styleId="7">
    <w:name w:val="Table Grid"/>
    <w:basedOn w:val="6"/>
    <w:uiPriority w:val="39"/>
    <w:rPr>
      <w:rFonts w:ascii="Times New Roman" w:hAnsi="Times New Roman" w:eastAsia="宋体" w:cs="Times New Roman"/>
      <w:color w:val="000000"/>
      <w:sz w:val="28"/>
      <w:szCs w:val="28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customStyle="1" w:styleId="12">
    <w:name w:val="EndNote Bibliography Title"/>
    <w:basedOn w:val="1"/>
    <w:link w:val="13"/>
    <w:uiPriority w:val="0"/>
    <w:pPr>
      <w:jc w:val="center"/>
    </w:pPr>
    <w:rPr>
      <w:rFonts w:cs="Times New Roman"/>
    </w:rPr>
  </w:style>
  <w:style w:type="character" w:customStyle="1" w:styleId="13">
    <w:name w:val="EndNote Bibliography Title 字符"/>
    <w:basedOn w:val="8"/>
    <w:link w:val="12"/>
    <w:qFormat/>
    <w:uiPriority w:val="0"/>
    <w:rPr>
      <w:rFonts w:ascii="Times New Roman" w:hAnsi="Times New Roman" w:eastAsia="宋体" w:cs="Times New Roman"/>
      <w:sz w:val="24"/>
      <w14:ligatures w14:val="none"/>
    </w:rPr>
  </w:style>
  <w:style w:type="paragraph" w:customStyle="1" w:styleId="14">
    <w:name w:val="EndNote Bibliography"/>
    <w:basedOn w:val="1"/>
    <w:link w:val="15"/>
    <w:uiPriority w:val="0"/>
    <w:rPr>
      <w:rFonts w:cs="Times New Roman"/>
    </w:rPr>
  </w:style>
  <w:style w:type="character" w:customStyle="1" w:styleId="15">
    <w:name w:val="EndNote Bibliography 字符"/>
    <w:basedOn w:val="8"/>
    <w:link w:val="14"/>
    <w:uiPriority w:val="0"/>
    <w:rPr>
      <w:rFonts w:ascii="Times New Roman" w:hAnsi="Times New Roman" w:eastAsia="宋体" w:cs="Times New Roman"/>
      <w:sz w:val="24"/>
      <w14:ligatures w14:val="none"/>
    </w:rPr>
  </w:style>
  <w:style w:type="character" w:customStyle="1" w:styleId="16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C47B7-A47D-4A24-AC1D-4A8F1B4C9E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251</Words>
  <Characters>1523</Characters>
  <Lines>1116</Lines>
  <Paragraphs>959</Paragraphs>
  <TotalTime>0</TotalTime>
  <ScaleCrop>false</ScaleCrop>
  <LinksUpToDate>false</LinksUpToDate>
  <CharactersWithSpaces>1713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2024-01-03T02:15:00Z</dcterms:created>
  <dc:creator>chang zou</dc:creator>
  <cp:lastModifiedBy>微信用户</cp:lastModifiedBy>
  <dcterms:modified xsi:type="dcterms:W3CDTF">2026-01-04T02:22:44Z</dcterms:modified>
  <cp:revision>193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eyJoZGlkIjoiZjVhNGJiMWVmZTg4ZjFhYWZhYWFiMzBkODkwYWRkZmUiLCJ1c2VySWQiOiIxMjgwMjY2NzIyIn0=</vt:lpwstr>
  </property>
  <property fmtid="{D5CDD505-2E9C-101B-9397-08002B2CF9AE}" pid="3" name="KSOProductBuildVer">
    <vt:lpwstr>2052-12.1.0.24034</vt:lpwstr>
  </property>
  <property fmtid="{D5CDD505-2E9C-101B-9397-08002B2CF9AE}" pid="4" name="ICV">
    <vt:lpwstr>536889295FDB49A5AB139F90CE5552DB_12</vt:lpwstr>
  </property>
</Properties>
</file>