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A77A1" w14:textId="77777777" w:rsidR="00167E09" w:rsidRDefault="00167E09" w:rsidP="00167E09">
      <w:pPr>
        <w:spacing w:after="0" w:line="360" w:lineRule="auto"/>
        <w:jc w:val="both"/>
        <w:rPr>
          <w:rFonts w:ascii="Arial" w:eastAsia="Calibri" w:hAnsi="Arial" w:cs="Arial"/>
          <w:b/>
          <w:bCs/>
          <w:sz w:val="22"/>
          <w:szCs w:val="22"/>
        </w:rPr>
      </w:pPr>
      <w:r w:rsidRPr="00F50F12">
        <w:rPr>
          <w:rFonts w:ascii="Arial" w:eastAsia="Calibri" w:hAnsi="Arial" w:cs="Arial"/>
          <w:b/>
          <w:bCs/>
          <w:sz w:val="22"/>
          <w:szCs w:val="22"/>
        </w:rPr>
        <w:t>Supplementary Figure</w:t>
      </w:r>
      <w:r>
        <w:rPr>
          <w:rFonts w:ascii="Arial" w:eastAsia="Calibri" w:hAnsi="Arial" w:cs="Arial"/>
          <w:b/>
          <w:bCs/>
          <w:sz w:val="22"/>
          <w:szCs w:val="22"/>
        </w:rPr>
        <w:t xml:space="preserve"> Legends</w:t>
      </w:r>
    </w:p>
    <w:p w14:paraId="125C3089" w14:textId="77777777" w:rsidR="00167E09" w:rsidRPr="00F50F12" w:rsidRDefault="00167E09" w:rsidP="00167E09">
      <w:pPr>
        <w:spacing w:after="0" w:line="360" w:lineRule="auto"/>
        <w:jc w:val="both"/>
        <w:rPr>
          <w:rFonts w:ascii="Arial" w:eastAsia="Calibri" w:hAnsi="Arial" w:cs="Arial"/>
          <w:b/>
          <w:bCs/>
          <w:sz w:val="22"/>
          <w:szCs w:val="22"/>
        </w:rPr>
      </w:pPr>
    </w:p>
    <w:p w14:paraId="75BEB176" w14:textId="77777777" w:rsidR="00167E09" w:rsidRPr="00BA4616" w:rsidRDefault="00167E09" w:rsidP="00167E09">
      <w:pPr>
        <w:spacing w:after="0" w:line="360" w:lineRule="auto"/>
        <w:rPr>
          <w:rFonts w:ascii="Arial" w:hAnsi="Arial" w:cs="Arial"/>
          <w:color w:val="000000" w:themeColor="text1"/>
          <w:sz w:val="22"/>
          <w:szCs w:val="22"/>
        </w:rPr>
      </w:pPr>
      <w:r w:rsidRPr="00BA4616">
        <w:rPr>
          <w:rFonts w:ascii="Arial" w:hAnsi="Arial" w:cs="Arial"/>
          <w:b/>
          <w:bCs/>
          <w:color w:val="000000" w:themeColor="text1"/>
          <w:sz w:val="22"/>
          <w:szCs w:val="22"/>
        </w:rPr>
        <w:t xml:space="preserve">Supplementary Figure 1. </w:t>
      </w:r>
      <w:r w:rsidRPr="00BA4616">
        <w:rPr>
          <w:rFonts w:ascii="Arial" w:hAnsi="Arial" w:cs="Arial"/>
          <w:color w:val="000000" w:themeColor="text1"/>
          <w:sz w:val="22"/>
          <w:szCs w:val="22"/>
        </w:rPr>
        <w:t xml:space="preserve">Scree plot of principal component analysis showing the majority of variance explained by PC1 </w:t>
      </w:r>
    </w:p>
    <w:p w14:paraId="2FAAF6D3" w14:textId="77777777" w:rsidR="00167E09" w:rsidRPr="00BA4616" w:rsidRDefault="00167E09" w:rsidP="00167E09">
      <w:pPr>
        <w:spacing w:after="0" w:line="360" w:lineRule="auto"/>
        <w:rPr>
          <w:rFonts w:ascii="Arial" w:hAnsi="Arial" w:cs="Arial"/>
          <w:b/>
          <w:bCs/>
          <w:color w:val="000000" w:themeColor="text1"/>
          <w:sz w:val="22"/>
          <w:szCs w:val="22"/>
        </w:rPr>
      </w:pPr>
    </w:p>
    <w:p w14:paraId="4CCBD957" w14:textId="77777777" w:rsidR="00167E09" w:rsidRPr="00BA4616" w:rsidRDefault="00167E09" w:rsidP="00167E09">
      <w:pPr>
        <w:spacing w:after="0" w:line="360" w:lineRule="auto"/>
        <w:rPr>
          <w:rFonts w:ascii="Arial" w:hAnsi="Arial" w:cs="Arial"/>
          <w:color w:val="000000" w:themeColor="text1"/>
          <w:sz w:val="22"/>
          <w:szCs w:val="22"/>
        </w:rPr>
      </w:pPr>
      <w:r w:rsidRPr="00BA4616">
        <w:rPr>
          <w:rFonts w:ascii="Arial" w:hAnsi="Arial" w:cs="Arial"/>
          <w:b/>
          <w:bCs/>
          <w:color w:val="000000" w:themeColor="text1"/>
          <w:sz w:val="22"/>
          <w:szCs w:val="22"/>
        </w:rPr>
        <w:t>Supplementary Figure 2.</w:t>
      </w:r>
      <w:r w:rsidRPr="00BA4616">
        <w:rPr>
          <w:rFonts w:ascii="Arial" w:hAnsi="Arial" w:cs="Arial"/>
          <w:color w:val="000000" w:themeColor="text1"/>
          <w:sz w:val="22"/>
          <w:szCs w:val="22"/>
        </w:rPr>
        <w:t xml:space="preserve"> Normalized counts of genes of interest categorized by A) fibroblast activation, B) ECM, C) EndoMT, and D) cilia. </w:t>
      </w:r>
    </w:p>
    <w:p w14:paraId="435DAC88" w14:textId="77777777" w:rsidR="00167E09" w:rsidRDefault="00167E09" w:rsidP="00167E09">
      <w:pPr>
        <w:spacing w:after="0" w:line="360" w:lineRule="auto"/>
        <w:jc w:val="both"/>
        <w:rPr>
          <w:rFonts w:ascii="Arial" w:eastAsia="Calibri" w:hAnsi="Arial" w:cs="Arial"/>
          <w:b/>
          <w:bCs/>
          <w:sz w:val="22"/>
          <w:szCs w:val="22"/>
        </w:rPr>
      </w:pPr>
    </w:p>
    <w:p w14:paraId="7BB0B3A5" w14:textId="77777777" w:rsidR="00167E09" w:rsidRDefault="00167E09" w:rsidP="00167E09">
      <w:pPr>
        <w:spacing w:after="0" w:line="360" w:lineRule="auto"/>
        <w:jc w:val="both"/>
        <w:rPr>
          <w:rFonts w:ascii="Arial" w:eastAsia="Calibri" w:hAnsi="Arial" w:cs="Arial"/>
          <w:b/>
          <w:bCs/>
          <w:sz w:val="22"/>
          <w:szCs w:val="22"/>
        </w:rPr>
      </w:pPr>
      <w:r w:rsidRPr="00162C64">
        <w:rPr>
          <w:rFonts w:ascii="Arial" w:eastAsia="Calibri" w:hAnsi="Arial" w:cs="Arial"/>
          <w:b/>
          <w:bCs/>
          <w:sz w:val="22"/>
          <w:szCs w:val="22"/>
        </w:rPr>
        <w:t xml:space="preserve">Supplemental Figure </w:t>
      </w:r>
      <w:r>
        <w:rPr>
          <w:rFonts w:ascii="Arial" w:eastAsia="Calibri" w:hAnsi="Arial" w:cs="Arial"/>
          <w:b/>
          <w:bCs/>
          <w:sz w:val="22"/>
          <w:szCs w:val="22"/>
        </w:rPr>
        <w:t>3</w:t>
      </w:r>
      <w:r w:rsidRPr="00162C64">
        <w:rPr>
          <w:rFonts w:ascii="Arial" w:eastAsia="Calibri" w:hAnsi="Arial" w:cs="Arial"/>
          <w:b/>
          <w:bCs/>
          <w:sz w:val="22"/>
          <w:szCs w:val="22"/>
        </w:rPr>
        <w:t>. C-N</w:t>
      </w:r>
      <w:r>
        <w:rPr>
          <w:rFonts w:ascii="Arial" w:eastAsia="Calibri" w:hAnsi="Arial" w:cs="Arial"/>
          <w:b/>
          <w:bCs/>
          <w:sz w:val="22"/>
          <w:szCs w:val="22"/>
        </w:rPr>
        <w:t>AP</w:t>
      </w:r>
      <w:r w:rsidRPr="00162C64">
        <w:rPr>
          <w:rFonts w:ascii="Arial" w:eastAsia="Calibri" w:hAnsi="Arial" w:cs="Arial"/>
          <w:b/>
          <w:bCs/>
          <w:sz w:val="22"/>
          <w:szCs w:val="22"/>
        </w:rPr>
        <w:t xml:space="preserve">1 is a discontinuous structure that is concentrated near the centriole proximal end and can be visualized within Rootletin fibers. </w:t>
      </w:r>
    </w:p>
    <w:p w14:paraId="44E8C3C4" w14:textId="77777777" w:rsidR="00167E09" w:rsidRPr="00E82E3A" w:rsidRDefault="00167E09" w:rsidP="00167E09">
      <w:pPr>
        <w:spacing w:after="0" w:line="360" w:lineRule="auto"/>
        <w:jc w:val="both"/>
        <w:rPr>
          <w:rFonts w:ascii="Arial" w:eastAsia="Calibri" w:hAnsi="Arial" w:cs="Arial"/>
          <w:sz w:val="22"/>
          <w:szCs w:val="22"/>
        </w:rPr>
      </w:pPr>
      <w:r w:rsidRPr="00E82E3A">
        <w:rPr>
          <w:rFonts w:ascii="Arial" w:eastAsia="Calibri" w:hAnsi="Arial" w:cs="Arial"/>
          <w:sz w:val="22"/>
          <w:szCs w:val="22"/>
        </w:rPr>
        <w:t>(</w:t>
      </w:r>
      <w:r w:rsidRPr="00E82E3A">
        <w:rPr>
          <w:rFonts w:ascii="Arial" w:eastAsia="Calibri" w:hAnsi="Arial" w:cs="Arial"/>
          <w:b/>
          <w:bCs/>
          <w:sz w:val="22"/>
          <w:szCs w:val="22"/>
        </w:rPr>
        <w:t>A-I</w:t>
      </w:r>
      <w:r w:rsidRPr="00E82E3A">
        <w:rPr>
          <w:rFonts w:ascii="Arial" w:eastAsia="Calibri" w:hAnsi="Arial" w:cs="Arial"/>
          <w:sz w:val="22"/>
          <w:szCs w:val="22"/>
        </w:rPr>
        <w:t>) STED super-resolution microscopy of C-NAP1 in three unique cell types (hNDFs, HUVECs, RPE1) with three independent antibodies (Proteintech 14498-1-AP, Santa Cruz sc-390540, Proteintech 66814-1-IG), co-stained with either ALMS1 (</w:t>
      </w:r>
      <w:r w:rsidRPr="00E82E3A">
        <w:rPr>
          <w:rFonts w:ascii="Arial" w:eastAsia="Calibri" w:hAnsi="Arial" w:cs="Arial"/>
          <w:b/>
          <w:bCs/>
          <w:sz w:val="22"/>
          <w:szCs w:val="22"/>
        </w:rPr>
        <w:t>D,E,F,H,I</w:t>
      </w:r>
      <w:r w:rsidRPr="00E82E3A">
        <w:rPr>
          <w:rFonts w:ascii="Arial" w:eastAsia="Calibri" w:hAnsi="Arial" w:cs="Arial"/>
          <w:sz w:val="22"/>
          <w:szCs w:val="22"/>
        </w:rPr>
        <w:t>) or Rootletin (</w:t>
      </w:r>
      <w:r w:rsidRPr="00E82E3A">
        <w:rPr>
          <w:rFonts w:ascii="Arial" w:eastAsia="Calibri" w:hAnsi="Arial" w:cs="Arial"/>
          <w:b/>
          <w:bCs/>
          <w:sz w:val="22"/>
          <w:szCs w:val="22"/>
        </w:rPr>
        <w:t>A,B,C,G</w:t>
      </w:r>
      <w:r w:rsidRPr="00E82E3A">
        <w:rPr>
          <w:rFonts w:ascii="Arial" w:eastAsia="Calibri" w:hAnsi="Arial" w:cs="Arial"/>
          <w:sz w:val="22"/>
          <w:szCs w:val="22"/>
        </w:rPr>
        <w:t xml:space="preserve">). Regardless of the cell type or antibody used, C-NAP1 can be seen </w:t>
      </w:r>
      <w:r w:rsidRPr="00E82E3A">
        <w:rPr>
          <w:rFonts w:ascii="Arial" w:eastAsia="Calibri" w:hAnsi="Arial" w:cs="Arial"/>
          <w:color w:val="000000" w:themeColor="text1"/>
          <w:sz w:val="22"/>
          <w:szCs w:val="22"/>
        </w:rPr>
        <w:t>as scattered, punctate</w:t>
      </w:r>
      <w:r w:rsidRPr="00E82E3A">
        <w:rPr>
          <w:rFonts w:ascii="Arial" w:eastAsia="Calibri" w:hAnsi="Arial" w:cs="Arial"/>
          <w:sz w:val="22"/>
          <w:szCs w:val="22"/>
        </w:rPr>
        <w:t>, and associated with Rootletin fibers. Scale bars: 500 nm.</w:t>
      </w:r>
    </w:p>
    <w:p w14:paraId="30AB15BD" w14:textId="77777777" w:rsidR="00167E09" w:rsidRPr="00E82E3A" w:rsidRDefault="00167E09" w:rsidP="00167E09">
      <w:pPr>
        <w:spacing w:after="0" w:line="360" w:lineRule="auto"/>
        <w:jc w:val="both"/>
        <w:rPr>
          <w:rFonts w:ascii="Arial" w:eastAsia="Calibri" w:hAnsi="Arial" w:cs="Arial"/>
          <w:sz w:val="22"/>
          <w:szCs w:val="22"/>
        </w:rPr>
      </w:pPr>
    </w:p>
    <w:p w14:paraId="2E6DBDD7" w14:textId="77777777" w:rsidR="00167E09" w:rsidRDefault="00167E09" w:rsidP="00167E09">
      <w:pPr>
        <w:spacing w:after="0" w:line="360" w:lineRule="auto"/>
        <w:jc w:val="both"/>
        <w:rPr>
          <w:rFonts w:ascii="Arial" w:eastAsia="Calibri" w:hAnsi="Arial" w:cs="Arial"/>
          <w:sz w:val="22"/>
          <w:szCs w:val="22"/>
        </w:rPr>
      </w:pPr>
      <w:r w:rsidRPr="00E82E3A">
        <w:rPr>
          <w:rFonts w:ascii="Arial" w:eastAsia="Calibri" w:hAnsi="Arial" w:cs="Arial"/>
          <w:b/>
          <w:bCs/>
          <w:sz w:val="22"/>
          <w:szCs w:val="22"/>
        </w:rPr>
        <w:t xml:space="preserve">Supplemental Figure </w:t>
      </w:r>
      <w:r>
        <w:rPr>
          <w:rFonts w:ascii="Arial" w:eastAsia="Calibri" w:hAnsi="Arial" w:cs="Arial"/>
          <w:b/>
          <w:bCs/>
          <w:sz w:val="22"/>
          <w:szCs w:val="22"/>
        </w:rPr>
        <w:t>4</w:t>
      </w:r>
      <w:r w:rsidRPr="00E82E3A">
        <w:rPr>
          <w:rFonts w:ascii="Arial" w:eastAsia="Calibri" w:hAnsi="Arial" w:cs="Arial"/>
          <w:b/>
          <w:bCs/>
          <w:sz w:val="22"/>
          <w:szCs w:val="22"/>
        </w:rPr>
        <w:t xml:space="preserve">. ALMS1 loss does not affect the distal structures of the centriole. (A,B) </w:t>
      </w:r>
      <w:r w:rsidRPr="00E82E3A">
        <w:rPr>
          <w:rFonts w:ascii="Arial" w:eastAsia="Calibri" w:hAnsi="Arial" w:cs="Arial"/>
          <w:sz w:val="22"/>
          <w:szCs w:val="22"/>
        </w:rPr>
        <w:t>STED super-resolution imaging of the distal appendages (CEP164) in control (</w:t>
      </w:r>
      <w:r w:rsidRPr="00E82E3A">
        <w:rPr>
          <w:rFonts w:ascii="Arial" w:eastAsia="Calibri" w:hAnsi="Arial" w:cs="Arial"/>
          <w:b/>
          <w:bCs/>
          <w:sz w:val="22"/>
          <w:szCs w:val="22"/>
        </w:rPr>
        <w:t>A</w:t>
      </w:r>
      <w:r w:rsidRPr="00E82E3A">
        <w:rPr>
          <w:rFonts w:ascii="Arial" w:eastAsia="Calibri" w:hAnsi="Arial" w:cs="Arial"/>
          <w:sz w:val="22"/>
          <w:szCs w:val="22"/>
        </w:rPr>
        <w:t>; hNDFs) and (</w:t>
      </w:r>
      <w:r w:rsidRPr="00E82E3A">
        <w:rPr>
          <w:rFonts w:ascii="Arial" w:eastAsia="Calibri" w:hAnsi="Arial" w:cs="Arial"/>
          <w:b/>
          <w:bCs/>
          <w:sz w:val="22"/>
          <w:szCs w:val="22"/>
        </w:rPr>
        <w:t>B</w:t>
      </w:r>
      <w:r w:rsidRPr="00E82E3A">
        <w:rPr>
          <w:rFonts w:ascii="Arial" w:eastAsia="Calibri" w:hAnsi="Arial" w:cs="Arial"/>
          <w:sz w:val="22"/>
          <w:szCs w:val="22"/>
        </w:rPr>
        <w:t xml:space="preserve">; proband fibroblasts). </w:t>
      </w:r>
      <w:r w:rsidRPr="00E82E3A">
        <w:rPr>
          <w:rFonts w:ascii="Arial" w:eastAsia="Calibri" w:hAnsi="Arial" w:cs="Arial"/>
          <w:b/>
          <w:bCs/>
          <w:sz w:val="22"/>
          <w:szCs w:val="22"/>
        </w:rPr>
        <w:t>(C)</w:t>
      </w:r>
      <w:r w:rsidRPr="00E82E3A">
        <w:rPr>
          <w:rFonts w:ascii="Arial" w:eastAsia="Calibri" w:hAnsi="Arial" w:cs="Arial"/>
          <w:sz w:val="22"/>
          <w:szCs w:val="22"/>
        </w:rPr>
        <w:t xml:space="preserve"> Quantification of distal appendage diameters in control and proband cells. Centriole distal appendages are intact with unchanged diameters in proband cells. </w:t>
      </w:r>
      <w:r w:rsidRPr="00E82E3A">
        <w:rPr>
          <w:rFonts w:ascii="Arial" w:eastAsia="Calibri" w:hAnsi="Arial" w:cs="Arial"/>
          <w:b/>
          <w:bCs/>
          <w:sz w:val="22"/>
          <w:szCs w:val="22"/>
        </w:rPr>
        <w:t>(D,E)</w:t>
      </w:r>
      <w:r w:rsidRPr="00E82E3A">
        <w:rPr>
          <w:rFonts w:ascii="Arial" w:eastAsia="Calibri" w:hAnsi="Arial" w:cs="Arial"/>
          <w:sz w:val="22"/>
          <w:szCs w:val="22"/>
        </w:rPr>
        <w:t xml:space="preserve"> Zeiss 880 Airyscan imaging of the transition zone (CEP290) in control and proband fibroblasts. CEP290 is visible and accurately localized to the base of the axoneme in control and proband cells. Statistics for panel C were calculated using an unpaired t test. Each data point represents an independent experiment. Data are presented as the mean ± S.D. Scale bars: 500 nm (</w:t>
      </w:r>
      <w:r w:rsidRPr="00E82E3A">
        <w:rPr>
          <w:rFonts w:ascii="Arial" w:eastAsia="Calibri" w:hAnsi="Arial" w:cs="Arial"/>
          <w:b/>
          <w:sz w:val="22"/>
          <w:szCs w:val="22"/>
        </w:rPr>
        <w:t>A,B</w:t>
      </w:r>
      <w:r w:rsidRPr="00E82E3A">
        <w:rPr>
          <w:rFonts w:ascii="Arial" w:eastAsia="Calibri" w:hAnsi="Arial" w:cs="Arial"/>
          <w:sz w:val="22"/>
          <w:szCs w:val="22"/>
        </w:rPr>
        <w:t>), 2 </w:t>
      </w:r>
      <w:r w:rsidRPr="00E82E3A">
        <w:rPr>
          <w:rFonts w:ascii="Arial" w:eastAsia="Calibri" w:hAnsi="Arial" w:cs="Arial"/>
          <w:sz w:val="22"/>
          <w:szCs w:val="22"/>
          <w:lang w:val="el-GR"/>
        </w:rPr>
        <w:t>μ</w:t>
      </w:r>
      <w:r w:rsidRPr="00E82E3A">
        <w:rPr>
          <w:rFonts w:ascii="Arial" w:eastAsia="Calibri" w:hAnsi="Arial" w:cs="Arial"/>
          <w:sz w:val="22"/>
          <w:szCs w:val="22"/>
        </w:rPr>
        <w:t>m (D,E).</w:t>
      </w:r>
    </w:p>
    <w:p w14:paraId="4318B433" w14:textId="77777777" w:rsidR="00167E09" w:rsidRPr="00EE2890" w:rsidRDefault="00167E09" w:rsidP="00167E09">
      <w:pPr>
        <w:rPr>
          <w:rFonts w:ascii="Arial" w:hAnsi="Arial" w:cs="Arial"/>
          <w:sz w:val="22"/>
          <w:szCs w:val="22"/>
        </w:rPr>
      </w:pPr>
    </w:p>
    <w:p w14:paraId="716D88A3" w14:textId="77777777" w:rsidR="00DE6AE2" w:rsidRDefault="00DE6AE2"/>
    <w:sectPr w:rsidR="00DE6AE2" w:rsidSect="00167E09">
      <w:footerReference w:type="default" r:id="rId4"/>
      <w:pgSz w:w="12240" w:h="15840"/>
      <w:pgMar w:top="720" w:right="720" w:bottom="720" w:left="720" w:header="720" w:footer="720" w:gutter="0"/>
      <w:lnNumType w:countBy="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416281"/>
      <w:docPartObj>
        <w:docPartGallery w:val="Page Numbers (Bottom of Page)"/>
        <w:docPartUnique/>
      </w:docPartObj>
    </w:sdtPr>
    <w:sdtEndPr>
      <w:rPr>
        <w:noProof/>
      </w:rPr>
    </w:sdtEndPr>
    <w:sdtContent>
      <w:p w14:paraId="25C5F33A" w14:textId="77777777" w:rsidR="00167E09" w:rsidRDefault="00167E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10C4B9" w14:textId="77777777" w:rsidR="00167E09" w:rsidRDefault="00167E0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E09"/>
    <w:rsid w:val="00167E09"/>
    <w:rsid w:val="00195413"/>
    <w:rsid w:val="003A03A7"/>
    <w:rsid w:val="003D0186"/>
    <w:rsid w:val="007278E4"/>
    <w:rsid w:val="0092415C"/>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28DD"/>
  <w15:chartTrackingRefBased/>
  <w15:docId w15:val="{D3DEF326-A953-4FD6-B7DE-B3CB4EA19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E09"/>
  </w:style>
  <w:style w:type="paragraph" w:styleId="Heading1">
    <w:name w:val="heading 1"/>
    <w:basedOn w:val="Normal"/>
    <w:next w:val="Normal"/>
    <w:link w:val="Heading1Char"/>
    <w:uiPriority w:val="9"/>
    <w:qFormat/>
    <w:rsid w:val="00167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E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E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E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E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E09"/>
    <w:rPr>
      <w:rFonts w:eastAsiaTheme="majorEastAsia" w:cstheme="majorBidi"/>
      <w:color w:val="272727" w:themeColor="text1" w:themeTint="D8"/>
    </w:rPr>
  </w:style>
  <w:style w:type="paragraph" w:styleId="Title">
    <w:name w:val="Title"/>
    <w:basedOn w:val="Normal"/>
    <w:next w:val="Normal"/>
    <w:link w:val="TitleChar"/>
    <w:uiPriority w:val="10"/>
    <w:qFormat/>
    <w:rsid w:val="00167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E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E09"/>
    <w:pPr>
      <w:spacing w:before="160"/>
      <w:jc w:val="center"/>
    </w:pPr>
    <w:rPr>
      <w:i/>
      <w:iCs/>
      <w:color w:val="404040" w:themeColor="text1" w:themeTint="BF"/>
    </w:rPr>
  </w:style>
  <w:style w:type="character" w:customStyle="1" w:styleId="QuoteChar">
    <w:name w:val="Quote Char"/>
    <w:basedOn w:val="DefaultParagraphFont"/>
    <w:link w:val="Quote"/>
    <w:uiPriority w:val="29"/>
    <w:rsid w:val="00167E09"/>
    <w:rPr>
      <w:i/>
      <w:iCs/>
      <w:color w:val="404040" w:themeColor="text1" w:themeTint="BF"/>
    </w:rPr>
  </w:style>
  <w:style w:type="paragraph" w:styleId="ListParagraph">
    <w:name w:val="List Paragraph"/>
    <w:basedOn w:val="Normal"/>
    <w:uiPriority w:val="34"/>
    <w:qFormat/>
    <w:rsid w:val="00167E09"/>
    <w:pPr>
      <w:ind w:left="720"/>
      <w:contextualSpacing/>
    </w:pPr>
  </w:style>
  <w:style w:type="character" w:styleId="IntenseEmphasis">
    <w:name w:val="Intense Emphasis"/>
    <w:basedOn w:val="DefaultParagraphFont"/>
    <w:uiPriority w:val="21"/>
    <w:qFormat/>
    <w:rsid w:val="00167E09"/>
    <w:rPr>
      <w:i/>
      <w:iCs/>
      <w:color w:val="0F4761" w:themeColor="accent1" w:themeShade="BF"/>
    </w:rPr>
  </w:style>
  <w:style w:type="paragraph" w:styleId="IntenseQuote">
    <w:name w:val="Intense Quote"/>
    <w:basedOn w:val="Normal"/>
    <w:next w:val="Normal"/>
    <w:link w:val="IntenseQuoteChar"/>
    <w:uiPriority w:val="30"/>
    <w:qFormat/>
    <w:rsid w:val="00167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E09"/>
    <w:rPr>
      <w:i/>
      <w:iCs/>
      <w:color w:val="0F4761" w:themeColor="accent1" w:themeShade="BF"/>
    </w:rPr>
  </w:style>
  <w:style w:type="character" w:styleId="IntenseReference">
    <w:name w:val="Intense Reference"/>
    <w:basedOn w:val="DefaultParagraphFont"/>
    <w:uiPriority w:val="32"/>
    <w:qFormat/>
    <w:rsid w:val="00167E09"/>
    <w:rPr>
      <w:b/>
      <w:bCs/>
      <w:smallCaps/>
      <w:color w:val="0F4761" w:themeColor="accent1" w:themeShade="BF"/>
      <w:spacing w:val="5"/>
    </w:rPr>
  </w:style>
  <w:style w:type="paragraph" w:styleId="Footer">
    <w:name w:val="footer"/>
    <w:basedOn w:val="Normal"/>
    <w:link w:val="FooterChar"/>
    <w:uiPriority w:val="99"/>
    <w:unhideWhenUsed/>
    <w:rsid w:val="00167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E09"/>
  </w:style>
  <w:style w:type="character" w:styleId="LineNumber">
    <w:name w:val="line number"/>
    <w:basedOn w:val="DefaultParagraphFont"/>
    <w:uiPriority w:val="99"/>
    <w:semiHidden/>
    <w:unhideWhenUsed/>
    <w:rsid w:val="00167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1392</Characters>
  <Application>Microsoft Office Word</Application>
  <DocSecurity>0</DocSecurity>
  <Lines>11</Lines>
  <Paragraphs>3</Paragraphs>
  <ScaleCrop>false</ScaleCrop>
  <Company>Springer Nature</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2026-09-15T11:53:00Z</dcterms:created>
  <dcterms:modified xsi:type="dcterms:W3CDTF">2026-09-15T11:54:00Z</dcterms:modified>
</cp:coreProperties>
</file>